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930"/>
        <w:gridCol w:w="1935"/>
        <w:gridCol w:w="955"/>
        <w:gridCol w:w="1995"/>
        <w:gridCol w:w="908"/>
        <w:gridCol w:w="1924"/>
      </w:tblGrid>
      <w:tr w14:paraId="7EA1F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557" w:type="dxa"/>
            <w:gridSpan w:val="7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7F9A943">
            <w:pPr>
              <w:pStyle w:val="2"/>
              <w:keepNext/>
              <w:widowControl/>
              <w:jc w:val="center"/>
              <w:rPr>
                <w:lang w:val="en-US"/>
                <w14:ligatures w14:val="none"/>
              </w:rPr>
            </w:pPr>
            <w:bookmarkStart w:id="0" w:name="_Ref192103698"/>
          </w:p>
          <w:p w14:paraId="717963A1">
            <w:pPr>
              <w:pStyle w:val="2"/>
              <w:keepNext/>
              <w:widowControl/>
              <w:jc w:val="center"/>
              <w:rPr>
                <w:lang w:val="en-US"/>
                <w14:ligatures w14:val="none"/>
              </w:rPr>
            </w:pPr>
            <w:bookmarkStart w:id="1" w:name="_Ref198154653"/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Table </w:t>
            </w:r>
            <w:bookmarkEnd w:id="0"/>
            <w:bookmarkEnd w:id="1"/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0"/>
                <w:lang w:val="en-US" w:eastAsia="zh-CN"/>
                <w14:ligatures w14:val="none"/>
              </w:rPr>
              <w:t>S1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0"/>
                <w:lang w:val="en-US"/>
                <w14:ligatures w14:val="none"/>
              </w:rPr>
              <w:t xml:space="preserve"> Temporal Trends in HPV Prevalence in different departments</w:t>
            </w:r>
          </w:p>
        </w:tc>
      </w:tr>
      <w:tr w14:paraId="5AEB6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DEA9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56BDE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 xml:space="preserve"> Year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7A41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  <w14:ligatures w14:val="none"/>
              </w:rPr>
              <w:t>Gynecology Outpatient Department</w:t>
            </w:r>
          </w:p>
        </w:tc>
        <w:tc>
          <w:tcPr>
            <w:tcW w:w="295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68CE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  <w14:ligatures w14:val="none"/>
              </w:rPr>
              <w:t>Health Management Center</w:t>
            </w:r>
          </w:p>
        </w:tc>
        <w:tc>
          <w:tcPr>
            <w:tcW w:w="283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8333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  <w14:ligatures w14:val="none"/>
              </w:rPr>
              <w:t>Total</w:t>
            </w:r>
          </w:p>
        </w:tc>
      </w:tr>
      <w:tr w14:paraId="0B63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D45F499">
            <w:pPr>
              <w:rPr>
                <w:rFonts w:hint="default" w:ascii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FEB1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19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CB58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%(95%CI)</w:t>
            </w: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C2C8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19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E719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%(95%CI)</w:t>
            </w:r>
          </w:p>
        </w:tc>
        <w:tc>
          <w:tcPr>
            <w:tcW w:w="9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E35E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B2EF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%(95%CI)</w:t>
            </w:r>
          </w:p>
        </w:tc>
      </w:tr>
      <w:tr w14:paraId="64468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tblHeader/>
          <w:jc w:val="center"/>
        </w:trPr>
        <w:tc>
          <w:tcPr>
            <w:tcW w:w="910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4CE4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2013</w:t>
            </w:r>
          </w:p>
        </w:tc>
        <w:tc>
          <w:tcPr>
            <w:tcW w:w="930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CFB4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377</w:t>
            </w:r>
          </w:p>
        </w:tc>
        <w:tc>
          <w:tcPr>
            <w:tcW w:w="1935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3A2D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23.76%</w:t>
            </w:r>
          </w:p>
          <w:p w14:paraId="0E599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[21.73%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25.91%]</w:t>
            </w:r>
          </w:p>
        </w:tc>
        <w:tc>
          <w:tcPr>
            <w:tcW w:w="955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30568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93</w:t>
            </w:r>
          </w:p>
        </w:tc>
        <w:tc>
          <w:tcPr>
            <w:tcW w:w="1995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3AD4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8.56%</w:t>
            </w:r>
          </w:p>
          <w:p w14:paraId="301CF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[7.04%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10.37%]</w:t>
            </w:r>
          </w:p>
        </w:tc>
        <w:tc>
          <w:tcPr>
            <w:tcW w:w="908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3C95D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470</w:t>
            </w:r>
          </w:p>
        </w:tc>
        <w:tc>
          <w:tcPr>
            <w:tcW w:w="1924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9EE4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17.58%</w:t>
            </w:r>
          </w:p>
          <w:p w14:paraId="3D794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[16.18%-19.07%]</w:t>
            </w:r>
          </w:p>
        </w:tc>
      </w:tr>
      <w:tr w14:paraId="3AED5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2DECD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2014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17536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339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448A1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12.20%</w:t>
            </w:r>
          </w:p>
          <w:p w14:paraId="1EE05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[11.03%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13.47%]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3241A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60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5E046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15.27%</w:t>
            </w:r>
          </w:p>
          <w:p w14:paraId="3F9AD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[12.05%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19.16%]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01F2F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399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7F1F5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12.58%</w:t>
            </w:r>
          </w:p>
          <w:p w14:paraId="3B6C9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[11.47%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13.78%]</w:t>
            </w:r>
          </w:p>
        </w:tc>
      </w:tr>
      <w:tr w14:paraId="1C527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32C84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2015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2261D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742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4CB26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16.57%</w:t>
            </w:r>
          </w:p>
          <w:p w14:paraId="26B4D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[15.51%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17.69%]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E57F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143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644CA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8.89%</w:t>
            </w:r>
          </w:p>
          <w:p w14:paraId="218EF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[7.59%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10.38%]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2D85A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885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4C722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14.54%</w:t>
            </w:r>
          </w:p>
          <w:p w14:paraId="21448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[13.68%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15.45%]</w:t>
            </w:r>
          </w:p>
        </w:tc>
      </w:tr>
      <w:tr w14:paraId="65F6F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15B61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2016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0166C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885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293A8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15.65%</w:t>
            </w:r>
          </w:p>
          <w:p w14:paraId="5F989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[14.73%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16.62%]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44DFD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155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511C8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12.60%</w:t>
            </w:r>
          </w:p>
          <w:p w14:paraId="3F30A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[10.86%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14.57%]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25BBD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1040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3ABFB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15.11%</w:t>
            </w:r>
          </w:p>
          <w:p w14:paraId="243FB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[14.28%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15.97%]</w:t>
            </w:r>
          </w:p>
        </w:tc>
      </w:tr>
      <w:tr w14:paraId="2DFE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072B8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2017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1A282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1230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185F9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16.31%</w:t>
            </w:r>
          </w:p>
          <w:p w14:paraId="4C7D7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[15.49%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17.16%]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28FC2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288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515A6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9.28%</w:t>
            </w:r>
          </w:p>
          <w:p w14:paraId="5360F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[8.31%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10.36%]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4C737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1518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4A69B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14.26%</w:t>
            </w:r>
          </w:p>
          <w:p w14:paraId="42295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[13.61%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14.94%]</w:t>
            </w:r>
          </w:p>
        </w:tc>
      </w:tr>
      <w:tr w14:paraId="17742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6FDF8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2018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5799E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1477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23B78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17.00%</w:t>
            </w:r>
          </w:p>
          <w:p w14:paraId="2C0E4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[16.22%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17.8%]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C4E8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229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248DD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12.60%</w:t>
            </w:r>
          </w:p>
          <w:p w14:paraId="25245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[11.16%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14.21%]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1963B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1706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6B31C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16.24%</w:t>
            </w:r>
          </w:p>
          <w:p w14:paraId="1D1DC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[15.54%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16.95%]</w:t>
            </w:r>
          </w:p>
        </w:tc>
      </w:tr>
      <w:tr w14:paraId="40E81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601CA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2019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08C07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1972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0F81E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17.53%</w:t>
            </w:r>
          </w:p>
          <w:p w14:paraId="495B9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[16.83%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18.24%]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31BBB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282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794E0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11.30%</w:t>
            </w:r>
          </w:p>
          <w:p w14:paraId="245C4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[10.08%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12.56%]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6681F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2255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642C8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16.39%</w:t>
            </w:r>
          </w:p>
          <w:p w14:paraId="11AB8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[15.78%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17.02%]</w:t>
            </w:r>
          </w:p>
        </w:tc>
      </w:tr>
      <w:tr w14:paraId="4BB3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5C655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2020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0F83A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1725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2CEFE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16.00%</w:t>
            </w:r>
          </w:p>
          <w:p w14:paraId="711CE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[15.32%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16.7%]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3A8D6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282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6C3CD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9.69%</w:t>
            </w:r>
          </w:p>
          <w:p w14:paraId="00D81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[8.67%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10.82%]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3F580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2007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1FB76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14.66%</w:t>
            </w:r>
          </w:p>
          <w:p w14:paraId="3E571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[14.08%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15.26%]</w:t>
            </w:r>
          </w:p>
        </w:tc>
      </w:tr>
      <w:tr w14:paraId="42AF0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07B3E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2021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2C902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1232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2EB29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16.14%</w:t>
            </w:r>
          </w:p>
          <w:p w14:paraId="4755F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[15.33%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16.98%]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44407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175</w:t>
            </w:r>
          </w:p>
        </w:tc>
        <w:tc>
          <w:tcPr>
            <w:tcW w:w="1995" w:type="dxa"/>
            <w:shd w:val="clear" w:color="auto" w:fill="auto"/>
            <w:vAlign w:val="top"/>
          </w:tcPr>
          <w:p w14:paraId="059B4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9.47%</w:t>
            </w:r>
          </w:p>
          <w:p w14:paraId="29481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[8.22%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10.89%]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3C566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1407</w:t>
            </w:r>
          </w:p>
        </w:tc>
        <w:tc>
          <w:tcPr>
            <w:tcW w:w="1924" w:type="dxa"/>
            <w:shd w:val="clear" w:color="auto" w:fill="auto"/>
            <w:vAlign w:val="top"/>
          </w:tcPr>
          <w:p w14:paraId="5C337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14.84%</w:t>
            </w:r>
          </w:p>
          <w:p w14:paraId="53A05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[14.14%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15.57%]</w:t>
            </w:r>
          </w:p>
        </w:tc>
      </w:tr>
      <w:tr w14:paraId="3C420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shd w:val="clear" w:color="auto" w:fill="auto"/>
            <w:vAlign w:val="top"/>
          </w:tcPr>
          <w:p w14:paraId="05B0B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 xml:space="preserve">Z 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5239B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35" w:type="dxa"/>
            <w:shd w:val="clear" w:color="auto" w:fill="auto"/>
            <w:vAlign w:val="top"/>
          </w:tcPr>
          <w:p w14:paraId="48C3D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-0.37147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D169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95" w:type="dxa"/>
            <w:shd w:val="clear" w:color="auto" w:fill="auto"/>
            <w:vAlign w:val="top"/>
          </w:tcPr>
          <w:p w14:paraId="714F8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0.060794</w:t>
            </w:r>
          </w:p>
        </w:tc>
        <w:tc>
          <w:tcPr>
            <w:tcW w:w="908" w:type="dxa"/>
            <w:shd w:val="clear" w:color="auto" w:fill="auto"/>
            <w:vAlign w:val="top"/>
          </w:tcPr>
          <w:p w14:paraId="38BA8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24" w:type="dxa"/>
            <w:shd w:val="clear" w:color="auto" w:fill="auto"/>
            <w:vAlign w:val="top"/>
          </w:tcPr>
          <w:p w14:paraId="5DFEB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0.74667</w:t>
            </w:r>
          </w:p>
        </w:tc>
      </w:tr>
      <w:tr w14:paraId="0FB61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1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274D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P-value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EC4F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3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FC63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0.7103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58A8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9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30C4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0.9515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AB44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924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EFA4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0.4553</w:t>
            </w:r>
          </w:p>
        </w:tc>
      </w:tr>
      <w:tr w14:paraId="3B33B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557" w:type="dxa"/>
            <w:gridSpan w:val="7"/>
            <w:tcBorders>
              <w:top w:val="single" w:color="auto" w:sz="4" w:space="0"/>
            </w:tcBorders>
            <w:shd w:val="clear" w:color="auto" w:fill="auto"/>
            <w:vAlign w:val="top"/>
          </w:tcPr>
          <w:p w14:paraId="68507B75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*Estimates for certain years (e.g., 2013–2014) are based on relatively small sample sizes and should be interpreted with caution.</w:t>
            </w:r>
          </w:p>
          <w:p w14:paraId="3D265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n: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Number of HPV-positive cases in the corresponding department and year</w:t>
            </w:r>
          </w:p>
          <w:p w14:paraId="31007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P: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P-value associated with the Cochran-Armitage trend test; a value of P &lt; 0.05 indicates a statistically significant trend over time.</w:t>
            </w:r>
          </w:p>
          <w:p w14:paraId="5F36F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Z: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  <w14:ligatures w14:val="none"/>
              </w:rPr>
              <w:t>Test statistic from the Cochran-Armitage trend test, used to evaluate the temporal trend in HPV prevalence from 2013 to 2021.</w:t>
            </w:r>
          </w:p>
        </w:tc>
      </w:tr>
    </w:tbl>
    <w:p w14:paraId="747B59BB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124A75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21C4FF9">
      <w:pPr>
        <w:ind w:firstLine="1205" w:firstLineChars="500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Prevalence of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HPV genotypes in different departments</w:t>
      </w:r>
    </w:p>
    <w:tbl>
      <w:tblPr>
        <w:tblStyle w:val="4"/>
        <w:tblpPr w:leftFromText="180" w:rightFromText="180" w:vertAnchor="page" w:horzAnchor="page" w:tblpX="2082" w:tblpY="1770"/>
        <w:tblOverlap w:val="never"/>
        <w:tblW w:w="127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450"/>
        <w:gridCol w:w="1426"/>
        <w:gridCol w:w="1588"/>
        <w:gridCol w:w="1568"/>
        <w:gridCol w:w="1425"/>
        <w:gridCol w:w="1657"/>
        <w:gridCol w:w="919"/>
        <w:gridCol w:w="1195"/>
      </w:tblGrid>
      <w:tr w14:paraId="70F9E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94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3A79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6E5C1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 Genotype</w:t>
            </w:r>
          </w:p>
        </w:tc>
        <w:tc>
          <w:tcPr>
            <w:tcW w:w="287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39D1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Total(N=76898)</w:t>
            </w:r>
          </w:p>
        </w:tc>
        <w:tc>
          <w:tcPr>
            <w:tcW w:w="315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FFB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Gynecology Outpatient Department (N=60399)</w:t>
            </w:r>
          </w:p>
        </w:tc>
        <w:tc>
          <w:tcPr>
            <w:tcW w:w="30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F45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Health Management Centre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(N=16499)</w:t>
            </w:r>
          </w:p>
        </w:tc>
        <w:tc>
          <w:tcPr>
            <w:tcW w:w="91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2CD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23E8FF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χ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119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7EC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45C4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14:paraId="621F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94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CD1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E5F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Positive cases</w:t>
            </w:r>
          </w:p>
          <w:p w14:paraId="0502E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n（%）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A3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95%CI</w:t>
            </w:r>
          </w:p>
        </w:tc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011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Positive cases</w:t>
            </w:r>
          </w:p>
          <w:p w14:paraId="3551E5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n（%）</w:t>
            </w:r>
          </w:p>
        </w:tc>
        <w:tc>
          <w:tcPr>
            <w:tcW w:w="15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2DF3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95%CI</w:t>
            </w: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5356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Positive cases</w:t>
            </w:r>
          </w:p>
          <w:p w14:paraId="704881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n（%）</w:t>
            </w:r>
          </w:p>
        </w:tc>
        <w:tc>
          <w:tcPr>
            <w:tcW w:w="16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F19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95%CI</w:t>
            </w:r>
          </w:p>
        </w:tc>
        <w:tc>
          <w:tcPr>
            <w:tcW w:w="91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4BD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1E76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031CF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49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7C75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HPV-6</w:t>
            </w:r>
          </w:p>
        </w:tc>
        <w:tc>
          <w:tcPr>
            <w:tcW w:w="145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8F56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363（0.47%）</w:t>
            </w:r>
          </w:p>
        </w:tc>
        <w:tc>
          <w:tcPr>
            <w:tcW w:w="142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2EC1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  <w:t>0.43% - 0.52%</w:t>
            </w:r>
          </w:p>
        </w:tc>
        <w:tc>
          <w:tcPr>
            <w:tcW w:w="1588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53C8C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321（0.53%）</w:t>
            </w:r>
          </w:p>
        </w:tc>
        <w:tc>
          <w:tcPr>
            <w:tcW w:w="156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E38D5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0.48% - 0.59%</w:t>
            </w:r>
          </w:p>
        </w:tc>
        <w:tc>
          <w:tcPr>
            <w:tcW w:w="14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1EAB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  <w:t>42（0.25%）</w:t>
            </w:r>
          </w:p>
        </w:tc>
        <w:tc>
          <w:tcPr>
            <w:tcW w:w="165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5F59D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  <w:t>0.19% - 0.34%</w:t>
            </w:r>
          </w:p>
        </w:tc>
        <w:tc>
          <w:tcPr>
            <w:tcW w:w="91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89316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21.149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F0D9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3F415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B1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HPV-11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34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261（0.34%）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E2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0.3% - 0.38%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5054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242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0.40%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A0D4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0.35% - 0.45%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7094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  <w:t>19（0.12%）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361A8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  <w:t>0.07% - 0.18%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55CAD0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31.230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2B930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050B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26CF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HPV-16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1D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1770（2.30%）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912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2.2% - 2.41%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1979C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1579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2.61%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05064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2.49% - 2.74%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4C796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191（1.16%）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2655A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1.01% - 1.33%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43212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122.273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28272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4846A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3CF819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HPV-18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CA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688（0.89%）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4741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0.83% - 0.96%</w:t>
            </w:r>
          </w:p>
        </w:tc>
        <w:tc>
          <w:tcPr>
            <w:tcW w:w="1588" w:type="dxa"/>
            <w:tcBorders>
              <w:tl2br w:val="nil"/>
              <w:tr2bl w:val="nil"/>
            </w:tcBorders>
          </w:tcPr>
          <w:p w14:paraId="1361B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599（0.99%）</w:t>
            </w:r>
          </w:p>
        </w:tc>
        <w:tc>
          <w:tcPr>
            <w:tcW w:w="1568" w:type="dxa"/>
            <w:tcBorders>
              <w:tl2br w:val="nil"/>
              <w:tr2bl w:val="nil"/>
            </w:tcBorders>
          </w:tcPr>
          <w:p w14:paraId="43A0E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0.92% - 1.07%</w:t>
            </w:r>
          </w:p>
        </w:tc>
        <w:tc>
          <w:tcPr>
            <w:tcW w:w="1425" w:type="dxa"/>
            <w:tcBorders>
              <w:tl2br w:val="nil"/>
              <w:tr2bl w:val="nil"/>
            </w:tcBorders>
          </w:tcPr>
          <w:p w14:paraId="316A1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89（0.54%）</w:t>
            </w:r>
          </w:p>
        </w:tc>
        <w:tc>
          <w:tcPr>
            <w:tcW w:w="1657" w:type="dxa"/>
            <w:tcBorders>
              <w:tl2br w:val="nil"/>
              <w:tr2bl w:val="nil"/>
            </w:tcBorders>
          </w:tcPr>
          <w:p w14:paraId="1FCF6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0.44% - 0.66%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14:paraId="240F0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29.900</w:t>
            </w: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 w14:paraId="6F9F9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0.000</w:t>
            </w:r>
            <w:r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  <w:lang w:val="en-US" w:eastAsia="zh-CN"/>
                <w14:ligatures w14:val="none"/>
              </w:rPr>
              <w:t>**</w:t>
            </w:r>
          </w:p>
        </w:tc>
      </w:tr>
      <w:tr w14:paraId="77EEE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FE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HPV-31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E1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358（0.47%）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486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0.42% - 0.52%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B8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302（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0.50%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C69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0.45% - 0.56%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38C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56（0.34%）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1E0309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0.26% - 0.44%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258A9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7.213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20655A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0.007</w:t>
            </w:r>
          </w:p>
        </w:tc>
      </w:tr>
      <w:tr w14:paraId="377B9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0CA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HPV-33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DC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441（0.57%）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11D2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0.52% - 0.63%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shd w:val="clear" w:color="auto" w:fill="auto"/>
          </w:tcPr>
          <w:p w14:paraId="2D3CD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382（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0.63%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</w:tcPr>
          <w:p w14:paraId="4F0874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0.57% - 0.7%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FFFFFF"/>
          </w:tcPr>
          <w:p w14:paraId="5C05A9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59（0.36%）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</w:tcPr>
          <w:p w14:paraId="7E201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0.28% - 0.46%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14:paraId="4AF870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17.170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 w14:paraId="0FB79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4292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39EAD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HPV-35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39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192（0.25%）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7B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0.22% - 0.29%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97438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165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0.27%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FFEB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0.23% - 0.32%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0226C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27（0.16%）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5D13A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0.11% - 0.24%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4FC243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6.243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3054D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0.012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</w:tr>
      <w:tr w14:paraId="1640D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BD9C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HPV-39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06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1068（1.39%）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D38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1.31% - 1.47%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59752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924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1.53%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8AB8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1.43% - 1.63%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803AC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144（0.87%）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0EFC9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0.74% - 1.03%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ED3E5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40.849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613DD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1A01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67949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HPV-42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D8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513（0.67%）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7C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0.61% - 0.73%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1828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424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0.70%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48EB9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0.64% - 0.77%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2FD77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89（0.54%）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2740A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0.44% - 0.66%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D01F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5.169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33F10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0.023</w:t>
            </w:r>
          </w:p>
        </w:tc>
      </w:tr>
      <w:tr w14:paraId="1B3BF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46CE4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HPV-43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62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277（0.36%）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98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0.32% - 0.41%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6CF0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234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0.39%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9420C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0.34% - 0.44% 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276D23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43（0.26%）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421E7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0.19% - 0.35%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0FB5B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5.805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13A24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0.016</w:t>
            </w:r>
          </w:p>
        </w:tc>
      </w:tr>
      <w:tr w14:paraId="0771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1347F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HPV-44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54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280（0.36%）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76F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0.32% - 0.41%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60D95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237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0.39%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656FB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0.35% - 0.45%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4BA3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43（0.26%）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76BE9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0.19% - 0.35%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26EDE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6.202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4E5A7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0.013</w:t>
            </w:r>
          </w:p>
        </w:tc>
      </w:tr>
      <w:tr w14:paraId="4B30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1BA7F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HPV-45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EFF6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152（0.20%）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091F8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0.17% - 0.23%</w:t>
            </w:r>
          </w:p>
        </w:tc>
        <w:tc>
          <w:tcPr>
            <w:tcW w:w="1588" w:type="dxa"/>
            <w:tcBorders>
              <w:tl2br w:val="nil"/>
              <w:tr2bl w:val="nil"/>
            </w:tcBorders>
          </w:tcPr>
          <w:p w14:paraId="6F4E0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137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0.23%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</w:tcPr>
          <w:p w14:paraId="3E3F8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0.19% - 0.27%</w:t>
            </w:r>
          </w:p>
        </w:tc>
        <w:tc>
          <w:tcPr>
            <w:tcW w:w="1425" w:type="dxa"/>
            <w:tcBorders>
              <w:tl2br w:val="nil"/>
              <w:tr2bl w:val="nil"/>
            </w:tcBorders>
          </w:tcPr>
          <w:p w14:paraId="60CC6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15（0.09%）</w:t>
            </w:r>
          </w:p>
        </w:tc>
        <w:tc>
          <w:tcPr>
            <w:tcW w:w="1657" w:type="dxa"/>
            <w:tcBorders>
              <w:tl2br w:val="nil"/>
              <w:tr2bl w:val="nil"/>
            </w:tcBorders>
          </w:tcPr>
          <w:p w14:paraId="09682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0.06% - 0.15%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14:paraId="5B998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12.134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 w14:paraId="31BC5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63840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1D391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HPV-51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4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1020（1.33%）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A8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1.25% - 1.41%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C242E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882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1.46%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66E0D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1.37% - 1.56%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71FE8E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138（0.84%）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4FD1D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0.71% - 0.99%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31A012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38.537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5A707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18650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0216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HPV-52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10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2542（3.31%）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3FE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3.18% - 3.43%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0EA6D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2218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3.67%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49992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3.53% - 3.83%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4744F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324（1.96%）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64C91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1.76% - 2.19%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41153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118.341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4DDAA1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5FE8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4FB58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HPV-53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B9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804（1.05%）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DB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0.98% - 1.12%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A225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636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1.05%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4022F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0.97% - 1.14%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71758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168（1.02%）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474A0B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0.88% - 1.18%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128E1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0.151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3762E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0.697</w:t>
            </w:r>
          </w:p>
        </w:tc>
      </w:tr>
      <w:tr w14:paraId="202A8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70CB5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HPV-56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69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494（0.64%）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FB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0.59% - 0.7%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D1DC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437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0.72%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495CE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0.66% - 0.79</w:t>
            </w:r>
            <w:r>
              <w:rPr>
                <w:rFonts w:hint="eastAsia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089B2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57（0.35%）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0A718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0.27% - 0.45%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5D68E4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29.017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7B18E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4B5F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26067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HPV-58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DF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1518（1.97%）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D4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1.88% - 2.07%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B172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1329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2.20%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3929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2.09% - 2.32%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4101D8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189（1.15%）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008D6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0.99% - 1.32%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2C43E4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74.516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183302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050E6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2E5B1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HPV-59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F9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233（0.30%）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8140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0.27% - 0.34%</w:t>
            </w:r>
          </w:p>
        </w:tc>
        <w:tc>
          <w:tcPr>
            <w:tcW w:w="1588" w:type="dxa"/>
            <w:tcBorders>
              <w:tl2br w:val="nil"/>
              <w:tr2bl w:val="nil"/>
            </w:tcBorders>
          </w:tcPr>
          <w:p w14:paraId="50498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210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0.35%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</w:tcPr>
          <w:p w14:paraId="01E1E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0.3% - 0.4%</w:t>
            </w:r>
          </w:p>
        </w:tc>
        <w:tc>
          <w:tcPr>
            <w:tcW w:w="1425" w:type="dxa"/>
            <w:tcBorders>
              <w:tl2br w:val="nil"/>
              <w:tr2bl w:val="nil"/>
            </w:tcBorders>
          </w:tcPr>
          <w:p w14:paraId="0F679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23（0.14%）</w:t>
            </w:r>
          </w:p>
        </w:tc>
        <w:tc>
          <w:tcPr>
            <w:tcW w:w="1657" w:type="dxa"/>
            <w:tcBorders>
              <w:tl2br w:val="nil"/>
              <w:tr2bl w:val="nil"/>
            </w:tcBorders>
          </w:tcPr>
          <w:p w14:paraId="6F0F40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0.09% - 0.21%</w:t>
            </w:r>
          </w:p>
        </w:tc>
        <w:tc>
          <w:tcPr>
            <w:tcW w:w="919" w:type="dxa"/>
            <w:tcBorders>
              <w:tl2br w:val="nil"/>
              <w:tr2bl w:val="nil"/>
            </w:tcBorders>
          </w:tcPr>
          <w:p w14:paraId="44924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18.611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 w14:paraId="6AB5AF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5658F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280F4D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HPV-66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6C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451（0.59%）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8D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0.53% - 0.64%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2737A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386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0.64%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1107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0.58% - 0.71%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B873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65（0.39%）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329C92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 xml:space="preserve"> 0.31% - 0.5%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060BD4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13.354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605F4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</w:tr>
      <w:tr w14:paraId="4DD5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tl2br w:val="nil"/>
              <w:tr2bl w:val="nil"/>
            </w:tcBorders>
            <w:vAlign w:val="center"/>
          </w:tcPr>
          <w:p w14:paraId="0A1938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HPV-68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38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791（1.03%）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ED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0.96% - 1.1%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1E3668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649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1.07%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C5D46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1% - 1.16%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7ADC2B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142（0.86%）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1428A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0.73% - 1.01%</w:t>
            </w:r>
          </w:p>
        </w:tc>
        <w:tc>
          <w:tcPr>
            <w:tcW w:w="919" w:type="dxa"/>
            <w:tcBorders>
              <w:tl2br w:val="nil"/>
              <w:tr2bl w:val="nil"/>
            </w:tcBorders>
            <w:vAlign w:val="center"/>
          </w:tcPr>
          <w:p w14:paraId="0D80D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5.822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 w14:paraId="2E16D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0.016</w:t>
            </w:r>
          </w:p>
        </w:tc>
      </w:tr>
      <w:tr w14:paraId="2FEA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AFCF4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HPV-CP8304</w:t>
            </w:r>
          </w:p>
        </w:tc>
        <w:tc>
          <w:tcPr>
            <w:tcW w:w="145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777E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MingLiU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1135（1.48%）</w:t>
            </w:r>
          </w:p>
        </w:tc>
        <w:tc>
          <w:tcPr>
            <w:tcW w:w="1426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D52F7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1.39% - 1.56%</w:t>
            </w:r>
          </w:p>
        </w:tc>
        <w:tc>
          <w:tcPr>
            <w:tcW w:w="158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0E8BE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933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1.54%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156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D831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1.45% - 1.65%</w:t>
            </w:r>
          </w:p>
        </w:tc>
        <w:tc>
          <w:tcPr>
            <w:tcW w:w="142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D45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202（1.22%）</w:t>
            </w:r>
          </w:p>
        </w:tc>
        <w:tc>
          <w:tcPr>
            <w:tcW w:w="165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E6C0C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lang w:val="en-US" w:eastAsia="zh-CN" w:bidi="ar-SA"/>
                <w14:ligatures w14:val="none"/>
              </w:rPr>
              <w:t>1.07% - 1.4%</w:t>
            </w:r>
          </w:p>
        </w:tc>
        <w:tc>
          <w:tcPr>
            <w:tcW w:w="919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35C8F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9.149</w:t>
            </w: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9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8DD1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kern w:val="0"/>
                <w:sz w:val="18"/>
                <w:szCs w:val="18"/>
                <w14:ligatures w14:val="none"/>
              </w:rPr>
              <w:t>0.002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</w:tr>
      <w:tr w14:paraId="11F32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22" w:type="dxa"/>
            <w:gridSpan w:val="9"/>
            <w:tcBorders>
              <w:top w:val="single" w:color="auto" w:sz="4" w:space="0"/>
              <w:bottom w:val="nil"/>
              <w:tl2br w:val="nil"/>
              <w:tr2bl w:val="nil"/>
            </w:tcBorders>
            <w:vAlign w:val="center"/>
          </w:tcPr>
          <w:p w14:paraId="149FB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楷体" w:cs="Times New Roman"/>
                <w:color w:val="auto"/>
                <w:kern w:val="2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lang w:val="en-US" w:eastAsia="zh-CN" w:bidi="ar"/>
                <w14:ligatures w14:val="none"/>
              </w:rPr>
              <w:t xml:space="preserve">Chi-square tests were used to compare HPV prevalence </w:t>
            </w:r>
            <w:r>
              <w:rPr>
                <w:rFonts w:hint="eastAsia" w:ascii="Times New Roman" w:hAnsi="Times New Roman" w:eastAsia="楷体" w:cs="Times New Roman"/>
                <w:color w:val="auto"/>
                <w:kern w:val="2"/>
                <w:sz w:val="24"/>
                <w:szCs w:val="24"/>
                <w:lang w:val="en-US" w:eastAsia="zh-CN" w:bidi="ar"/>
                <w14:ligatures w14:val="none"/>
              </w:rPr>
              <w:t>in different departments</w:t>
            </w:r>
          </w:p>
          <w:p w14:paraId="73D4A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>n: The number of women who tested positive for a specific HPV genotype in a particular group.</w:t>
            </w:r>
          </w:p>
          <w:p w14:paraId="190506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>χ²: Chi-square statistic used to assess whether the prevalence of each HPV genotype differs significantly between the two groups.</w:t>
            </w:r>
          </w:p>
          <w:p w14:paraId="1DEFA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>P</w:t>
            </w:r>
            <w:r>
              <w:rPr>
                <w:rFonts w:hint="eastAsia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 xml:space="preserve"> value</w:t>
            </w: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 xml:space="preserve"> &lt; 0.05 indicates statistical significance.</w:t>
            </w:r>
          </w:p>
          <w:p w14:paraId="75DD6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 xml:space="preserve">P </w:t>
            </w:r>
            <w:r>
              <w:rPr>
                <w:rFonts w:hint="eastAsia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>value</w:t>
            </w: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1"/>
                <w:szCs w:val="21"/>
                <w:lang w:val="en-US" w:eastAsia="zh-CN" w:bidi="ar"/>
                <w14:ligatures w14:val="none"/>
              </w:rPr>
              <w:t>&lt; 0.01 (**) indicates high statistical significance.</w:t>
            </w:r>
          </w:p>
        </w:tc>
      </w:tr>
    </w:tbl>
    <w:p w14:paraId="73F3ABC3">
      <w:bookmarkStart w:id="2" w:name="_GoBack"/>
      <w:bookmarkEnd w:id="2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65862"/>
    <w:rsid w:val="0D962EB0"/>
    <w:rsid w:val="0DB7339A"/>
    <w:rsid w:val="6926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 Light" w:hAnsi="Calibri Light" w:eastAsia="黑体" w:cs="Times New Roman"/>
      <w:kern w:val="2"/>
      <w:sz w:val="20"/>
      <w:szCs w:val="20"/>
      <w:lang w:val="en-US" w:eastAsia="zh-CN" w:bidi="ar"/>
    </w:rPr>
  </w:style>
  <w:style w:type="table" w:styleId="4">
    <w:name w:val="Table Grid"/>
    <w:basedOn w:val="3"/>
    <w:qFormat/>
    <w:uiPriority w:val="99"/>
    <w:rPr>
      <w:rFonts w:ascii="Arial" w:hAnsi="Arial" w:eastAsia="宋体" w:cs="Arial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855</Words>
  <Characters>3554</Characters>
  <Lines>0</Lines>
  <Paragraphs>0</Paragraphs>
  <TotalTime>0</TotalTime>
  <ScaleCrop>false</ScaleCrop>
  <LinksUpToDate>false</LinksUpToDate>
  <CharactersWithSpaces>3847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2025-05-15T15:34:00Z</dcterms:created>
  <dc:creator>戚美美</dc:creator>
  <cp:lastModifiedBy>戚美美</cp:lastModifiedBy>
  <dcterms:modified xsi:type="dcterms:W3CDTF">2025-05-29T12:49:55Z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73B4B32EF7BF4293B0FFD997CE463258_11</vt:lpwstr>
  </property>
  <property fmtid="{D5CDD505-2E9C-101B-9397-08002B2CF9AE}" pid="4" name="KSOTemplateDocerSaveRecord">
    <vt:lpwstr>eyJoZGlkIjoiODlhMTY4YzVjZWFhN2E1YTY3NTA4MDIyYjUzZTI4Y2UiLCJ1c2VySWQiOiI1NzY3NTU4NDkifQ==</vt:lpwstr>
  </property>
</Properties>
</file>