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92B30">
      <w:pPr>
        <w:jc w:val="center"/>
        <w:rPr>
          <w:rFonts w:hint="eastAsia" w:ascii="Times New Roman Regular" w:hAnsi="Times New Roman Regular" w:cs="Times New Roman Regular"/>
          <w:sz w:val="28"/>
          <w:szCs w:val="36"/>
        </w:rPr>
      </w:pPr>
      <w:r>
        <w:rPr>
          <w:rFonts w:ascii="Times New Roman Regular" w:hAnsi="Times New Roman Regular" w:cs="Times New Roman Regular"/>
          <w:sz w:val="28"/>
          <w:szCs w:val="36"/>
        </w:rPr>
        <w:t>SUPPLEMENTA</w:t>
      </w:r>
      <w:r>
        <w:rPr>
          <w:rFonts w:hint="eastAsia" w:ascii="Times New Roman Regular" w:hAnsi="Times New Roman Regular" w:cs="Times New Roman Regular"/>
          <w:sz w:val="28"/>
          <w:szCs w:val="36"/>
        </w:rPr>
        <w:t>L MATERIALS</w:t>
      </w:r>
    </w:p>
    <w:p w14:paraId="5C9EA03D">
      <w:pPr>
        <w:keepNext w:val="0"/>
        <w:keepLines w:val="0"/>
        <w:widowControl/>
        <w:suppressLineNumbers w:val="0"/>
        <w:jc w:val="center"/>
        <w:rPr>
          <w:rFonts w:hint="eastAsia" w:ascii="Times New Roman Regular" w:hAnsi="Times New Roman Regular" w:cs="Times New Roman Regular"/>
          <w:sz w:val="22"/>
          <w:szCs w:val="22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0"/>
          <w:szCs w:val="20"/>
          <w:lang w:val="en-US" w:eastAsia="zh-CN"/>
        </w:rPr>
        <w:t>Table S1</w:t>
      </w:r>
      <w:r>
        <w:rPr>
          <w:rFonts w:hint="eastAsia" w:ascii="Times New Roman Regular" w:hAnsi="Times New Roman Regular" w:cs="Times New Roman Regular"/>
          <w:sz w:val="22"/>
          <w:szCs w:val="22"/>
          <w:lang w:val="en-US" w:eastAsia="zh-CN"/>
        </w:rPr>
        <w:t xml:space="preserve"> </w:t>
      </w:r>
      <w:r>
        <w:rPr>
          <w:rFonts w:hint="default" w:ascii="Times New Roman Bold" w:hAnsi="Times New Roman Bold" w:eastAsia="宋体" w:cs="Times New Roman Bold"/>
          <w:b/>
          <w:bCs/>
          <w:kern w:val="2"/>
          <w:sz w:val="20"/>
          <w:szCs w:val="20"/>
          <w:lang w:val="en-US" w:eastAsia="zh-CN" w:bidi="ar"/>
        </w:rPr>
        <w:t xml:space="preserve">Implicated food categories of </w:t>
      </w:r>
      <w:r>
        <w:rPr>
          <w:rFonts w:hint="eastAsia" w:ascii="Times New Roman Bold" w:hAnsi="Times New Roman Bold" w:eastAsia="宋体" w:cs="Times New Roman Bold"/>
          <w:b/>
          <w:bCs/>
          <w:kern w:val="2"/>
          <w:sz w:val="20"/>
          <w:szCs w:val="20"/>
          <w:lang w:val="en-US" w:eastAsia="zh-CN" w:bidi="ar"/>
        </w:rPr>
        <w:t xml:space="preserve">both city and village </w:t>
      </w:r>
      <w:r>
        <w:rPr>
          <w:rFonts w:hint="default" w:ascii="Times New Roman Bold" w:hAnsi="Times New Roman Bold" w:eastAsia="宋体" w:cs="Times New Roman Bold"/>
          <w:b/>
          <w:bCs/>
          <w:kern w:val="2"/>
          <w:sz w:val="20"/>
          <w:szCs w:val="20"/>
          <w:lang w:val="en-US" w:eastAsia="zh-CN" w:bidi="ar"/>
        </w:rPr>
        <w:t>n</w:t>
      </w:r>
      <w:r>
        <w:rPr>
          <w:rFonts w:hint="default" w:ascii="Times New Roman Bold" w:hAnsi="Times New Roman Bold" w:eastAsia="Helvetica" w:cs="Times New Roman Bold"/>
          <w:b/>
          <w:bCs/>
          <w:kern w:val="2"/>
          <w:sz w:val="20"/>
          <w:szCs w:val="20"/>
          <w:lang w:val="en-US" w:eastAsia="zh-CN" w:bidi="ar"/>
        </w:rPr>
        <w:t>on-typhoidal</w:t>
      </w:r>
      <w:r>
        <w:rPr>
          <w:rFonts w:hint="default" w:ascii="Times New Roman Bold" w:hAnsi="Times New Roman Bold" w:eastAsia="宋体" w:cs="Times New Roman Bold"/>
          <w:b/>
          <w:bCs/>
          <w:kern w:val="2"/>
          <w:sz w:val="20"/>
          <w:szCs w:val="20"/>
          <w:lang w:val="en-US" w:eastAsia="zh-CN" w:bidi="ar"/>
        </w:rPr>
        <w:t xml:space="preserve"> </w:t>
      </w:r>
      <w:r>
        <w:rPr>
          <w:rFonts w:hint="default" w:ascii="Times New Roman Bold Italic" w:hAnsi="Times New Roman Bold Italic" w:eastAsia="宋体" w:cs="Times New Roman Bold Italic"/>
          <w:b/>
          <w:bCs/>
          <w:i/>
          <w:iCs/>
          <w:kern w:val="2"/>
          <w:sz w:val="20"/>
          <w:szCs w:val="20"/>
          <w:lang w:val="en-US" w:eastAsia="zh-CN" w:bidi="ar"/>
        </w:rPr>
        <w:t>Salmonella</w:t>
      </w:r>
      <w:r>
        <w:rPr>
          <w:rFonts w:hint="eastAsia" w:ascii="Times New Roman Bold" w:hAnsi="Times New Roman Bold" w:eastAsia="宋体" w:cs="Times New Roman Bold"/>
          <w:b/>
          <w:bCs/>
          <w:kern w:val="2"/>
          <w:sz w:val="20"/>
          <w:szCs w:val="20"/>
          <w:lang w:val="en-US" w:eastAsia="zh-CN" w:bidi="ar"/>
        </w:rPr>
        <w:t xml:space="preserve"> infection</w:t>
      </w:r>
      <w:r>
        <w:rPr>
          <w:rFonts w:hint="default" w:ascii="Times New Roman Bold" w:hAnsi="Times New Roman Bold" w:eastAsia="宋体" w:cs="Times New Roman Bold"/>
          <w:b/>
          <w:bCs/>
          <w:kern w:val="2"/>
          <w:sz w:val="20"/>
          <w:szCs w:val="20"/>
          <w:lang w:val="en-US" w:eastAsia="zh-CN" w:bidi="ar"/>
        </w:rPr>
        <w:t xml:space="preserve"> reported to CFSA in China, 2013–2022</w:t>
      </w:r>
    </w:p>
    <w:tbl>
      <w:tblPr>
        <w:tblStyle w:val="4"/>
        <w:tblW w:w="8738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9"/>
        <w:gridCol w:w="1945"/>
        <w:gridCol w:w="1973"/>
        <w:gridCol w:w="937"/>
        <w:gridCol w:w="994"/>
      </w:tblGrid>
      <w:tr w14:paraId="015677E6">
        <w:trPr>
          <w:trHeight w:val="336" w:hRule="atLeast"/>
          <w:jc w:val="center"/>
        </w:trPr>
        <w:tc>
          <w:tcPr>
            <w:tcW w:w="2889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03DCD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kern w:val="2"/>
                <w:sz w:val="20"/>
                <w:szCs w:val="20"/>
                <w:lang w:val="en-US" w:eastAsia="zh-CN" w:bidi="ar"/>
              </w:rPr>
              <w:t>Implicated food categories</w:t>
            </w:r>
            <w:r>
              <w:rPr>
                <w:rFonts w:hint="default" w:ascii="宋体" w:hAnsi="宋体" w:eastAsia="宋体" w:cs="宋体"/>
                <w:kern w:val="2"/>
                <w:sz w:val="20"/>
                <w:szCs w:val="20"/>
                <w:lang w:val="en-US" w:eastAsia="zh-CN" w:bidi="ar"/>
              </w:rPr>
              <w:t xml:space="preserve"> </w:t>
            </w:r>
          </w:p>
        </w:tc>
        <w:tc>
          <w:tcPr>
            <w:tcW w:w="1945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7B9EC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City (n = 38719)</w:t>
            </w:r>
          </w:p>
        </w:tc>
        <w:tc>
          <w:tcPr>
            <w:tcW w:w="1973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47876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Village (n = 16547)</w:t>
            </w:r>
          </w:p>
        </w:tc>
        <w:tc>
          <w:tcPr>
            <w:tcW w:w="937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6CD10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</w:p>
        </w:tc>
        <w:tc>
          <w:tcPr>
            <w:tcW w:w="994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F1F7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statistic</w:t>
            </w:r>
          </w:p>
        </w:tc>
      </w:tr>
      <w:tr w14:paraId="517285A9">
        <w:trPr>
          <w:trHeight w:val="336" w:hRule="atLeast"/>
          <w:jc w:val="center"/>
        </w:trPr>
        <w:tc>
          <w:tcPr>
            <w:tcW w:w="288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BB15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Grains, n (%)</w:t>
            </w:r>
          </w:p>
        </w:tc>
        <w:tc>
          <w:tcPr>
            <w:tcW w:w="194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112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6DA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F5BE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0.241</w:t>
            </w:r>
          </w:p>
        </w:tc>
        <w:tc>
          <w:tcPr>
            <w:tcW w:w="99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EA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1.376</w:t>
            </w:r>
          </w:p>
        </w:tc>
      </w:tr>
      <w:tr w14:paraId="7892439C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BCD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B389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5483 (14.16)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F9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2407 (14.55)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15B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EB04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BD78441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E13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0D5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33236 (85.84)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B12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14140 (85.45)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603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65E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1AA4763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9032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Fruit, n (%)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485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7DC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0467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0.002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437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9.815</w:t>
            </w:r>
          </w:p>
        </w:tc>
      </w:tr>
      <w:tr w14:paraId="676B1A43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8CC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9D8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5205 (13.44)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815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2061 (12.46)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1CC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170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FEEC3B2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52EA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8F11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33514 (86.56)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949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14486 (87.54)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D369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7F0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8E8FA29">
        <w:trPr>
          <w:trHeight w:val="315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9CF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Meat, n (%)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5EF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C949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1E0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DF47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2.021</w:t>
            </w:r>
          </w:p>
        </w:tc>
      </w:tr>
      <w:tr w14:paraId="3D96507C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CE3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CA1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4541 (11.73)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CD5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2012 (12.16)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604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331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B6BF1BC">
        <w:trPr>
          <w:trHeight w:val="342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D1A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60C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34178 (88.27)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509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14535 (87.84)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336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9913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5988DDE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9D8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Dairy, n (%)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3327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0201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4A4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F631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10.67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C5BF5F0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FB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9CF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3637 (9.39)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95E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1409 (8.52)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5B9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D02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9D3FDEF">
        <w:trPr>
          <w:trHeight w:val="37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BF2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7B58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35082 (90.61)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5FF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15138 (91.48)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9F6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8B2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3F8A834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F251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Complex food, n (%)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B92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55A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FCF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0.965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B21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0.002</w:t>
            </w:r>
          </w:p>
        </w:tc>
      </w:tr>
      <w:tr w14:paraId="5224119C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2227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9E4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3371 (8.71)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FC1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1438 (8.69)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C6E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1D6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CE4D2E7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31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B88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35348 (91.29)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A13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15109 (91.31)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A757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C8D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7CA818F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6A2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Aquatic animals, n (%)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73E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6B4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3F99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0.099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33C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2.729</w:t>
            </w:r>
          </w:p>
        </w:tc>
      </w:tr>
      <w:tr w14:paraId="312D80CF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752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BBC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2402 (6.2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173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1089 (6.58)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A6E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6B35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0F759B4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8302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57F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36317 (93.8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52A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15458 (93.42)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64B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95A7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A9416D9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093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Multiple food, n (%)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605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F56E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FF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0.087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23E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2.929</w:t>
            </w:r>
          </w:p>
        </w:tc>
      </w:tr>
      <w:tr w14:paraId="0E71ED22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07F9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615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2063 (5.33)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BC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942 (5.69)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E71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984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F8967A4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EDB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5CF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36656 (94.67)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CB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15605 (94.31)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88A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1FC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660FF60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3EFE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Vegetables, n (%)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2805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F2D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974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E06D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25.785</w:t>
            </w:r>
          </w:p>
        </w:tc>
      </w:tr>
      <w:tr w14:paraId="5FD7F990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61D8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F12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1878 (4.85)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EBD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976 (5.9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403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7F8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EE45966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4DB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433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36841 (95.15)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CDF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15571 (94.1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AFE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F5E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73B926B7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C8D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Eggs, n (%)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EB7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11C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866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0.021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CAD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5.352</w:t>
            </w:r>
          </w:p>
        </w:tc>
      </w:tr>
      <w:tr w14:paraId="068C50BB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A52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B2C8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1479 (3.82)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6D6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702 (4.24)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B8AD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B74C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706989A1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373D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1F3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37240 (96.18)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8A6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15845 (95.76)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7F4D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E70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F453131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F99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Infant food, n (%)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0A4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6A8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6CC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0.371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D96D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0.801</w:t>
            </w:r>
          </w:p>
        </w:tc>
      </w:tr>
      <w:tr w14:paraId="5066E314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B7D9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498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988 (2.55)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EF8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400 (2.42)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392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A8C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7C254758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26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BC08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37731 (97.45)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6BD0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16147 (97.58)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2B7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F4A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937721B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217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Beverages and frozen drinks, n (%)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D899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51E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8A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E74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2.034</w:t>
            </w:r>
          </w:p>
        </w:tc>
      </w:tr>
      <w:tr w14:paraId="7D62EB0E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1CF6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781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821 (2.12)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2A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 (1.93)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655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49C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F841403">
        <w:trPr>
          <w:trHeight w:val="336" w:hRule="atLeast"/>
          <w:jc w:val="center"/>
        </w:trPr>
        <w:tc>
          <w:tcPr>
            <w:tcW w:w="28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BB936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194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8FEFA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37898 (97.88)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C388A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16228 (98.07)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2FA75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36877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</w:tbl>
    <w:p w14:paraId="7CA29393">
      <w:pPr>
        <w:jc w:val="center"/>
        <w:rPr>
          <w:rFonts w:hint="eastAsia" w:ascii="Times New Roman Regular" w:hAnsi="Times New Roman Regular" w:cs="Times New Roman Regular"/>
          <w:sz w:val="28"/>
          <w:szCs w:val="36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CC65345">
      <w:pPr>
        <w:tabs>
          <w:tab w:val="left" w:pos="4620"/>
        </w:tabs>
        <w:jc w:val="both"/>
        <w:rPr>
          <w:rFonts w:hint="default" w:ascii="Times New Roman Regular" w:hAnsi="Times New Roman Regular" w:cs="Times New Roman Regular"/>
          <w:sz w:val="28"/>
          <w:szCs w:val="36"/>
          <w:lang w:val="en-US" w:eastAsia="zh-CN"/>
        </w:rPr>
      </w:pPr>
    </w:p>
    <w:p w14:paraId="04CA8830">
      <w:pPr>
        <w:jc w:val="center"/>
      </w:pPr>
      <w:r>
        <w:drawing>
          <wp:inline distT="0" distB="0" distL="114300" distR="114300">
            <wp:extent cx="8391525" cy="3400425"/>
            <wp:effectExtent l="0" t="0" r="15875" b="317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39152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7524E">
      <w:pPr>
        <w:jc w:val="center"/>
      </w:pPr>
      <w:r>
        <w:rPr>
          <w:rFonts w:ascii="Times New Roman Regular" w:hAnsi="Times New Roman Regular" w:cs="Times New Roman Regular"/>
          <w:sz w:val="24"/>
        </w:rPr>
        <w:t>Figure S</w:t>
      </w:r>
      <w:r>
        <w:rPr>
          <w:rFonts w:hint="eastAsia" w:ascii="Times New Roman Regular" w:hAnsi="Times New Roman Regular" w:cs="Times New Roman Regular"/>
          <w:sz w:val="24"/>
        </w:rPr>
        <w:t>1.</w:t>
      </w:r>
      <w:r>
        <w:rPr>
          <w:rFonts w:ascii="Times New Roman Regular" w:hAnsi="Times New Roman Regular" w:cs="Times New Roman Regular"/>
          <w:sz w:val="24"/>
        </w:rPr>
        <w:t xml:space="preserve"> Correlation between number of reported </w:t>
      </w:r>
      <w:r>
        <w:rPr>
          <w:rFonts w:hint="eastAsia" w:ascii="Times New Roman Regular" w:hAnsi="Times New Roman Regular" w:cs="Times New Roman Regular"/>
          <w:sz w:val="24"/>
        </w:rPr>
        <w:t>NTS</w:t>
      </w:r>
      <w:r>
        <w:rPr>
          <w:rFonts w:ascii="Times New Roman Regular" w:hAnsi="Times New Roman Regular" w:cs="Times New Roman Regular"/>
          <w:sz w:val="24"/>
        </w:rPr>
        <w:t xml:space="preserve"> and number of reported </w:t>
      </w:r>
      <w:r>
        <w:rPr>
          <w:rFonts w:hint="default" w:ascii="Times New Roman Regular" w:hAnsi="Times New Roman Regular" w:cs="Times New Roman Regular"/>
          <w:sz w:val="24"/>
          <w:lang w:val="en-US"/>
        </w:rPr>
        <w:t>c</w:t>
      </w:r>
      <w:r>
        <w:rPr>
          <w:rFonts w:ascii="Times New Roman Regular" w:hAnsi="Times New Roman Regular" w:cs="Times New Roman Regular"/>
          <w:sz w:val="24"/>
        </w:rPr>
        <w:t xml:space="preserve">ovid-19 cases in China, </w:t>
      </w:r>
      <w:r>
        <w:rPr>
          <w:rFonts w:ascii="Times New Roman Regular" w:hAnsi="Times New Roman Regular" w:cs="Times New Roman Regular"/>
          <w:sz w:val="24"/>
          <w:highlight w:val="none"/>
        </w:rPr>
        <w:t>20</w:t>
      </w:r>
      <w:r>
        <w:rPr>
          <w:rFonts w:hint="eastAsia" w:ascii="Times New Roman Regular" w:hAnsi="Times New Roman Regular" w:cs="Times New Roman Regular"/>
          <w:sz w:val="24"/>
          <w:highlight w:val="none"/>
          <w:lang w:val="en-US" w:eastAsia="zh-CN"/>
        </w:rPr>
        <w:t>20</w:t>
      </w:r>
      <w:r>
        <w:rPr>
          <w:rFonts w:ascii="Times New Roman Regular" w:hAnsi="Times New Roman Regular" w:cs="Times New Roman Regular"/>
          <w:sz w:val="22"/>
          <w:szCs w:val="22"/>
          <w:highlight w:val="none"/>
        </w:rPr>
        <w:t>–</w:t>
      </w:r>
      <w:r>
        <w:rPr>
          <w:rFonts w:ascii="Times New Roman Regular" w:hAnsi="Times New Roman Regular" w:cs="Times New Roman Regular"/>
          <w:sz w:val="24"/>
          <w:highlight w:val="none"/>
        </w:rPr>
        <w:t>2022.</w:t>
      </w:r>
      <w:bookmarkStart w:id="0" w:name="_GoBack"/>
      <w:bookmarkEnd w:id="0"/>
    </w:p>
    <w:p w14:paraId="277D755F">
      <w:pPr>
        <w:jc w:val="center"/>
      </w:pPr>
    </w:p>
    <w:p w14:paraId="130C7ABB">
      <w:pPr>
        <w:jc w:val="center"/>
      </w:pPr>
      <w:r>
        <w:drawing>
          <wp:inline distT="0" distB="0" distL="114300" distR="114300">
            <wp:extent cx="5648325" cy="4257675"/>
            <wp:effectExtent l="0" t="0" r="15875" b="952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F3375">
      <w:pPr>
        <w:tabs>
          <w:tab w:val="center" w:pos="7033"/>
          <w:tab w:val="left" w:pos="13221"/>
        </w:tabs>
        <w:jc w:val="left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  <w:r>
        <w:rPr>
          <w:rFonts w:hint="eastAsia" w:ascii="Times New Roman Regular" w:hAnsi="Times New Roman Regular" w:cs="Times New Roman Regular"/>
          <w:sz w:val="22"/>
          <w:szCs w:val="22"/>
          <w:lang w:eastAsia="zh-CN"/>
        </w:rPr>
        <w:tab/>
      </w:r>
      <w:r>
        <w:rPr>
          <w:rFonts w:ascii="Times New Roman Regular" w:hAnsi="Times New Roman Regular" w:cs="Times New Roman Regular"/>
          <w:sz w:val="22"/>
          <w:szCs w:val="22"/>
        </w:rPr>
        <w:t xml:space="preserve">Figure </w:t>
      </w:r>
      <w:r>
        <w:rPr>
          <w:rFonts w:hint="eastAsia" w:ascii="Times New Roman Regular" w:hAnsi="Times New Roman Regular" w:cs="Times New Roman Regular"/>
          <w:sz w:val="22"/>
          <w:szCs w:val="22"/>
        </w:rPr>
        <w:t>S</w:t>
      </w:r>
      <w:r>
        <w:rPr>
          <w:rFonts w:ascii="Times New Roman Regular" w:hAnsi="Times New Roman Regular" w:cs="Times New Roman Regular"/>
          <w:sz w:val="22"/>
          <w:szCs w:val="22"/>
        </w:rPr>
        <w:t xml:space="preserve">2. Correlation between </w:t>
      </w:r>
      <w:r>
        <w:rPr>
          <w:rFonts w:hint="eastAsia" w:ascii="Times New Roman Regular" w:hAnsi="Times New Roman Regular" w:cs="Times New Roman Regular"/>
          <w:sz w:val="22"/>
          <w:szCs w:val="22"/>
        </w:rPr>
        <w:t>reporting</w:t>
      </w:r>
      <w:r>
        <w:rPr>
          <w:rFonts w:ascii="Times New Roman Regular" w:hAnsi="Times New Roman Regular" w:cs="Times New Roman Regular"/>
          <w:sz w:val="22"/>
          <w:szCs w:val="22"/>
        </w:rPr>
        <w:t xml:space="preserve"> rate of </w:t>
      </w:r>
      <w:r>
        <w:rPr>
          <w:rFonts w:hint="eastAsia" w:ascii="Times New Roman Regular" w:hAnsi="Times New Roman Regular" w:cs="Times New Roman Regular"/>
          <w:sz w:val="22"/>
          <w:szCs w:val="22"/>
        </w:rPr>
        <w:t>NTS</w:t>
      </w:r>
      <w:r>
        <w:rPr>
          <w:rFonts w:ascii="Times New Roman Regular" w:hAnsi="Times New Roman Regular" w:cs="Times New Roman Regular"/>
          <w:sz w:val="22"/>
          <w:szCs w:val="22"/>
        </w:rPr>
        <w:t xml:space="preserve"> and GDP in China, </w:t>
      </w:r>
      <w:r>
        <w:rPr>
          <w:rFonts w:ascii="Times New Roman Regular" w:hAnsi="Times New Roman Regular" w:cs="Times New Roman Regular"/>
          <w:sz w:val="24"/>
        </w:rPr>
        <w:t>2013</w:t>
      </w:r>
      <w:r>
        <w:rPr>
          <w:rFonts w:ascii="Times New Roman Regular" w:hAnsi="Times New Roman Regular" w:cs="Times New Roman Regular"/>
          <w:sz w:val="22"/>
          <w:szCs w:val="22"/>
        </w:rPr>
        <w:t>–</w:t>
      </w:r>
      <w:r>
        <w:rPr>
          <w:rFonts w:ascii="Times New Roman Regular" w:hAnsi="Times New Roman Regular" w:cs="Times New Roman Regular"/>
          <w:sz w:val="24"/>
        </w:rPr>
        <w:t>2022</w:t>
      </w:r>
      <w:r>
        <w:rPr>
          <w:rFonts w:ascii="Times New Roman Regular" w:hAnsi="Times New Roman Regular" w:cs="Times New Roman Regular"/>
          <w:sz w:val="22"/>
          <w:szCs w:val="22"/>
        </w:rPr>
        <w:t>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Times New Roman Bold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FFFD632B"/>
    <w:rsid w:val="000132F7"/>
    <w:rsid w:val="000725CE"/>
    <w:rsid w:val="00143A47"/>
    <w:rsid w:val="00B9355B"/>
    <w:rsid w:val="00DE04ED"/>
    <w:rsid w:val="3F5FDACA"/>
    <w:rsid w:val="3F9F4866"/>
    <w:rsid w:val="3FFF12D4"/>
    <w:rsid w:val="63F9F818"/>
    <w:rsid w:val="737E12BD"/>
    <w:rsid w:val="7BC93D4F"/>
    <w:rsid w:val="7EFBA6B8"/>
    <w:rsid w:val="9DF74A9D"/>
    <w:rsid w:val="BFF750E0"/>
    <w:rsid w:val="EF763392"/>
    <w:rsid w:val="F7FF01D3"/>
    <w:rsid w:val="F9A5ADF0"/>
    <w:rsid w:val="FEFEC824"/>
    <w:rsid w:val="FFFD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8"/>
    <w:uiPriority w:val="0"/>
    <w:rPr>
      <w:sz w:val="20"/>
      <w:szCs w:val="20"/>
    </w:rPr>
  </w:style>
  <w:style w:type="paragraph" w:styleId="3">
    <w:name w:val="annotation subject"/>
    <w:basedOn w:val="2"/>
    <w:next w:val="2"/>
    <w:link w:val="9"/>
    <w:uiPriority w:val="0"/>
    <w:rPr>
      <w:b/>
      <w:bCs/>
    </w:rPr>
  </w:style>
  <w:style w:type="character" w:styleId="6">
    <w:name w:val="annotation reference"/>
    <w:basedOn w:val="5"/>
    <w:uiPriority w:val="0"/>
    <w:rPr>
      <w:sz w:val="16"/>
      <w:szCs w:val="16"/>
    </w:rPr>
  </w:style>
  <w:style w:type="paragraph" w:customStyle="1" w:styleId="7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8">
    <w:name w:val="Comment Text Char"/>
    <w:basedOn w:val="5"/>
    <w:link w:val="2"/>
    <w:uiPriority w:val="0"/>
    <w:rPr>
      <w:kern w:val="2"/>
      <w:lang w:eastAsia="zh-CN"/>
    </w:rPr>
  </w:style>
  <w:style w:type="character" w:customStyle="1" w:styleId="9">
    <w:name w:val="Comment Subject Char"/>
    <w:basedOn w:val="8"/>
    <w:link w:val="3"/>
    <w:uiPriority w:val="0"/>
    <w:rPr>
      <w:b/>
      <w:bCs/>
      <w:kern w:val="2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33</Words>
  <Characters>193</Characters>
  <Lines>1</Lines>
  <Paragraphs>1</Paragraphs>
  <TotalTime>20</TotalTime>
  <ScaleCrop>false</ScaleCrop>
  <LinksUpToDate>false</LinksUpToDate>
  <CharactersWithSpaces>225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2025-03-25T20:27:00Z</dcterms:created>
  <dc:creator>Data</dc:creator>
  <cp:lastModifiedBy>XZ</cp:lastModifiedBy>
  <dcterms:modified xsi:type="dcterms:W3CDTF">2025-06-04T12:05:14Z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DD9D37B4004C9E6221E21E67B26AC4CA_41</vt:lpwstr>
  </property>
  <property fmtid="{D5CDD505-2E9C-101B-9397-08002B2CF9AE}" pid="4" name="MSIP_Label_7b94a7b8-f06c-4dfe-bdcc-9b548fd58c31_Enabled">
    <vt:lpwstr>true</vt:lpwstr>
  </property>
  <property fmtid="{D5CDD505-2E9C-101B-9397-08002B2CF9AE}" pid="5" name="MSIP_Label_7b94a7b8-f06c-4dfe-bdcc-9b548fd58c31_SetDate">
    <vt:lpwstr>2025-03-26T12:35:02Z</vt:lpwstr>
  </property>
  <property fmtid="{D5CDD505-2E9C-101B-9397-08002B2CF9AE}" pid="6" name="MSIP_Label_7b94a7b8-f06c-4dfe-bdcc-9b548fd58c31_Method">
    <vt:lpwstr>Privileged</vt:lpwstr>
  </property>
  <property fmtid="{D5CDD505-2E9C-101B-9397-08002B2CF9AE}" pid="7" name="MSIP_Label_7b94a7b8-f06c-4dfe-bdcc-9b548fd58c31_Name">
    <vt:lpwstr>7b94a7b8-f06c-4dfe-bdcc-9b548fd58c31</vt:lpwstr>
  </property>
  <property fmtid="{D5CDD505-2E9C-101B-9397-08002B2CF9AE}" pid="8" name="MSIP_Label_7b94a7b8-f06c-4dfe-bdcc-9b548fd58c31_SiteId">
    <vt:lpwstr>9ce70869-60db-44fd-abe8-d2767077fc8f</vt:lpwstr>
  </property>
  <property fmtid="{D5CDD505-2E9C-101B-9397-08002B2CF9AE}" pid="9" name="MSIP_Label_7b94a7b8-f06c-4dfe-bdcc-9b548fd58c31_ActionId">
    <vt:lpwstr>18cd392d-19fc-4a49-b5b1-4f9c636ba4c5</vt:lpwstr>
  </property>
  <property fmtid="{D5CDD505-2E9C-101B-9397-08002B2CF9AE}" pid="10" name="MSIP_Label_7b94a7b8-f06c-4dfe-bdcc-9b548fd58c31_ContentBits">
    <vt:lpwstr>0</vt:lpwstr>
  </property>
</Properties>
</file>