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D6B5F" w14:textId="77777777" w:rsidR="009F4BE2" w:rsidRPr="009B32E3" w:rsidRDefault="009F4BE2" w:rsidP="009F4BE2">
      <w:pPr>
        <w:pStyle w:val="ListParagraph"/>
        <w:spacing w:line="480" w:lineRule="auto"/>
        <w:rPr>
          <w:rFonts w:ascii="Arial" w:eastAsia="Arial" w:hAnsi="Arial" w:cs="Arial"/>
          <w:b/>
          <w:sz w:val="28"/>
        </w:rPr>
      </w:pPr>
      <w:r w:rsidRPr="009B32E3">
        <w:rPr>
          <w:rFonts w:ascii="Arial" w:eastAsia="Arial" w:hAnsi="Arial" w:cs="Arial"/>
          <w:b/>
          <w:sz w:val="28"/>
        </w:rPr>
        <w:t>Appendix 1</w:t>
      </w:r>
    </w:p>
    <w:p w14:paraId="04DCD91B" w14:textId="77777777" w:rsidR="009F4BE2" w:rsidRDefault="009F4BE2" w:rsidP="009F4BE2">
      <w:pPr>
        <w:spacing w:line="480" w:lineRule="auto"/>
        <w:rPr>
          <w:rFonts w:ascii="Arial" w:eastAsia="Arial" w:hAnsi="Arial" w:cs="Arial"/>
          <w:b/>
          <w:sz w:val="20"/>
        </w:rPr>
      </w:pPr>
    </w:p>
    <w:tbl>
      <w:tblPr>
        <w:tblStyle w:val="GridTable1Light"/>
        <w:tblW w:w="0" w:type="auto"/>
        <w:tblLook w:val="04A0" w:firstRow="1" w:lastRow="0" w:firstColumn="1" w:lastColumn="0" w:noHBand="0" w:noVBand="1"/>
      </w:tblPr>
      <w:tblGrid>
        <w:gridCol w:w="3005"/>
        <w:gridCol w:w="1952"/>
        <w:gridCol w:w="4059"/>
      </w:tblGrid>
      <w:tr w:rsidR="009F4BE2" w14:paraId="04D2A911" w14:textId="77777777" w:rsidTr="00DA01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781A020" w14:textId="77777777" w:rsidR="009F4BE2" w:rsidRDefault="009F4BE2" w:rsidP="00DA0121">
            <w:pPr>
              <w:rPr>
                <w:rFonts w:ascii="Arial" w:eastAsia="Arial" w:hAnsi="Arial" w:cs="Arial"/>
              </w:rPr>
            </w:pPr>
            <w:r>
              <w:rPr>
                <w:rFonts w:ascii="Arial" w:eastAsia="Arial" w:hAnsi="Arial" w:cs="Arial"/>
                <w:b w:val="0"/>
                <w:sz w:val="24"/>
              </w:rPr>
              <w:t>Category</w:t>
            </w:r>
          </w:p>
        </w:tc>
        <w:tc>
          <w:tcPr>
            <w:tcW w:w="1952" w:type="dxa"/>
          </w:tcPr>
          <w:p w14:paraId="32E8B1C2" w14:textId="77777777" w:rsidR="009F4BE2" w:rsidRDefault="009F4BE2" w:rsidP="00DA0121">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b w:val="0"/>
                <w:sz w:val="24"/>
              </w:rPr>
              <w:t>Theme</w:t>
            </w:r>
          </w:p>
        </w:tc>
        <w:tc>
          <w:tcPr>
            <w:tcW w:w="4059" w:type="dxa"/>
          </w:tcPr>
          <w:p w14:paraId="23F839EB" w14:textId="77777777" w:rsidR="009F4BE2" w:rsidRDefault="009F4BE2" w:rsidP="00DA0121">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b w:val="0"/>
                <w:sz w:val="24"/>
              </w:rPr>
              <w:t>Definition</w:t>
            </w:r>
          </w:p>
        </w:tc>
      </w:tr>
      <w:tr w:rsidR="009F4BE2" w14:paraId="7EFBDAD9" w14:textId="77777777" w:rsidTr="00DA0121">
        <w:tc>
          <w:tcPr>
            <w:cnfStyle w:val="001000000000" w:firstRow="0" w:lastRow="0" w:firstColumn="1" w:lastColumn="0" w:oddVBand="0" w:evenVBand="0" w:oddHBand="0" w:evenHBand="0" w:firstRowFirstColumn="0" w:firstRowLastColumn="0" w:lastRowFirstColumn="0" w:lastRowLastColumn="0"/>
            <w:tcW w:w="3005" w:type="dxa"/>
            <w:vMerge w:val="restart"/>
          </w:tcPr>
          <w:p w14:paraId="20ACA999" w14:textId="77777777" w:rsidR="009F4BE2" w:rsidRDefault="009F4BE2" w:rsidP="00DA0121">
            <w:pPr>
              <w:jc w:val="center"/>
              <w:rPr>
                <w:rFonts w:ascii="Arial" w:eastAsia="Arial" w:hAnsi="Arial" w:cs="Arial"/>
              </w:rPr>
            </w:pPr>
          </w:p>
          <w:p w14:paraId="1AF323CF" w14:textId="77777777" w:rsidR="009F4BE2" w:rsidRDefault="009F4BE2" w:rsidP="00DA0121">
            <w:pPr>
              <w:jc w:val="center"/>
              <w:rPr>
                <w:rFonts w:ascii="Arial" w:eastAsia="Arial" w:hAnsi="Arial" w:cs="Arial"/>
              </w:rPr>
            </w:pPr>
          </w:p>
          <w:p w14:paraId="7CB16BC6" w14:textId="77777777" w:rsidR="009F4BE2" w:rsidRDefault="009F4BE2" w:rsidP="00DA0121">
            <w:pPr>
              <w:jc w:val="center"/>
              <w:rPr>
                <w:rFonts w:ascii="Arial" w:eastAsia="Arial" w:hAnsi="Arial" w:cs="Arial"/>
              </w:rPr>
            </w:pPr>
          </w:p>
          <w:p w14:paraId="3D80983F" w14:textId="77777777" w:rsidR="009F4BE2" w:rsidRDefault="009F4BE2" w:rsidP="00DA0121">
            <w:pPr>
              <w:jc w:val="center"/>
              <w:rPr>
                <w:rFonts w:ascii="Arial" w:eastAsia="Arial" w:hAnsi="Arial" w:cs="Arial"/>
              </w:rPr>
            </w:pPr>
          </w:p>
          <w:p w14:paraId="095D728B" w14:textId="77777777" w:rsidR="009F4BE2" w:rsidRDefault="009F4BE2" w:rsidP="00DA0121">
            <w:pPr>
              <w:jc w:val="center"/>
              <w:rPr>
                <w:rFonts w:ascii="Arial" w:eastAsia="Arial" w:hAnsi="Arial" w:cs="Arial"/>
              </w:rPr>
            </w:pPr>
          </w:p>
          <w:p w14:paraId="6100072D" w14:textId="77777777" w:rsidR="009F4BE2" w:rsidRDefault="009F4BE2" w:rsidP="00DA0121">
            <w:pPr>
              <w:jc w:val="center"/>
              <w:rPr>
                <w:rFonts w:ascii="Arial" w:eastAsia="Arial" w:hAnsi="Arial" w:cs="Arial"/>
              </w:rPr>
            </w:pPr>
          </w:p>
          <w:p w14:paraId="59202A87" w14:textId="77777777" w:rsidR="009F4BE2" w:rsidRDefault="009F4BE2" w:rsidP="00DA0121">
            <w:pPr>
              <w:jc w:val="center"/>
              <w:rPr>
                <w:rFonts w:ascii="Arial" w:eastAsia="Arial" w:hAnsi="Arial" w:cs="Arial"/>
              </w:rPr>
            </w:pPr>
          </w:p>
          <w:p w14:paraId="420C6D70" w14:textId="77777777" w:rsidR="009F4BE2" w:rsidRDefault="009F4BE2" w:rsidP="00DA0121">
            <w:pPr>
              <w:jc w:val="center"/>
              <w:rPr>
                <w:rFonts w:ascii="Arial" w:eastAsia="Arial" w:hAnsi="Arial" w:cs="Arial"/>
              </w:rPr>
            </w:pPr>
          </w:p>
          <w:p w14:paraId="71CF26D8" w14:textId="77777777" w:rsidR="009F4BE2" w:rsidRDefault="009F4BE2" w:rsidP="00DA0121">
            <w:pPr>
              <w:jc w:val="center"/>
              <w:rPr>
                <w:rFonts w:ascii="Arial" w:eastAsia="Arial" w:hAnsi="Arial" w:cs="Arial"/>
              </w:rPr>
            </w:pPr>
          </w:p>
          <w:p w14:paraId="33121F69" w14:textId="77777777" w:rsidR="009F4BE2" w:rsidRDefault="009F4BE2" w:rsidP="00DA0121">
            <w:pPr>
              <w:jc w:val="center"/>
              <w:rPr>
                <w:rFonts w:ascii="Arial" w:eastAsia="Arial" w:hAnsi="Arial" w:cs="Arial"/>
              </w:rPr>
            </w:pPr>
            <w:r w:rsidRPr="00EB4D3F">
              <w:rPr>
                <w:rFonts w:ascii="Arial" w:eastAsia="Arial" w:hAnsi="Arial" w:cs="Arial"/>
                <w:b w:val="0"/>
                <w:color w:val="FF0000"/>
                <w:sz w:val="24"/>
              </w:rPr>
              <w:t>Proximal</w:t>
            </w:r>
            <w:r>
              <w:rPr>
                <w:rFonts w:ascii="Arial" w:eastAsia="Arial" w:hAnsi="Arial" w:cs="Arial"/>
                <w:b w:val="0"/>
                <w:sz w:val="24"/>
              </w:rPr>
              <w:t xml:space="preserve"> stressor</w:t>
            </w:r>
          </w:p>
        </w:tc>
        <w:tc>
          <w:tcPr>
            <w:tcW w:w="1952" w:type="dxa"/>
          </w:tcPr>
          <w:p w14:paraId="594BCB32" w14:textId="77777777" w:rsidR="009F4BE2" w:rsidRDefault="009F4BE2" w:rsidP="00DA0121">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sz w:val="24"/>
              </w:rPr>
              <w:t>Language dissonance</w:t>
            </w:r>
          </w:p>
        </w:tc>
        <w:tc>
          <w:tcPr>
            <w:tcW w:w="4059" w:type="dxa"/>
          </w:tcPr>
          <w:p w14:paraId="4BBF2504" w14:textId="77777777" w:rsidR="009F4BE2" w:rsidRDefault="009F4BE2" w:rsidP="00DA0121">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sz w:val="24"/>
              </w:rPr>
              <w:t xml:space="preserve">Incongruity, disharmony, or discordance,  </w:t>
            </w:r>
            <w:r w:rsidRPr="00EB4D3F">
              <w:rPr>
                <w:rFonts w:ascii="Arial" w:eastAsia="Arial" w:hAnsi="Arial" w:cs="Arial"/>
                <w:color w:val="FF0000"/>
                <w:sz w:val="24"/>
              </w:rPr>
              <w:t xml:space="preserve">whether intentional or not, both intra-culturally and inter-culturally, </w:t>
            </w:r>
            <w:r>
              <w:rPr>
                <w:rFonts w:ascii="Arial" w:eastAsia="Arial" w:hAnsi="Arial" w:cs="Arial"/>
                <w:sz w:val="24"/>
              </w:rPr>
              <w:t xml:space="preserve">arising from linguistic differences or conflicts within a communicative context </w:t>
            </w:r>
            <w:r>
              <w:rPr>
                <w:rFonts w:ascii="Arial" w:eastAsia="Arial" w:hAnsi="Arial" w:cs="Arial"/>
                <w:sz w:val="24"/>
              </w:rPr>
              <w:fldChar w:fldCharType="begin"/>
            </w:r>
            <w:r>
              <w:rPr>
                <w:rFonts w:ascii="Arial" w:eastAsia="Arial" w:hAnsi="Arial" w:cs="Arial"/>
                <w:sz w:val="24"/>
              </w:rPr>
              <w:instrText xml:space="preserve"> ADDIN EN.CITE &lt;EndNote&gt;&lt;Cite&gt;&lt;Author&gt;Zamborlin&lt;/Author&gt;&lt;Year&gt;2007&lt;/Year&gt;&lt;RecNum&gt;438&lt;/RecNum&gt;&lt;DisplayText&gt;[105]&lt;/DisplayText&gt;&lt;record&gt;&lt;rec-number&gt;438&lt;/rec-number&gt;&lt;foreign-keys&gt;&lt;key app="EN" db-id="0t5arpw0dadwp0e0r0ov95pwzrdtvwv0err0" timestamp="1734649215" guid="d20e3a72-8574-4a1e-a044-e40abe563ded"&gt;438&lt;/key&gt;&lt;/foreign-keys&gt;&lt;ref-type name="Journal Article"&gt;17&lt;/ref-type&gt;&lt;contributors&gt;&lt;authors&gt;&lt;author&gt;Chiara Zamborlin&lt;/author&gt;&lt;/authors&gt;&lt;/contributors&gt;&lt;titles&gt;&lt;title&gt;Going beyond pragmatic failures: Dissonance in intercultural communication&lt;/title&gt;&lt;secondary-title&gt;Intercultural Pragmatics&lt;/secondary-title&gt;&lt;/titles&gt;&lt;periodical&gt;&lt;full-title&gt;Intercultural Pragmatics&lt;/full-title&gt;&lt;/periodical&gt;&lt;pages&gt;21-50&lt;/pages&gt;&lt;volume&gt;4&lt;/volume&gt;&lt;number&gt;1&lt;/number&gt;&lt;dates&gt;&lt;year&gt;2007&lt;/year&gt;&lt;/dates&gt;&lt;urls&gt;&lt;/urls&gt;&lt;/record&gt;&lt;/Cite&gt;&lt;/EndNote&gt;</w:instrText>
            </w:r>
            <w:r>
              <w:rPr>
                <w:rFonts w:ascii="Arial" w:eastAsia="Arial" w:hAnsi="Arial" w:cs="Arial"/>
                <w:sz w:val="24"/>
              </w:rPr>
              <w:fldChar w:fldCharType="separate"/>
            </w:r>
            <w:r>
              <w:rPr>
                <w:rFonts w:ascii="Arial" w:eastAsia="Arial" w:hAnsi="Arial" w:cs="Arial"/>
                <w:noProof/>
                <w:sz w:val="24"/>
              </w:rPr>
              <w:t>[105]</w:t>
            </w:r>
            <w:r>
              <w:rPr>
                <w:rFonts w:ascii="Arial" w:eastAsia="Arial" w:hAnsi="Arial" w:cs="Arial"/>
                <w:sz w:val="24"/>
              </w:rPr>
              <w:fldChar w:fldCharType="end"/>
            </w:r>
            <w:r>
              <w:rPr>
                <w:rFonts w:ascii="Arial" w:eastAsia="Arial" w:hAnsi="Arial" w:cs="Arial"/>
                <w:sz w:val="24"/>
              </w:rPr>
              <w:t>.</w:t>
            </w:r>
          </w:p>
        </w:tc>
      </w:tr>
      <w:tr w:rsidR="009F4BE2" w14:paraId="1889DC70" w14:textId="77777777" w:rsidTr="00DA0121">
        <w:tc>
          <w:tcPr>
            <w:cnfStyle w:val="001000000000" w:firstRow="0" w:lastRow="0" w:firstColumn="1" w:lastColumn="0" w:oddVBand="0" w:evenVBand="0" w:oddHBand="0" w:evenHBand="0" w:firstRowFirstColumn="0" w:firstRowLastColumn="0" w:lastRowFirstColumn="0" w:lastRowLastColumn="0"/>
            <w:tcW w:w="3005" w:type="dxa"/>
            <w:vMerge/>
            <w:tcBorders>
              <w:top w:val="nil"/>
              <w:bottom w:val="nil"/>
            </w:tcBorders>
          </w:tcPr>
          <w:p w14:paraId="1F07B337" w14:textId="77777777" w:rsidR="009F4BE2" w:rsidRDefault="009F4BE2" w:rsidP="00DA0121"/>
        </w:tc>
        <w:tc>
          <w:tcPr>
            <w:tcW w:w="1952" w:type="dxa"/>
          </w:tcPr>
          <w:p w14:paraId="05730C8A" w14:textId="77777777" w:rsidR="009F4BE2" w:rsidRDefault="009F4BE2" w:rsidP="00DA0121">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sz w:val="24"/>
              </w:rPr>
              <w:t>Identity confusion</w:t>
            </w:r>
          </w:p>
        </w:tc>
        <w:tc>
          <w:tcPr>
            <w:tcW w:w="4059" w:type="dxa"/>
          </w:tcPr>
          <w:p w14:paraId="29B4CF85" w14:textId="77777777" w:rsidR="009F4BE2" w:rsidRDefault="009F4BE2" w:rsidP="00DA0121">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sz w:val="24"/>
              </w:rPr>
              <w:t xml:space="preserve">Subjective sense of consistency and continuity over time and situations concerning a feeling of being "mixed up," in which individuals experience difficulty committing to life choices and lack a clear sense of purpose and direction </w:t>
            </w:r>
            <w:r>
              <w:rPr>
                <w:rFonts w:ascii="Arial" w:eastAsia="Arial" w:hAnsi="Arial" w:cs="Arial"/>
                <w:sz w:val="24"/>
              </w:rPr>
              <w:fldChar w:fldCharType="begin"/>
            </w:r>
            <w:r>
              <w:rPr>
                <w:rFonts w:ascii="Arial" w:eastAsia="Arial" w:hAnsi="Arial" w:cs="Arial"/>
                <w:sz w:val="24"/>
              </w:rPr>
              <w:instrText xml:space="preserve"> ADDIN EN.CITE &lt;EndNote&gt;&lt;Cite&gt;&lt;Author&gt;Schwartz&lt;/Author&gt;&lt;Year&gt;2009&lt;/Year&gt;&lt;RecNum&gt;71&lt;/RecNum&gt;&lt;DisplayText&gt;[106]&lt;/DisplayText&gt;&lt;record&gt;&lt;rec-number&gt;71&lt;/rec-number&gt;&lt;foreign-keys&gt;&lt;key app="EN" db-id="0t5arpw0dadwp0e0r0ov95pwzrdtvwv0err0" timestamp="1709078231" guid="3789194b-643d-46c5-abb3-b96c54d6006f"&gt;71&lt;/key&gt;&lt;/foreign-keys&gt;&lt;ref-type name="Journal Article"&gt;17&lt;/ref-type&gt;&lt;contributors&gt;&lt;authors&gt;&lt;author&gt;Schwartz, SethJ&lt;/author&gt;&lt;author&gt;Zamboanga, ByronL&lt;/author&gt;&lt;author&gt;Wang, Wei&lt;/author&gt;&lt;author&gt;Olthuis, JanineV&lt;/author&gt;&lt;/authors&gt;&lt;/contributors&gt;&lt;titles&gt;&lt;title&gt;Measuring identity from an Eriksonian perspective: Two sides of the same coin?&lt;/title&gt;&lt;secondary-title&gt;Journal of Personality Assessment&lt;/secondary-title&gt;&lt;/titles&gt;&lt;periodical&gt;&lt;full-title&gt;Journal of Personality Assessment&lt;/full-title&gt;&lt;/periodical&gt;&lt;pages&gt;143-154&lt;/pages&gt;&lt;volume&gt;91&lt;/volume&gt;&lt;number&gt;2&lt;/number&gt;&lt;keywords&gt;&lt;keyword&gt;Identity (Psychology)&lt;/keyword&gt;&lt;keyword&gt;Psychometrics&lt;/keyword&gt;&lt;keyword&gt;Self-esteem&lt;/keyword&gt;&lt;keyword&gt;Mental depression&lt;/keyword&gt;&lt;keyword&gt;Psychology&lt;/keyword&gt;&lt;keyword&gt;Personality&lt;/keyword&gt;&lt;keyword&gt;Ego (Psychology)&lt;/keyword&gt;&lt;keyword&gt;Psychological stress&lt;/keyword&gt;&lt;/keywords&gt;&lt;dates&gt;&lt;year&gt;2009&lt;/year&gt;&lt;/dates&gt;&lt;publisher&gt;Taylor &amp;amp; Francis Ltd&lt;/publisher&gt;&lt;isbn&gt;0022-3891&lt;/isbn&gt;&lt;urls&gt;&lt;related-urls&gt;&lt;url&gt;https://research.ebsco.com/linkprocessor/plink?id=f4b1399f-fc2f-3748-aeb6-bae041f2bded&lt;/url&gt;&lt;/related-urls&gt;&lt;/urls&gt;&lt;electronic-resource-num&gt;10.1080/00223890802634266&lt;/electronic-resource-num&gt;&lt;remote-database-name&gt;Business Source Complete&lt;/remote-database-name&gt;&lt;remote-database-provider&gt;EBSCOhost&lt;/remote-database-provider&gt;&lt;language&gt;eng&lt;/language&gt;&lt;/record&gt;&lt;/Cite&gt;&lt;/EndNote&gt;</w:instrText>
            </w:r>
            <w:r>
              <w:rPr>
                <w:rFonts w:ascii="Arial" w:eastAsia="Arial" w:hAnsi="Arial" w:cs="Arial"/>
                <w:sz w:val="24"/>
              </w:rPr>
              <w:fldChar w:fldCharType="separate"/>
            </w:r>
            <w:r>
              <w:rPr>
                <w:rFonts w:ascii="Arial" w:eastAsia="Arial" w:hAnsi="Arial" w:cs="Arial"/>
                <w:noProof/>
                <w:sz w:val="24"/>
              </w:rPr>
              <w:t>[106]</w:t>
            </w:r>
            <w:r>
              <w:rPr>
                <w:rFonts w:ascii="Arial" w:eastAsia="Arial" w:hAnsi="Arial" w:cs="Arial"/>
                <w:sz w:val="24"/>
              </w:rPr>
              <w:fldChar w:fldCharType="end"/>
            </w:r>
            <w:r>
              <w:rPr>
                <w:rFonts w:ascii="Arial" w:eastAsia="Arial" w:hAnsi="Arial" w:cs="Arial"/>
                <w:sz w:val="24"/>
              </w:rPr>
              <w:t>.</w:t>
            </w:r>
          </w:p>
        </w:tc>
      </w:tr>
      <w:tr w:rsidR="009F4BE2" w14:paraId="487164F0" w14:textId="77777777" w:rsidTr="00DA0121">
        <w:tc>
          <w:tcPr>
            <w:cnfStyle w:val="001000000000" w:firstRow="0" w:lastRow="0" w:firstColumn="1" w:lastColumn="0" w:oddVBand="0" w:evenVBand="0" w:oddHBand="0" w:evenHBand="0" w:firstRowFirstColumn="0" w:firstRowLastColumn="0" w:lastRowFirstColumn="0" w:lastRowLastColumn="0"/>
            <w:tcW w:w="3005" w:type="dxa"/>
            <w:vMerge/>
            <w:tcBorders>
              <w:top w:val="nil"/>
              <w:bottom w:val="nil"/>
            </w:tcBorders>
          </w:tcPr>
          <w:p w14:paraId="7BDA7439" w14:textId="77777777" w:rsidR="009F4BE2" w:rsidRDefault="009F4BE2" w:rsidP="00DA0121"/>
        </w:tc>
        <w:tc>
          <w:tcPr>
            <w:tcW w:w="1952" w:type="dxa"/>
          </w:tcPr>
          <w:p w14:paraId="06A9B01D" w14:textId="77777777" w:rsidR="009F4BE2" w:rsidRDefault="009F4BE2" w:rsidP="00DA0121">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sz w:val="24"/>
              </w:rPr>
              <w:t>Cross-cultural code switching</w:t>
            </w:r>
          </w:p>
        </w:tc>
        <w:tc>
          <w:tcPr>
            <w:tcW w:w="4059" w:type="dxa"/>
          </w:tcPr>
          <w:p w14:paraId="36D5F053" w14:textId="77777777" w:rsidR="009F4BE2" w:rsidRDefault="009F4BE2" w:rsidP="00DA0121">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sz w:val="24"/>
              </w:rPr>
              <w:t xml:space="preserve">Cross-cultural code-switching refers to the ability of an individual to successfully adapt their language and behaviour in foreign cultural interactions </w:t>
            </w:r>
            <w:r>
              <w:rPr>
                <w:rFonts w:ascii="Arial" w:eastAsia="Arial" w:hAnsi="Arial" w:cs="Arial"/>
                <w:sz w:val="24"/>
              </w:rPr>
              <w:fldChar w:fldCharType="begin"/>
            </w:r>
            <w:r>
              <w:rPr>
                <w:rFonts w:ascii="Arial" w:eastAsia="Arial" w:hAnsi="Arial" w:cs="Arial"/>
                <w:sz w:val="24"/>
              </w:rPr>
              <w:instrText xml:space="preserve"> ADDIN EN.CITE &lt;EndNote&gt;&lt;Cite&gt;&lt;Author&gt;Molinsky&lt;/Author&gt;&lt;Year&gt;2007&lt;/Year&gt;&lt;RecNum&gt;439&lt;/RecNum&gt;&lt;DisplayText&gt;[107]&lt;/DisplayText&gt;&lt;record&gt;&lt;rec-number&gt;439&lt;/rec-number&gt;&lt;foreign-keys&gt;&lt;key app="EN" db-id="0t5arpw0dadwp0e0r0ov95pwzrdtvwv0err0" timestamp="1734649358" guid="3031bbed-f317-41b6-86b4-13118d2a9d34"&gt;439&lt;/key&gt;&lt;/foreign-keys&gt;&lt;ref-type name="Journal Article"&gt;17&lt;/ref-type&gt;&lt;contributors&gt;&lt;authors&gt;&lt;author&gt;Andrew Molinsky&lt;/author&gt;&lt;/authors&gt;&lt;/contributors&gt;&lt;titles&gt;&lt;title&gt;Cross-cultural code-switching: The psychological challenges of adapting behavior in foreign cultural interactions&lt;/title&gt;&lt;secondary-title&gt;Academy of management review&lt;/secondary-title&gt;&lt;/titles&gt;&lt;periodical&gt;&lt;full-title&gt;Academy of management review&lt;/full-title&gt;&lt;/periodical&gt;&lt;pages&gt;622-640&lt;/pages&gt;&lt;volume&gt;32&lt;/volume&gt;&lt;number&gt;2&lt;/number&gt;&lt;dates&gt;&lt;year&gt;2007&lt;/year&gt;&lt;/dates&gt;&lt;urls&gt;&lt;/urls&gt;&lt;/record&gt;&lt;/Cite&gt;&lt;/EndNote&gt;</w:instrText>
            </w:r>
            <w:r>
              <w:rPr>
                <w:rFonts w:ascii="Arial" w:eastAsia="Arial" w:hAnsi="Arial" w:cs="Arial"/>
                <w:sz w:val="24"/>
              </w:rPr>
              <w:fldChar w:fldCharType="separate"/>
            </w:r>
            <w:r>
              <w:rPr>
                <w:rFonts w:ascii="Arial" w:eastAsia="Arial" w:hAnsi="Arial" w:cs="Arial"/>
                <w:noProof/>
                <w:sz w:val="24"/>
              </w:rPr>
              <w:t>[107]</w:t>
            </w:r>
            <w:r>
              <w:rPr>
                <w:rFonts w:ascii="Arial" w:eastAsia="Arial" w:hAnsi="Arial" w:cs="Arial"/>
                <w:sz w:val="24"/>
              </w:rPr>
              <w:fldChar w:fldCharType="end"/>
            </w:r>
            <w:r>
              <w:rPr>
                <w:rFonts w:ascii="Arial" w:eastAsia="Arial" w:hAnsi="Arial" w:cs="Arial"/>
                <w:sz w:val="24"/>
              </w:rPr>
              <w:t xml:space="preserve">. This is an extension of the code-switching concept which has its foundation in linguistics. Code-switching is the process of switching from one linguistic code to another depending on the social context or conversational setting </w:t>
            </w:r>
            <w:r>
              <w:rPr>
                <w:rFonts w:ascii="Arial" w:eastAsia="Arial" w:hAnsi="Arial" w:cs="Arial"/>
                <w:sz w:val="24"/>
              </w:rPr>
              <w:fldChar w:fldCharType="begin"/>
            </w:r>
            <w:r>
              <w:rPr>
                <w:rFonts w:ascii="Arial" w:eastAsia="Arial" w:hAnsi="Arial" w:cs="Arial"/>
                <w:sz w:val="24"/>
              </w:rPr>
              <w:instrText xml:space="preserve"> ADDIN EN.CITE &lt;EndNote&gt;&lt;Cite&gt;&lt;Author&gt;Gardner-Chloros&lt;/Author&gt;&lt;Year&gt;2020&lt;/Year&gt;&lt;RecNum&gt;201&lt;/RecNum&gt;&lt;DisplayText&gt;[108]&lt;/DisplayText&gt;&lt;record&gt;&lt;rec-number&gt;201&lt;/rec-number&gt;&lt;foreign-keys&gt;&lt;key app="EN" db-id="0t5arpw0dadwp0e0r0ov95pwzrdtvwv0err0" timestamp="1713397059" guid="f1ee7094-c33f-4c0c-bb36-c81f03e0813c"&gt;201&lt;/key&gt;&lt;/foreign-keys&gt;&lt;ref-type name="Book Section"&gt;5&lt;/ref-type&gt;&lt;contributors&gt;&lt;authors&gt;&lt;author&gt;Penelope Gardner-Chloros&lt;/author&gt;&lt;/authors&gt;&lt;secondary-authors&gt;&lt;author&gt;Raymond Hickey&lt;/author&gt;&lt;/secondary-authors&gt;&lt;/contributors&gt;&lt;titles&gt;&lt;title&gt;Contact and code-switching&lt;/title&gt;&lt;secondary-title&gt;The Handbook of Language Contact&lt;/secondary-title&gt;&lt;/titles&gt;&lt;pages&gt;181-199&lt;/pages&gt;&lt;section&gt;9&lt;/section&gt;&lt;dates&gt;&lt;year&gt;2020&lt;/year&gt;&lt;/dates&gt;&lt;publisher&gt;John Wiley &amp;amp; Sons Ltd&lt;/publisher&gt;&lt;urls&gt;&lt;/urls&gt;&lt;/record&gt;&lt;/Cite&gt;&lt;/EndNote&gt;</w:instrText>
            </w:r>
            <w:r>
              <w:rPr>
                <w:rFonts w:ascii="Arial" w:eastAsia="Arial" w:hAnsi="Arial" w:cs="Arial"/>
                <w:sz w:val="24"/>
              </w:rPr>
              <w:fldChar w:fldCharType="separate"/>
            </w:r>
            <w:r>
              <w:rPr>
                <w:rFonts w:ascii="Arial" w:eastAsia="Arial" w:hAnsi="Arial" w:cs="Arial"/>
                <w:noProof/>
                <w:sz w:val="24"/>
              </w:rPr>
              <w:t>[108]</w:t>
            </w:r>
            <w:r>
              <w:rPr>
                <w:rFonts w:ascii="Arial" w:eastAsia="Arial" w:hAnsi="Arial" w:cs="Arial"/>
                <w:sz w:val="24"/>
              </w:rPr>
              <w:fldChar w:fldCharType="end"/>
            </w:r>
            <w:r>
              <w:rPr>
                <w:rFonts w:ascii="Arial" w:eastAsia="Arial" w:hAnsi="Arial" w:cs="Arial"/>
                <w:sz w:val="24"/>
              </w:rPr>
              <w:t xml:space="preserve">. It is the conscious act of deviating from one’s native, default cultural code of interaction in order to meet or match </w:t>
            </w:r>
            <w:r>
              <w:rPr>
                <w:rFonts w:ascii="Arial" w:eastAsia="Arial" w:hAnsi="Arial" w:cs="Arial"/>
                <w:sz w:val="24"/>
              </w:rPr>
              <w:lastRenderedPageBreak/>
              <w:t xml:space="preserve">expectations for behaviour in a foreign cultural setting’  </w:t>
            </w:r>
            <w:r>
              <w:rPr>
                <w:rFonts w:ascii="Arial" w:eastAsia="Arial" w:hAnsi="Arial" w:cs="Arial"/>
                <w:sz w:val="24"/>
              </w:rPr>
              <w:fldChar w:fldCharType="begin"/>
            </w:r>
            <w:r>
              <w:rPr>
                <w:rFonts w:ascii="Arial" w:eastAsia="Arial" w:hAnsi="Arial" w:cs="Arial"/>
                <w:sz w:val="24"/>
              </w:rPr>
              <w:instrText xml:space="preserve"> ADDIN EN.CITE &lt;EndNote&gt;&lt;Cite&gt;&lt;Author&gt;Molinsky&lt;/Author&gt;&lt;Year&gt;2007&lt;/Year&gt;&lt;RecNum&gt;439&lt;/RecNum&gt;&lt;DisplayText&gt;[107]&lt;/DisplayText&gt;&lt;record&gt;&lt;rec-number&gt;439&lt;/rec-number&gt;&lt;foreign-keys&gt;&lt;key app="EN" db-id="0t5arpw0dadwp0e0r0ov95pwzrdtvwv0err0" timestamp="1734649358" guid="3031bbed-f317-41b6-86b4-13118d2a9d34"&gt;439&lt;/key&gt;&lt;/foreign-keys&gt;&lt;ref-type name="Journal Article"&gt;17&lt;/ref-type&gt;&lt;contributors&gt;&lt;authors&gt;&lt;author&gt;Andrew Molinsky&lt;/author&gt;&lt;/authors&gt;&lt;/contributors&gt;&lt;titles&gt;&lt;title&gt;Cross-cultural code-switching: The psychological challenges of adapting behavior in foreign cultural interactions&lt;/title&gt;&lt;secondary-title&gt;Academy of management review&lt;/secondary-title&gt;&lt;/titles&gt;&lt;periodical&gt;&lt;full-title&gt;Academy of management review&lt;/full-title&gt;&lt;/periodical&gt;&lt;pages&gt;622-640&lt;/pages&gt;&lt;volume&gt;32&lt;/volume&gt;&lt;number&gt;2&lt;/number&gt;&lt;dates&gt;&lt;year&gt;2007&lt;/year&gt;&lt;/dates&gt;&lt;urls&gt;&lt;/urls&gt;&lt;/record&gt;&lt;/Cite&gt;&lt;/EndNote&gt;</w:instrText>
            </w:r>
            <w:r>
              <w:rPr>
                <w:rFonts w:ascii="Arial" w:eastAsia="Arial" w:hAnsi="Arial" w:cs="Arial"/>
                <w:sz w:val="24"/>
              </w:rPr>
              <w:fldChar w:fldCharType="separate"/>
            </w:r>
            <w:r>
              <w:rPr>
                <w:rFonts w:ascii="Arial" w:eastAsia="Arial" w:hAnsi="Arial" w:cs="Arial"/>
                <w:noProof/>
                <w:sz w:val="24"/>
              </w:rPr>
              <w:t>[107]</w:t>
            </w:r>
            <w:r>
              <w:rPr>
                <w:rFonts w:ascii="Arial" w:eastAsia="Arial" w:hAnsi="Arial" w:cs="Arial"/>
                <w:sz w:val="24"/>
              </w:rPr>
              <w:fldChar w:fldCharType="end"/>
            </w:r>
            <w:r>
              <w:rPr>
                <w:rFonts w:ascii="Arial" w:eastAsia="Arial" w:hAnsi="Arial" w:cs="Arial"/>
                <w:sz w:val="24"/>
              </w:rPr>
              <w:t xml:space="preserve">. When related to deaf people, code switching “occurs when a bilingual or multilingual individual switches from one language to another” </w:t>
            </w:r>
            <w:r>
              <w:rPr>
                <w:rFonts w:ascii="Arial" w:eastAsia="Arial" w:hAnsi="Arial" w:cs="Arial"/>
                <w:sz w:val="24"/>
              </w:rPr>
              <w:fldChar w:fldCharType="begin"/>
            </w:r>
            <w:r>
              <w:rPr>
                <w:rFonts w:ascii="Arial" w:eastAsia="Arial" w:hAnsi="Arial" w:cs="Arial"/>
                <w:sz w:val="24"/>
              </w:rPr>
              <w:instrText xml:space="preserve"> ADDIN EN.CITE &lt;EndNote&gt;&lt;Cite&gt;&lt;Author&gt;Hauser&lt;/Author&gt;&lt;Year&gt;2000&lt;/Year&gt;&lt;RecNum&gt;150&lt;/RecNum&gt;&lt;Pages&gt;44&lt;/Pages&gt;&lt;DisplayText&gt;[109]&lt;/DisplayText&gt;&lt;record&gt;&lt;rec-number&gt;150&lt;/rec-number&gt;&lt;foreign-keys&gt;&lt;key app="EN" db-id="0t5arpw0dadwp0e0r0ov95pwzrdtvwv0err0" timestamp="1709079363" guid="341b8ffb-7aa2-4ac1-b8b8-c7a3fdbd5fcb"&gt;150&lt;/key&gt;&lt;/foreign-keys&gt;&lt;ref-type name="Book Section"&gt;5&lt;/ref-type&gt;&lt;contributors&gt;&lt;authors&gt;&lt;author&gt;Hauser, P. C. &lt;/author&gt;&lt;/authors&gt;&lt;secondary-authors&gt;&lt;author&gt;Melanie Metzger&lt;/author&gt;&lt;/secondary-authors&gt;&lt;/contributors&gt;&lt;titles&gt;&lt;title&gt;An analysis of codeswitching.&lt;/title&gt;&lt;secondary-title&gt;Bilingualism and Identity in Deaf Communities&lt;/secondary-title&gt;&lt;/titles&gt;&lt;pages&gt;43-78&lt;/pages&gt;&lt;section&gt;2&lt;/section&gt;&lt;dates&gt;&lt;year&gt;2000&lt;/year&gt;&lt;/dates&gt;&lt;pub-location&gt;Washington, DC&lt;/pub-location&gt;&lt;publisher&gt;Gallaudet University Press&lt;/publisher&gt;&lt;urls&gt;&lt;/urls&gt;&lt;/record&gt;&lt;/Cite&gt;&lt;/EndNote&gt;</w:instrText>
            </w:r>
            <w:r>
              <w:rPr>
                <w:rFonts w:ascii="Arial" w:eastAsia="Arial" w:hAnsi="Arial" w:cs="Arial"/>
                <w:sz w:val="24"/>
              </w:rPr>
              <w:fldChar w:fldCharType="separate"/>
            </w:r>
            <w:r>
              <w:rPr>
                <w:rFonts w:ascii="Arial" w:eastAsia="Arial" w:hAnsi="Arial" w:cs="Arial"/>
                <w:noProof/>
                <w:sz w:val="24"/>
              </w:rPr>
              <w:t>[109]</w:t>
            </w:r>
            <w:r>
              <w:rPr>
                <w:rFonts w:ascii="Arial" w:eastAsia="Arial" w:hAnsi="Arial" w:cs="Arial"/>
                <w:sz w:val="24"/>
              </w:rPr>
              <w:fldChar w:fldCharType="end"/>
            </w:r>
            <w:r>
              <w:rPr>
                <w:rFonts w:ascii="Arial" w:eastAsia="Arial" w:hAnsi="Arial" w:cs="Arial"/>
                <w:sz w:val="24"/>
              </w:rPr>
              <w:t xml:space="preserve">. </w:t>
            </w:r>
          </w:p>
        </w:tc>
      </w:tr>
      <w:tr w:rsidR="009F4BE2" w14:paraId="0F7BD08B" w14:textId="77777777" w:rsidTr="00DA0121">
        <w:tc>
          <w:tcPr>
            <w:cnfStyle w:val="001000000000" w:firstRow="0" w:lastRow="0" w:firstColumn="1" w:lastColumn="0" w:oddVBand="0" w:evenVBand="0" w:oddHBand="0" w:evenHBand="0" w:firstRowFirstColumn="0" w:firstRowLastColumn="0" w:lastRowFirstColumn="0" w:lastRowLastColumn="0"/>
            <w:tcW w:w="3005" w:type="dxa"/>
            <w:vMerge/>
            <w:tcBorders>
              <w:top w:val="nil"/>
            </w:tcBorders>
          </w:tcPr>
          <w:p w14:paraId="413A1B49" w14:textId="77777777" w:rsidR="009F4BE2" w:rsidRDefault="009F4BE2" w:rsidP="00DA0121"/>
        </w:tc>
        <w:tc>
          <w:tcPr>
            <w:tcW w:w="1952" w:type="dxa"/>
          </w:tcPr>
          <w:p w14:paraId="6D35A006" w14:textId="77777777" w:rsidR="009F4BE2" w:rsidRDefault="009F4BE2" w:rsidP="00DA0121">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sz w:val="24"/>
              </w:rPr>
              <w:t>Distrust</w:t>
            </w:r>
          </w:p>
        </w:tc>
        <w:tc>
          <w:tcPr>
            <w:tcW w:w="4059" w:type="dxa"/>
          </w:tcPr>
          <w:p w14:paraId="3D490496" w14:textId="77777777" w:rsidR="009F4BE2" w:rsidRDefault="009F4BE2" w:rsidP="00DA0121">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color w:val="000000"/>
                <w:sz w:val="24"/>
              </w:rPr>
              <w:t xml:space="preserve">Trust is associated with the behaviour of others; perception of the trustworthiness of others is associated with ontological security and mutual trust is a condition of cooperative behaviour </w:t>
            </w:r>
            <w:r>
              <w:rPr>
                <w:rFonts w:ascii="Arial" w:eastAsia="Arial" w:hAnsi="Arial" w:cs="Arial"/>
                <w:color w:val="000000"/>
                <w:sz w:val="24"/>
              </w:rPr>
              <w:fldChar w:fldCharType="begin"/>
            </w:r>
            <w:r>
              <w:rPr>
                <w:rFonts w:ascii="Arial" w:eastAsia="Arial" w:hAnsi="Arial" w:cs="Arial"/>
                <w:color w:val="000000"/>
                <w:sz w:val="24"/>
              </w:rPr>
              <w:instrText xml:space="preserve"> ADDIN EN.CITE &lt;EndNote&gt;&lt;Cite&gt;&lt;Author&gt;Jemina&lt;/Author&gt;&lt;Year&gt;2017&lt;/Year&gt;&lt;RecNum&gt;7&lt;/RecNum&gt;&lt;DisplayText&gt;[86]&lt;/DisplayText&gt;&lt;record&gt;&lt;rec-number&gt;7&lt;/rec-number&gt;&lt;foreign-keys&gt;&lt;key app="EN" db-id="0t5arpw0dadwp0e0r0ov95pwzrdtvwv0err0" timestamp="1709078231" guid="ed65040a-9c67-4671-9696-49fea5df1cd8"&gt;7&lt;/key&gt;&lt;/foreign-keys&gt;&lt;ref-type name="Journal Article"&gt;17&lt;/ref-type&gt;&lt;contributors&gt;&lt;authors&gt;&lt;author&gt;Napier Jemina&lt;/author&gt;&lt;author&gt;Robert Skinner&lt;/author&gt;&lt;author&gt;Alys Young&lt;/author&gt;&lt;author&gt;Rosemary Oram&lt;/author&gt;&lt;/authors&gt;&lt;/contributors&gt;&lt;titles&gt;&lt;title&gt;Mediating identities: Sign language interpreter perceptions on trust and representation&lt;/title&gt;&lt;secondary-title&gt;Journal of Applied Linguistics and Professional Practice&lt;/secondary-title&gt;&lt;/titles&gt;&lt;periodical&gt;&lt;full-title&gt;Journal of Applied Linguistics and Professional Practice&lt;/full-title&gt;&lt;/periodical&gt;&lt;pages&gt;75-95&lt;/pages&gt;&lt;volume&gt;14&lt;/volume&gt;&lt;number&gt;1&lt;/number&gt;&lt;keywords&gt;&lt;keyword&gt;Deaf signers&lt;/keyword&gt;&lt;keyword&gt;Mediation&lt;/keyword&gt;&lt;keyword&gt;Professional identity&lt;/keyword&gt;&lt;keyword&gt;Representation&lt;/keyword&gt;&lt;keyword&gt;Sign language interpreters&lt;/keyword&gt;&lt;keyword&gt;Trust&lt;/keyword&gt;&lt;/keywords&gt;&lt;dates&gt;&lt;year&gt;2017&lt;/year&gt;&lt;/dates&gt;&lt;publisher&gt;Equinox Publishing Ltd&lt;/publisher&gt;&lt;isbn&gt;20403666&amp;#xD;20403658&lt;/isbn&gt;&lt;urls&gt;&lt;related-urls&gt;&lt;url&gt;https://research.ebsco.com/linkprocessor/plink?id=acb058e9-cf7e-305d-8f12-5f2c26ab04fb&lt;/url&gt;&lt;/related-urls&gt;&lt;/urls&gt;&lt;electronic-resource-num&gt;10.1558/JALPP.36014&lt;/electronic-resource-num&gt;&lt;remote-database-name&gt;Scopus®&lt;/remote-database-name&gt;&lt;remote-database-provider&gt;EBSCOhost&lt;/remote-database-provider&gt;&lt;language&gt;English&lt;/language&gt;&lt;/record&gt;&lt;/Cite&gt;&lt;/EndNote&gt;</w:instrText>
            </w:r>
            <w:r>
              <w:rPr>
                <w:rFonts w:ascii="Arial" w:eastAsia="Arial" w:hAnsi="Arial" w:cs="Arial"/>
                <w:color w:val="000000"/>
                <w:sz w:val="24"/>
              </w:rPr>
              <w:fldChar w:fldCharType="separate"/>
            </w:r>
            <w:r>
              <w:rPr>
                <w:rFonts w:ascii="Arial" w:eastAsia="Arial" w:hAnsi="Arial" w:cs="Arial"/>
                <w:noProof/>
                <w:color w:val="000000"/>
                <w:sz w:val="24"/>
              </w:rPr>
              <w:t>[86]</w:t>
            </w:r>
            <w:r>
              <w:rPr>
                <w:rFonts w:ascii="Arial" w:eastAsia="Arial" w:hAnsi="Arial" w:cs="Arial"/>
                <w:color w:val="000000"/>
                <w:sz w:val="24"/>
              </w:rPr>
              <w:fldChar w:fldCharType="end"/>
            </w:r>
            <w:r>
              <w:rPr>
                <w:rFonts w:ascii="Arial" w:eastAsia="Arial" w:hAnsi="Arial" w:cs="Arial"/>
                <w:color w:val="000000"/>
                <w:sz w:val="24"/>
              </w:rPr>
              <w:t xml:space="preserve">. </w:t>
            </w:r>
            <w:r>
              <w:rPr>
                <w:rFonts w:ascii="Arial" w:eastAsia="Arial" w:hAnsi="Arial" w:cs="Arial"/>
                <w:sz w:val="24"/>
              </w:rPr>
              <w:t xml:space="preserve">In patient-provider relationships, interpersonal or institutional trust </w:t>
            </w:r>
            <w:r w:rsidRPr="00EB4D3F">
              <w:rPr>
                <w:rFonts w:ascii="Arial" w:eastAsia="Arial" w:hAnsi="Arial" w:cs="Arial"/>
                <w:color w:val="FF0000"/>
                <w:sz w:val="24"/>
              </w:rPr>
              <w:t xml:space="preserve">is significant </w:t>
            </w:r>
            <w:r w:rsidRPr="00EB4D3F">
              <w:rPr>
                <w:rFonts w:ascii="Arial" w:eastAsia="Arial" w:hAnsi="Arial" w:cs="Arial"/>
                <w:color w:val="000000"/>
                <w:sz w:val="24"/>
              </w:rPr>
              <w:fldChar w:fldCharType="begin"/>
            </w:r>
            <w:r>
              <w:rPr>
                <w:rFonts w:ascii="Arial" w:eastAsia="Arial" w:hAnsi="Arial" w:cs="Arial"/>
                <w:color w:val="000000"/>
                <w:sz w:val="24"/>
              </w:rPr>
              <w:instrText xml:space="preserve"> ADDIN EN.CITE &lt;EndNote&gt;&lt;Cite&gt;&lt;Author&gt;Hall&lt;/Author&gt;&lt;Year&gt;2001&lt;/Year&gt;&lt;RecNum&gt;322&lt;/RecNum&gt;&lt;DisplayText&gt;[110]&lt;/DisplayText&gt;&lt;record&gt;&lt;rec-number&gt;322&lt;/rec-number&gt;&lt;foreign-keys&gt;&lt;key app="EN" db-id="0t5arpw0dadwp0e0r0ov95pwzrdtvwv0err0" timestamp="1723023518" guid="ff95bcd5-2038-4054-9446-908ac62c9f0f"&gt;322&lt;/key&gt;&lt;/foreign-keys&gt;&lt;ref-type name="Journal Article"&gt;17&lt;/ref-type&gt;&lt;contributors&gt;&lt;authors&gt;&lt;author&gt;Mark A. Hall&lt;/author&gt;&lt;author&gt;Elizabeth Dugan&lt;/author&gt;&lt;author&gt;Beiyao Zheng&lt;/author&gt;&lt;author&gt;Aneil K. Mishra&lt;/author&gt;&lt;/authors&gt;&lt;/contributors&gt;&lt;titles&gt;&lt;title&gt;Trust in physicians and medical institutions: what is it, can it be measured, and does it matter?&lt;/title&gt;&lt;secondary-title&gt;The milbank quarterly&lt;/secondary-title&gt;&lt;/titles&gt;&lt;periodical&gt;&lt;full-title&gt;The milbank quarterly&lt;/full-title&gt;&lt;/periodical&gt;&lt;pages&gt;613-639&lt;/pages&gt;&lt;volume&gt;79&lt;/volume&gt;&lt;number&gt;4&lt;/number&gt;&lt;dates&gt;&lt;year&gt;2001&lt;/year&gt;&lt;/dates&gt;&lt;urls&gt;&lt;/urls&gt;&lt;/record&gt;&lt;/Cite&gt;&lt;/EndNote&gt;</w:instrText>
            </w:r>
            <w:r w:rsidRPr="00EB4D3F">
              <w:rPr>
                <w:rFonts w:ascii="Arial" w:eastAsia="Arial" w:hAnsi="Arial" w:cs="Arial"/>
                <w:color w:val="000000"/>
                <w:sz w:val="24"/>
              </w:rPr>
              <w:fldChar w:fldCharType="separate"/>
            </w:r>
            <w:r>
              <w:rPr>
                <w:rFonts w:ascii="Arial" w:eastAsia="Arial" w:hAnsi="Arial" w:cs="Arial"/>
                <w:noProof/>
                <w:color w:val="000000"/>
                <w:sz w:val="24"/>
              </w:rPr>
              <w:t>[110]</w:t>
            </w:r>
            <w:r w:rsidRPr="00EB4D3F">
              <w:rPr>
                <w:rFonts w:ascii="Arial" w:eastAsia="Arial" w:hAnsi="Arial" w:cs="Arial"/>
                <w:color w:val="000000"/>
                <w:sz w:val="24"/>
              </w:rPr>
              <w:fldChar w:fldCharType="end"/>
            </w:r>
            <w:r w:rsidRPr="00EB4D3F">
              <w:rPr>
                <w:rFonts w:ascii="Arial" w:eastAsia="Arial" w:hAnsi="Arial" w:cs="Arial"/>
                <w:sz w:val="24"/>
              </w:rPr>
              <w:t>.</w:t>
            </w:r>
          </w:p>
          <w:p w14:paraId="3541B274" w14:textId="77777777" w:rsidR="009F4BE2" w:rsidRDefault="009F4BE2" w:rsidP="00DA0121">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p w14:paraId="3467DC51" w14:textId="77777777" w:rsidR="009F4BE2" w:rsidRDefault="009F4BE2" w:rsidP="00DA0121">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sz w:val="24"/>
              </w:rPr>
              <w:t xml:space="preserve">Mistrust (distrust) is often perceived as existing within an individual or community, it is more appropriate to conceive of mistrust (distrust) as created by and existing within a system that creates, sustains and reinforces racism, classism, homophobia and transphobia, and stigma (and by extension ableism and audism) </w:t>
            </w:r>
            <w:r>
              <w:rPr>
                <w:rFonts w:ascii="Arial" w:eastAsia="Arial" w:hAnsi="Arial" w:cs="Arial"/>
                <w:sz w:val="24"/>
              </w:rPr>
              <w:fldChar w:fldCharType="begin"/>
            </w:r>
            <w:r>
              <w:rPr>
                <w:rFonts w:ascii="Arial" w:eastAsia="Arial" w:hAnsi="Arial" w:cs="Arial"/>
                <w:sz w:val="24"/>
              </w:rPr>
              <w:instrText xml:space="preserve"> ADDIN EN.CITE &lt;EndNote&gt;&lt;Cite&gt;&lt;Author&gt;Jaiswal&lt;/Author&gt;&lt;Year&gt;2019&lt;/Year&gt;&lt;RecNum&gt;323&lt;/RecNum&gt;&lt;DisplayText&gt;[111]&lt;/DisplayText&gt;&lt;record&gt;&lt;rec-number&gt;323&lt;/rec-number&gt;&lt;foreign-keys&gt;&lt;key app="EN" db-id="0t5arpw0dadwp0e0r0ov95pwzrdtvwv0err0" timestamp="1723023688" guid="e35a4235-a549-4162-9924-cc88128c0ac2"&gt;323&lt;/key&gt;&lt;/foreign-keys&gt;&lt;ref-type name="Journal Article"&gt;17&lt;/ref-type&gt;&lt;contributors&gt;&lt;authors&gt;&lt;author&gt;Jessica Jaiswal&lt;/author&gt;&lt;author&gt;Perry N. Halkitis&lt;/author&gt;&lt;/authors&gt;&lt;/contributors&gt;&lt;titles&gt;&lt;title&gt;Towards a more inclusive and dynamic understanding of medical mistrust informed by science&lt;/title&gt;&lt;secondary-title&gt;Behavioral Medicine&lt;/secondary-title&gt;&lt;/titles&gt;&lt;periodical&gt;&lt;full-title&gt;Behavioral Medicine&lt;/full-title&gt;&lt;/periodical&gt;&lt;pages&gt;79-85&lt;/pages&gt;&lt;volume&gt;45&lt;/volume&gt;&lt;number&gt;2&lt;/number&gt;&lt;dates&gt;&lt;year&gt;2019&lt;/year&gt;&lt;/dates&gt;&lt;urls&gt;&lt;/urls&gt;&lt;/record&gt;&lt;/Cite&gt;&lt;/EndNote&gt;</w:instrText>
            </w:r>
            <w:r>
              <w:rPr>
                <w:rFonts w:ascii="Arial" w:eastAsia="Arial" w:hAnsi="Arial" w:cs="Arial"/>
                <w:sz w:val="24"/>
              </w:rPr>
              <w:fldChar w:fldCharType="separate"/>
            </w:r>
            <w:r>
              <w:rPr>
                <w:rFonts w:ascii="Arial" w:eastAsia="Arial" w:hAnsi="Arial" w:cs="Arial"/>
                <w:noProof/>
                <w:sz w:val="24"/>
              </w:rPr>
              <w:t>[111]</w:t>
            </w:r>
            <w:r>
              <w:rPr>
                <w:rFonts w:ascii="Arial" w:eastAsia="Arial" w:hAnsi="Arial" w:cs="Arial"/>
                <w:sz w:val="24"/>
              </w:rPr>
              <w:fldChar w:fldCharType="end"/>
            </w:r>
            <w:r>
              <w:rPr>
                <w:rFonts w:ascii="Arial" w:eastAsia="Arial" w:hAnsi="Arial" w:cs="Arial"/>
                <w:sz w:val="24"/>
              </w:rPr>
              <w:t xml:space="preserve">. For deaf people, this means hearing people making little attempt to acknowledge their perspectives, lacking deaf awareness and poor listening skills </w:t>
            </w:r>
            <w:r>
              <w:rPr>
                <w:rFonts w:ascii="Arial" w:eastAsia="Arial" w:hAnsi="Arial" w:cs="Arial"/>
                <w:sz w:val="24"/>
              </w:rPr>
              <w:fldChar w:fldCharType="begin"/>
            </w:r>
            <w:r>
              <w:rPr>
                <w:rFonts w:ascii="Arial" w:eastAsia="Arial" w:hAnsi="Arial" w:cs="Arial"/>
                <w:sz w:val="24"/>
              </w:rPr>
              <w:instrText xml:space="preserve"> ADDIN EN.CITE &lt;EndNote&gt;&lt;Cite&gt;&lt;Author&gt;Kaplunov&lt;/Author&gt;&lt;Year&gt;2023&lt;/Year&gt;&lt;RecNum&gt;8&lt;/RecNum&gt;&lt;DisplayText&gt;[112]&lt;/DisplayText&gt;&lt;record&gt;&lt;rec-number&gt;8&lt;/rec-number&gt;&lt;foreign-keys&gt;&lt;key app="EN" db-id="0t5arpw0dadwp0e0r0ov95pwzrdtvwv0err0" timestamp="1709078231" guid="e5e16725-9038-430a-996b-a28ddff4ab1e"&gt;8&lt;/key&gt;&lt;/foreign-keys&gt;&lt;ref-type name="Journal Article"&gt;17&lt;/ref-type&gt;&lt;contributors&gt;&lt;authors&gt;&lt;author&gt;Elizabeth Kaplunov&lt;/author&gt;&lt;/authors&gt;&lt;/contributors&gt;&lt;titles&gt;&lt;title&gt;Mistrust between deaf patients and hearing staff in healthcare settings&lt;/title&gt;&lt;secondary-title&gt;Empedocles: European Journal for the Philosophy of Communication&lt;/secondary-title&gt;&lt;/titles&gt;&lt;periodical&gt;&lt;full-title&gt;Empedocles: European Journal for the Philosophy of Communication&lt;/full-title&gt;&lt;/periodical&gt;&lt;pages&gt;21-42&lt;/pages&gt;&lt;volume&gt;14&lt;/volume&gt;&lt;number&gt;1&lt;/number&gt;&lt;dates&gt;&lt;year&gt;2023&lt;/year&gt;&lt;/dates&gt;&lt;publisher&gt;Intellect Ltd.&lt;/publisher&gt;&lt;isbn&gt;1757-1952&lt;/isbn&gt;&lt;urls&gt;&lt;related-urls&gt;&lt;url&gt;https://research.ebsco.com/linkprocessor/plink?id=4b8da107-2561-3ec8-9792-8fd95eaa9d92&lt;/url&gt;&lt;/related-urls&gt;&lt;/urls&gt;&lt;electronic-resource-num&gt;10.1386/ejpc_00051_1&lt;/electronic-resource-num&gt;&lt;remote-database-name&gt;Communication &amp;amp; Mass Media Complete&lt;/remote-database-name&gt;&lt;remote-database-provider&gt;EBSCOhost&lt;/remote-database-provider&gt;&lt;language&gt;eng&lt;/language&gt;&lt;/record&gt;&lt;/Cite&gt;&lt;/EndNote&gt;</w:instrText>
            </w:r>
            <w:r>
              <w:rPr>
                <w:rFonts w:ascii="Arial" w:eastAsia="Arial" w:hAnsi="Arial" w:cs="Arial"/>
                <w:sz w:val="24"/>
              </w:rPr>
              <w:fldChar w:fldCharType="separate"/>
            </w:r>
            <w:r>
              <w:rPr>
                <w:rFonts w:ascii="Arial" w:eastAsia="Arial" w:hAnsi="Arial" w:cs="Arial"/>
                <w:noProof/>
                <w:sz w:val="24"/>
              </w:rPr>
              <w:t>[112]</w:t>
            </w:r>
            <w:r>
              <w:rPr>
                <w:rFonts w:ascii="Arial" w:eastAsia="Arial" w:hAnsi="Arial" w:cs="Arial"/>
                <w:sz w:val="24"/>
              </w:rPr>
              <w:fldChar w:fldCharType="end"/>
            </w:r>
            <w:r>
              <w:rPr>
                <w:rFonts w:ascii="Arial" w:eastAsia="Arial" w:hAnsi="Arial" w:cs="Arial"/>
                <w:sz w:val="24"/>
              </w:rPr>
              <w:t xml:space="preserve">. </w:t>
            </w:r>
          </w:p>
        </w:tc>
      </w:tr>
      <w:tr w:rsidR="009F4BE2" w14:paraId="24AD9EE9" w14:textId="77777777" w:rsidTr="00DA0121">
        <w:tc>
          <w:tcPr>
            <w:cnfStyle w:val="001000000000" w:firstRow="0" w:lastRow="0" w:firstColumn="1" w:lastColumn="0" w:oddVBand="0" w:evenVBand="0" w:oddHBand="0" w:evenHBand="0" w:firstRowFirstColumn="0" w:firstRowLastColumn="0" w:lastRowFirstColumn="0" w:lastRowLastColumn="0"/>
            <w:tcW w:w="3005" w:type="dxa"/>
            <w:vMerge w:val="restart"/>
          </w:tcPr>
          <w:p w14:paraId="1BFC120E" w14:textId="77777777" w:rsidR="009F4BE2" w:rsidRDefault="009F4BE2" w:rsidP="00DA0121">
            <w:pPr>
              <w:jc w:val="center"/>
              <w:rPr>
                <w:rFonts w:ascii="Arial" w:eastAsia="Arial" w:hAnsi="Arial" w:cs="Arial"/>
              </w:rPr>
            </w:pPr>
          </w:p>
          <w:p w14:paraId="304D6759" w14:textId="77777777" w:rsidR="009F4BE2" w:rsidRDefault="009F4BE2" w:rsidP="00DA0121">
            <w:pPr>
              <w:jc w:val="center"/>
              <w:rPr>
                <w:rFonts w:ascii="Arial" w:eastAsia="Arial" w:hAnsi="Arial" w:cs="Arial"/>
              </w:rPr>
            </w:pPr>
          </w:p>
          <w:p w14:paraId="24828704" w14:textId="77777777" w:rsidR="009F4BE2" w:rsidRDefault="009F4BE2" w:rsidP="00DA0121">
            <w:pPr>
              <w:jc w:val="center"/>
              <w:rPr>
                <w:rFonts w:ascii="Arial" w:eastAsia="Arial" w:hAnsi="Arial" w:cs="Arial"/>
              </w:rPr>
            </w:pPr>
          </w:p>
          <w:p w14:paraId="3E827B72" w14:textId="77777777" w:rsidR="009F4BE2" w:rsidRDefault="009F4BE2" w:rsidP="00DA0121">
            <w:pPr>
              <w:jc w:val="center"/>
              <w:rPr>
                <w:rFonts w:ascii="Arial" w:eastAsia="Arial" w:hAnsi="Arial" w:cs="Arial"/>
              </w:rPr>
            </w:pPr>
          </w:p>
          <w:p w14:paraId="2EC699D5" w14:textId="77777777" w:rsidR="009F4BE2" w:rsidRDefault="009F4BE2" w:rsidP="00DA0121">
            <w:pPr>
              <w:jc w:val="center"/>
              <w:rPr>
                <w:rFonts w:ascii="Arial" w:eastAsia="Arial" w:hAnsi="Arial" w:cs="Arial"/>
              </w:rPr>
            </w:pPr>
            <w:r w:rsidRPr="00EB4D3F">
              <w:rPr>
                <w:rFonts w:ascii="Arial" w:eastAsia="Arial" w:hAnsi="Arial" w:cs="Arial"/>
                <w:b w:val="0"/>
                <w:color w:val="FF0000"/>
                <w:sz w:val="24"/>
              </w:rPr>
              <w:t>Distal</w:t>
            </w:r>
            <w:r>
              <w:rPr>
                <w:rFonts w:ascii="Arial" w:eastAsia="Arial" w:hAnsi="Arial" w:cs="Arial"/>
                <w:b w:val="0"/>
                <w:sz w:val="24"/>
              </w:rPr>
              <w:t xml:space="preserve"> Stressor</w:t>
            </w:r>
          </w:p>
        </w:tc>
        <w:tc>
          <w:tcPr>
            <w:tcW w:w="1952" w:type="dxa"/>
          </w:tcPr>
          <w:p w14:paraId="14085CEB" w14:textId="77777777" w:rsidR="009F4BE2" w:rsidRDefault="009F4BE2" w:rsidP="00DA0121">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sz w:val="24"/>
              </w:rPr>
              <w:t>Bullying</w:t>
            </w:r>
          </w:p>
        </w:tc>
        <w:tc>
          <w:tcPr>
            <w:tcW w:w="4059" w:type="dxa"/>
          </w:tcPr>
          <w:p w14:paraId="1FE1635D" w14:textId="77777777" w:rsidR="009F4BE2" w:rsidRDefault="009F4BE2" w:rsidP="00DA0121">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sz w:val="24"/>
              </w:rPr>
              <w:t xml:space="preserve">Exposure to actions intended to inflict harm in situations with a power imbalance </w:t>
            </w:r>
            <w:r>
              <w:rPr>
                <w:rFonts w:ascii="Arial" w:eastAsia="Arial" w:hAnsi="Arial" w:cs="Arial"/>
                <w:sz w:val="24"/>
              </w:rPr>
              <w:fldChar w:fldCharType="begin"/>
            </w:r>
            <w:r>
              <w:rPr>
                <w:rFonts w:ascii="Arial" w:eastAsia="Arial" w:hAnsi="Arial" w:cs="Arial"/>
                <w:sz w:val="24"/>
              </w:rPr>
              <w:instrText xml:space="preserve"> ADDIN EN.CITE &lt;EndNote&gt;&lt;Cite&gt;&lt;Author&gt;Hellström&lt;/Author&gt;&lt;Year&gt;2021&lt;/Year&gt;&lt;RecNum&gt;181&lt;/RecNum&gt;&lt;DisplayText&gt;[113]&lt;/DisplayText&gt;&lt;record&gt;&lt;rec-number&gt;181&lt;/rec-number&gt;&lt;foreign-keys&gt;&lt;key app="EN" db-id="0t5arpw0dadwp0e0r0ov95pwzrdtvwv0err0" timestamp="1709105491" guid="ea196606-e4dd-4b7e-bc24-159840e04012"&gt;181&lt;/key&gt;&lt;/foreign-keys&gt;&lt;ref-type name="Book Section"&gt;5&lt;/ref-type&gt;&lt;contributors&gt;&lt;authors&gt;&lt;author&gt;Lisa Hellström&lt;/author&gt;&lt;author&gt;Robert Thornberg&lt;/author&gt;&lt;author&gt;Dorothy L. Espelage&lt;/author&gt;&lt;/authors&gt;&lt;secondary-authors&gt;&lt;author&gt;Peter K. Smith&lt;/author&gt;&lt;author&gt;James O&amp;apos;Higgins Norman&lt;/author&gt;&lt;/secondary-authors&gt;&lt;/contributors&gt;&lt;titles&gt;&lt;title&gt;Definitions of bullying.&lt;/title&gt;&lt;secondary-title&gt;The Wiley Blackwell handbook of bullying: A comprehensive and international review of research and intervention&lt;/secondary-title&gt;&lt;/titles&gt;&lt;pages&gt;2-21&lt;/pages&gt;&lt;volume&gt;1&lt;/volume&gt;&lt;dates&gt;&lt;year&gt;2021&lt;/year&gt;&lt;/dates&gt;&lt;publisher&gt;John Wiley &amp;amp; Sons Ltd&lt;/publisher&gt;&lt;urls&gt;&lt;/urls&gt;&lt;/record&gt;&lt;/Cite&gt;&lt;/EndNote&gt;</w:instrText>
            </w:r>
            <w:r>
              <w:rPr>
                <w:rFonts w:ascii="Arial" w:eastAsia="Arial" w:hAnsi="Arial" w:cs="Arial"/>
                <w:sz w:val="24"/>
              </w:rPr>
              <w:fldChar w:fldCharType="separate"/>
            </w:r>
            <w:r>
              <w:rPr>
                <w:rFonts w:ascii="Arial" w:eastAsia="Arial" w:hAnsi="Arial" w:cs="Arial"/>
                <w:noProof/>
                <w:sz w:val="24"/>
              </w:rPr>
              <w:t>[113]</w:t>
            </w:r>
            <w:r>
              <w:rPr>
                <w:rFonts w:ascii="Arial" w:eastAsia="Arial" w:hAnsi="Arial" w:cs="Arial"/>
                <w:sz w:val="24"/>
              </w:rPr>
              <w:fldChar w:fldCharType="end"/>
            </w:r>
            <w:r>
              <w:rPr>
                <w:rFonts w:ascii="Arial" w:eastAsia="Arial" w:hAnsi="Arial" w:cs="Arial"/>
                <w:sz w:val="24"/>
              </w:rPr>
              <w:t>.</w:t>
            </w:r>
          </w:p>
        </w:tc>
      </w:tr>
      <w:tr w:rsidR="009F4BE2" w14:paraId="37F45D47" w14:textId="77777777" w:rsidTr="00DA0121">
        <w:tc>
          <w:tcPr>
            <w:cnfStyle w:val="001000000000" w:firstRow="0" w:lastRow="0" w:firstColumn="1" w:lastColumn="0" w:oddVBand="0" w:evenVBand="0" w:oddHBand="0" w:evenHBand="0" w:firstRowFirstColumn="0" w:firstRowLastColumn="0" w:lastRowFirstColumn="0" w:lastRowLastColumn="0"/>
            <w:tcW w:w="3005" w:type="dxa"/>
            <w:vMerge/>
            <w:tcBorders>
              <w:top w:val="nil"/>
              <w:bottom w:val="nil"/>
            </w:tcBorders>
          </w:tcPr>
          <w:p w14:paraId="33B605FF" w14:textId="77777777" w:rsidR="009F4BE2" w:rsidRDefault="009F4BE2" w:rsidP="00DA0121"/>
        </w:tc>
        <w:tc>
          <w:tcPr>
            <w:tcW w:w="1952" w:type="dxa"/>
          </w:tcPr>
          <w:p w14:paraId="6910C7B3" w14:textId="77777777" w:rsidR="009F4BE2" w:rsidRDefault="009F4BE2" w:rsidP="00DA0121">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EB4D3F">
              <w:rPr>
                <w:rFonts w:ascii="Arial" w:eastAsia="Arial" w:hAnsi="Arial" w:cs="Arial"/>
                <w:color w:val="FF0000"/>
                <w:sz w:val="24"/>
              </w:rPr>
              <w:t>(social) Exclusion</w:t>
            </w:r>
          </w:p>
        </w:tc>
        <w:tc>
          <w:tcPr>
            <w:tcW w:w="4059" w:type="dxa"/>
          </w:tcPr>
          <w:p w14:paraId="43CA037B" w14:textId="77777777" w:rsidR="009F4BE2" w:rsidRDefault="009F4BE2" w:rsidP="00DA0121">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EB4D3F">
              <w:rPr>
                <w:rFonts w:ascii="Arial" w:eastAsia="Arial" w:hAnsi="Arial" w:cs="Arial"/>
                <w:color w:val="FF0000"/>
                <w:sz w:val="24"/>
              </w:rPr>
              <w:t xml:space="preserve">Social exclusion is “a process by which certain groups are systematically disadvantaged because they are discriminated against </w:t>
            </w:r>
            <w:proofErr w:type="gramStart"/>
            <w:r w:rsidRPr="00EB4D3F">
              <w:rPr>
                <w:rFonts w:ascii="Arial" w:eastAsia="Arial" w:hAnsi="Arial" w:cs="Arial"/>
                <w:color w:val="FF0000"/>
                <w:sz w:val="24"/>
              </w:rPr>
              <w:t>on the basis of</w:t>
            </w:r>
            <w:proofErr w:type="gramEnd"/>
            <w:r w:rsidRPr="00EB4D3F">
              <w:rPr>
                <w:rFonts w:ascii="Arial" w:eastAsia="Arial" w:hAnsi="Arial" w:cs="Arial"/>
                <w:color w:val="FF0000"/>
                <w:sz w:val="24"/>
              </w:rPr>
              <w:t xml:space="preserve"> their ethnicity, race, religion, sexual orientation, caste, descent, gender, age, disability, HIV status, migrant status or where they live. Discrimination occurs in public institutions, such as the legal system or education and health services, as well as social institutions like the household” </w:t>
            </w:r>
            <w:r>
              <w:rPr>
                <w:rFonts w:ascii="Arial" w:eastAsia="Arial" w:hAnsi="Arial" w:cs="Arial"/>
                <w:sz w:val="24"/>
              </w:rPr>
              <w:fldChar w:fldCharType="begin"/>
            </w:r>
            <w:r>
              <w:rPr>
                <w:rFonts w:ascii="Arial" w:eastAsia="Arial" w:hAnsi="Arial" w:cs="Arial"/>
                <w:sz w:val="24"/>
              </w:rPr>
              <w:instrText xml:space="preserve"> ADDIN EN.CITE &lt;EndNote&gt;&lt;Cite&gt;&lt;Author&gt;Gaynor&lt;/Author&gt;&lt;Year&gt;2007&lt;/Year&gt;&lt;RecNum&gt;441&lt;/RecNum&gt;&lt;Pages&gt;i&lt;/Pages&gt;&lt;DisplayText&gt;[114]&lt;/DisplayText&gt;&lt;record&gt;&lt;rec-number&gt;441&lt;/rec-number&gt;&lt;foreign-keys&gt;&lt;key app="EN" db-id="0t5arpw0dadwp0e0r0ov95pwzrdtvwv0err0" timestamp="1734650205" guid="5605633e-0f22-4819-b7da-cfdeab19a138"&gt;441&lt;/key&gt;&lt;/foreign-keys&gt;&lt;ref-type name="Report"&gt;27&lt;/ref-type&gt;&lt;contributors&gt;&lt;authors&gt;&lt;author&gt;Cathy Gaynor&lt;/author&gt;&lt;author&gt;Sadie Watson&lt;/author&gt;&lt;/authors&gt;&lt;tertiary-authors&gt;&lt;author&gt;Department for International Development&lt;/author&gt;&lt;/tertiary-authors&gt;&lt;/contributors&gt;&lt;titles&gt;&lt;title&gt;Evaluating DFID’s policy on tackling social exclusion: Baseline, framework and indicators&lt;/title&gt;&lt;/titles&gt;&lt;dates&gt;&lt;year&gt;2007&lt;/year&gt;&lt;/dates&gt;&lt;urls&gt;&lt;/urls&gt;&lt;/record&gt;&lt;/Cite&gt;&lt;/EndNote&gt;</w:instrText>
            </w:r>
            <w:r>
              <w:rPr>
                <w:rFonts w:ascii="Arial" w:eastAsia="Arial" w:hAnsi="Arial" w:cs="Arial"/>
                <w:sz w:val="24"/>
              </w:rPr>
              <w:fldChar w:fldCharType="separate"/>
            </w:r>
            <w:r>
              <w:rPr>
                <w:rFonts w:ascii="Arial" w:eastAsia="Arial" w:hAnsi="Arial" w:cs="Arial"/>
                <w:noProof/>
                <w:sz w:val="24"/>
              </w:rPr>
              <w:t>[114]</w:t>
            </w:r>
            <w:r>
              <w:rPr>
                <w:rFonts w:ascii="Arial" w:eastAsia="Arial" w:hAnsi="Arial" w:cs="Arial"/>
                <w:sz w:val="24"/>
              </w:rPr>
              <w:fldChar w:fldCharType="end"/>
            </w:r>
            <w:r>
              <w:rPr>
                <w:rFonts w:ascii="Arial" w:eastAsia="Arial" w:hAnsi="Arial" w:cs="Arial"/>
                <w:sz w:val="24"/>
              </w:rPr>
              <w:t>. For deaf people, this typically manifests as lack of acknowledgement and being made to feel inferior by the hearing majority.</w:t>
            </w:r>
          </w:p>
        </w:tc>
      </w:tr>
      <w:tr w:rsidR="009F4BE2" w14:paraId="1E2BF807" w14:textId="77777777" w:rsidTr="00DA0121">
        <w:tc>
          <w:tcPr>
            <w:cnfStyle w:val="001000000000" w:firstRow="0" w:lastRow="0" w:firstColumn="1" w:lastColumn="0" w:oddVBand="0" w:evenVBand="0" w:oddHBand="0" w:evenHBand="0" w:firstRowFirstColumn="0" w:firstRowLastColumn="0" w:lastRowFirstColumn="0" w:lastRowLastColumn="0"/>
            <w:tcW w:w="3005" w:type="dxa"/>
            <w:vMerge/>
            <w:tcBorders>
              <w:top w:val="nil"/>
            </w:tcBorders>
          </w:tcPr>
          <w:p w14:paraId="34AB2D3B" w14:textId="77777777" w:rsidR="009F4BE2" w:rsidRDefault="009F4BE2" w:rsidP="00DA0121"/>
        </w:tc>
        <w:tc>
          <w:tcPr>
            <w:tcW w:w="1952" w:type="dxa"/>
          </w:tcPr>
          <w:p w14:paraId="25F3125E" w14:textId="77777777" w:rsidR="009F4BE2" w:rsidRDefault="009F4BE2" w:rsidP="00DA0121">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sz w:val="24"/>
              </w:rPr>
              <w:t>Marginalisation and ostracism</w:t>
            </w:r>
          </w:p>
        </w:tc>
        <w:tc>
          <w:tcPr>
            <w:tcW w:w="4059" w:type="dxa"/>
          </w:tcPr>
          <w:p w14:paraId="79146322" w14:textId="77777777" w:rsidR="009F4BE2" w:rsidRDefault="009F4BE2" w:rsidP="00DA0121">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sz w:val="24"/>
              </w:rPr>
              <w:t xml:space="preserve">Marginalisation is the perception by an individual (accurately or not) that they do not belong to the same social structure as the others (hearing community), that they do not matter, that they are unable to contribute or effect change within society, and that they are invisible and ostracism is being ignored and excluded </w:t>
            </w:r>
            <w:r>
              <w:rPr>
                <w:rFonts w:ascii="Arial" w:eastAsia="Arial" w:hAnsi="Arial" w:cs="Arial"/>
                <w:sz w:val="24"/>
              </w:rPr>
              <w:fldChar w:fldCharType="begin"/>
            </w:r>
            <w:r>
              <w:rPr>
                <w:rFonts w:ascii="Arial" w:eastAsia="Arial" w:hAnsi="Arial" w:cs="Arial"/>
                <w:sz w:val="24"/>
              </w:rPr>
              <w:instrText xml:space="preserve"> ADDIN EN.CITE &lt;EndNote&gt;&lt;Cite&gt;&lt;Author&gt;Williams&lt;/Author&gt;&lt;Year&gt;2008&lt;/Year&gt;&lt;RecNum&gt;325&lt;/RecNum&gt;&lt;DisplayText&gt;[115]&lt;/DisplayText&gt;&lt;record&gt;&lt;rec-number&gt;325&lt;/rec-number&gt;&lt;foreign-keys&gt;&lt;key app="EN" db-id="0t5arpw0dadwp0e0r0ov95pwzrdtvwv0err0" timestamp="1723024094" guid="21ddf081-a53d-472c-bf36-bdde094e09a0"&gt;325&lt;/key&gt;&lt;/foreign-keys&gt;&lt;ref-type name="Book Section"&gt;5&lt;/ref-type&gt;&lt;contributors&gt;&lt;authors&gt;&lt;author&gt;Kipling D. Williams&lt;/author&gt;&lt;author&gt;Adrienne R. Carter-Sowell&lt;/author&gt;&lt;/authors&gt;&lt;secondary-authors&gt;&lt;author&gt;Fabrizio Butera&lt;/author&gt;&lt;author&gt;John M. Levine&lt;/author&gt;&lt;/secondary-authors&gt;&lt;/contributors&gt;&lt;titles&gt;&lt;title&gt;Margalization through social ostracism: Effects of being ignored and excluded&lt;/title&gt;&lt;secondary-title&gt;Coping with Minority Status: Responses to Exclusion and Inclusion&lt;/secondary-title&gt;&lt;/titles&gt;&lt;pages&gt;104-121&lt;/pages&gt;&lt;dates&gt;&lt;year&gt;2008&lt;/year&gt;&lt;/dates&gt;&lt;publisher&gt;Cambridge University Press&lt;/publisher&gt;&lt;urls&gt;&lt;/urls&gt;&lt;/record&gt;&lt;/Cite&gt;&lt;/EndNote&gt;</w:instrText>
            </w:r>
            <w:r>
              <w:rPr>
                <w:rFonts w:ascii="Arial" w:eastAsia="Arial" w:hAnsi="Arial" w:cs="Arial"/>
                <w:sz w:val="24"/>
              </w:rPr>
              <w:fldChar w:fldCharType="separate"/>
            </w:r>
            <w:r>
              <w:rPr>
                <w:rFonts w:ascii="Arial" w:eastAsia="Arial" w:hAnsi="Arial" w:cs="Arial"/>
                <w:noProof/>
                <w:sz w:val="24"/>
              </w:rPr>
              <w:t>[115]</w:t>
            </w:r>
            <w:r>
              <w:rPr>
                <w:rFonts w:ascii="Arial" w:eastAsia="Arial" w:hAnsi="Arial" w:cs="Arial"/>
                <w:sz w:val="24"/>
              </w:rPr>
              <w:fldChar w:fldCharType="end"/>
            </w:r>
            <w:r>
              <w:rPr>
                <w:rFonts w:ascii="Arial" w:eastAsia="Arial" w:hAnsi="Arial" w:cs="Arial"/>
                <w:sz w:val="24"/>
              </w:rPr>
              <w:t xml:space="preserve">. </w:t>
            </w:r>
          </w:p>
        </w:tc>
      </w:tr>
    </w:tbl>
    <w:p w14:paraId="35E68399" w14:textId="0CE9674C" w:rsidR="00841A4A" w:rsidRPr="009F4BE2" w:rsidRDefault="00841A4A" w:rsidP="009F4BE2">
      <w:pPr>
        <w:spacing w:after="0" w:line="240" w:lineRule="auto"/>
        <w:jc w:val="left"/>
        <w:rPr>
          <w:rFonts w:ascii="Segoe UI" w:hAnsi="Segoe UI" w:cs="Segoe UI"/>
          <w:color w:val="000000"/>
          <w:sz w:val="21"/>
          <w:szCs w:val="21"/>
        </w:rPr>
      </w:pPr>
    </w:p>
    <w:sectPr w:rsidR="00841A4A" w:rsidRPr="009F4B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E2"/>
    <w:rsid w:val="00005049"/>
    <w:rsid w:val="000100D3"/>
    <w:rsid w:val="000C5D5F"/>
    <w:rsid w:val="000D081F"/>
    <w:rsid w:val="00110D9B"/>
    <w:rsid w:val="00137679"/>
    <w:rsid w:val="0014694C"/>
    <w:rsid w:val="001904D9"/>
    <w:rsid w:val="0019738F"/>
    <w:rsid w:val="0019794D"/>
    <w:rsid w:val="001A6115"/>
    <w:rsid w:val="002169B1"/>
    <w:rsid w:val="002A4CE3"/>
    <w:rsid w:val="002A587F"/>
    <w:rsid w:val="00371369"/>
    <w:rsid w:val="0038545F"/>
    <w:rsid w:val="0039129A"/>
    <w:rsid w:val="003A2C61"/>
    <w:rsid w:val="003B01DB"/>
    <w:rsid w:val="003E38E5"/>
    <w:rsid w:val="003E50F6"/>
    <w:rsid w:val="003F06B1"/>
    <w:rsid w:val="00452DCC"/>
    <w:rsid w:val="004C15F7"/>
    <w:rsid w:val="00502F90"/>
    <w:rsid w:val="005622F7"/>
    <w:rsid w:val="00575D78"/>
    <w:rsid w:val="00577082"/>
    <w:rsid w:val="00594743"/>
    <w:rsid w:val="006665FB"/>
    <w:rsid w:val="0070579B"/>
    <w:rsid w:val="0072460D"/>
    <w:rsid w:val="007B693E"/>
    <w:rsid w:val="007F27AD"/>
    <w:rsid w:val="00806CAD"/>
    <w:rsid w:val="00840CA6"/>
    <w:rsid w:val="00841A4A"/>
    <w:rsid w:val="00860FBF"/>
    <w:rsid w:val="00862149"/>
    <w:rsid w:val="008663FD"/>
    <w:rsid w:val="008E2866"/>
    <w:rsid w:val="008E746E"/>
    <w:rsid w:val="00907BA5"/>
    <w:rsid w:val="00943320"/>
    <w:rsid w:val="0098229E"/>
    <w:rsid w:val="009B02B4"/>
    <w:rsid w:val="009D64CC"/>
    <w:rsid w:val="009F4BE2"/>
    <w:rsid w:val="00A31370"/>
    <w:rsid w:val="00A32772"/>
    <w:rsid w:val="00A41929"/>
    <w:rsid w:val="00A602C5"/>
    <w:rsid w:val="00AA6E75"/>
    <w:rsid w:val="00AD0DA3"/>
    <w:rsid w:val="00AF172F"/>
    <w:rsid w:val="00B049CD"/>
    <w:rsid w:val="00B17F82"/>
    <w:rsid w:val="00BA5DA7"/>
    <w:rsid w:val="00BC30C9"/>
    <w:rsid w:val="00BD13DC"/>
    <w:rsid w:val="00BE710B"/>
    <w:rsid w:val="00BE7653"/>
    <w:rsid w:val="00C203DD"/>
    <w:rsid w:val="00C37C0C"/>
    <w:rsid w:val="00C47549"/>
    <w:rsid w:val="00C5406E"/>
    <w:rsid w:val="00C719D5"/>
    <w:rsid w:val="00C9508C"/>
    <w:rsid w:val="00D41807"/>
    <w:rsid w:val="00D76796"/>
    <w:rsid w:val="00D90B8F"/>
    <w:rsid w:val="00DA740C"/>
    <w:rsid w:val="00DB64DB"/>
    <w:rsid w:val="00DD2962"/>
    <w:rsid w:val="00DF2539"/>
    <w:rsid w:val="00DF2A6A"/>
    <w:rsid w:val="00DF5D19"/>
    <w:rsid w:val="00E07356"/>
    <w:rsid w:val="00E078E3"/>
    <w:rsid w:val="00E22692"/>
    <w:rsid w:val="00E2675D"/>
    <w:rsid w:val="00E330C1"/>
    <w:rsid w:val="00E4290B"/>
    <w:rsid w:val="00E4466F"/>
    <w:rsid w:val="00E60040"/>
    <w:rsid w:val="00E65117"/>
    <w:rsid w:val="00E65467"/>
    <w:rsid w:val="00E73876"/>
    <w:rsid w:val="00E95F10"/>
    <w:rsid w:val="00EB5045"/>
    <w:rsid w:val="00EC7D93"/>
    <w:rsid w:val="00EF3BEF"/>
    <w:rsid w:val="00F05BB8"/>
    <w:rsid w:val="00F52B99"/>
    <w:rsid w:val="00F5345A"/>
    <w:rsid w:val="00F6433C"/>
    <w:rsid w:val="00F7016C"/>
    <w:rsid w:val="00F82124"/>
    <w:rsid w:val="00F86199"/>
    <w:rsid w:val="00FA6A7B"/>
    <w:rsid w:val="00FC19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8842965"/>
  <w15:chartTrackingRefBased/>
  <w15:docId w15:val="{3EB1F832-FEBE-B145-BB5D-60B18901E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BE2"/>
    <w:pPr>
      <w:spacing w:after="160" w:line="360" w:lineRule="auto"/>
      <w:jc w:val="both"/>
    </w:pPr>
    <w:rPr>
      <w:rFonts w:ascii="Calibri" w:eastAsia="Calibri" w:hAnsi="Calibri" w:cs="Calibri"/>
      <w:kern w:val="0"/>
      <w:sz w:val="22"/>
      <w:szCs w:val="20"/>
      <w:lang w:eastAsia="en-GB"/>
      <w14:ligatures w14:val="none"/>
    </w:rPr>
  </w:style>
  <w:style w:type="paragraph" w:styleId="Heading1">
    <w:name w:val="heading 1"/>
    <w:basedOn w:val="Normal"/>
    <w:next w:val="Normal"/>
    <w:link w:val="Heading1Char"/>
    <w:uiPriority w:val="9"/>
    <w:qFormat/>
    <w:rsid w:val="009F4BE2"/>
    <w:pPr>
      <w:keepNext/>
      <w:keepLines/>
      <w:spacing w:before="360" w:after="80" w:line="240"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9F4BE2"/>
    <w:pPr>
      <w:keepNext/>
      <w:keepLines/>
      <w:spacing w:before="160" w:after="80" w:line="240"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9F4BE2"/>
    <w:pPr>
      <w:keepNext/>
      <w:keepLines/>
      <w:spacing w:before="160" w:after="80" w:line="240"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9F4BE2"/>
    <w:pPr>
      <w:keepNext/>
      <w:keepLines/>
      <w:spacing w:before="80" w:after="40" w:line="240" w:lineRule="auto"/>
      <w:jc w:val="left"/>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9F4BE2"/>
    <w:pPr>
      <w:keepNext/>
      <w:keepLines/>
      <w:spacing w:before="80" w:after="40" w:line="240" w:lineRule="auto"/>
      <w:jc w:val="left"/>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9F4BE2"/>
    <w:pPr>
      <w:keepNext/>
      <w:keepLines/>
      <w:spacing w:before="40" w:after="0" w:line="240" w:lineRule="auto"/>
      <w:jc w:val="left"/>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9F4BE2"/>
    <w:pPr>
      <w:keepNext/>
      <w:keepLines/>
      <w:spacing w:before="40" w:after="0" w:line="240" w:lineRule="auto"/>
      <w:jc w:val="left"/>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9F4BE2"/>
    <w:pPr>
      <w:keepNext/>
      <w:keepLines/>
      <w:spacing w:after="0" w:line="240" w:lineRule="auto"/>
      <w:jc w:val="left"/>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9F4BE2"/>
    <w:pPr>
      <w:keepNext/>
      <w:keepLines/>
      <w:spacing w:after="0" w:line="240" w:lineRule="auto"/>
      <w:jc w:val="left"/>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B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4B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4B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4B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4B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4B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B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B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BE2"/>
    <w:rPr>
      <w:rFonts w:eastAsiaTheme="majorEastAsia" w:cstheme="majorBidi"/>
      <w:color w:val="272727" w:themeColor="text1" w:themeTint="D8"/>
    </w:rPr>
  </w:style>
  <w:style w:type="paragraph" w:styleId="Title">
    <w:name w:val="Title"/>
    <w:basedOn w:val="Normal"/>
    <w:next w:val="Normal"/>
    <w:link w:val="TitleChar"/>
    <w:uiPriority w:val="10"/>
    <w:qFormat/>
    <w:rsid w:val="009F4BE2"/>
    <w:pPr>
      <w:spacing w:after="80" w:line="240" w:lineRule="auto"/>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F4B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BE2"/>
    <w:pPr>
      <w:numPr>
        <w:ilvl w:val="1"/>
      </w:numPr>
      <w:spacing w:line="240"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9F4B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BE2"/>
    <w:pPr>
      <w:spacing w:before="160" w:line="240"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9F4BE2"/>
    <w:rPr>
      <w:i/>
      <w:iCs/>
      <w:color w:val="404040" w:themeColor="text1" w:themeTint="BF"/>
    </w:rPr>
  </w:style>
  <w:style w:type="paragraph" w:styleId="ListParagraph">
    <w:name w:val="List Paragraph"/>
    <w:basedOn w:val="Normal"/>
    <w:qFormat/>
    <w:rsid w:val="009F4BE2"/>
    <w:pPr>
      <w:spacing w:after="0" w:line="240" w:lineRule="auto"/>
      <w:ind w:left="720"/>
      <w:contextualSpacing/>
      <w:jc w:val="left"/>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9F4BE2"/>
    <w:rPr>
      <w:i/>
      <w:iCs/>
      <w:color w:val="0F4761" w:themeColor="accent1" w:themeShade="BF"/>
    </w:rPr>
  </w:style>
  <w:style w:type="paragraph" w:styleId="IntenseQuote">
    <w:name w:val="Intense Quote"/>
    <w:basedOn w:val="Normal"/>
    <w:next w:val="Normal"/>
    <w:link w:val="IntenseQuoteChar"/>
    <w:uiPriority w:val="30"/>
    <w:qFormat/>
    <w:rsid w:val="009F4BE2"/>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9F4BE2"/>
    <w:rPr>
      <w:i/>
      <w:iCs/>
      <w:color w:val="0F4761" w:themeColor="accent1" w:themeShade="BF"/>
    </w:rPr>
  </w:style>
  <w:style w:type="character" w:styleId="IntenseReference">
    <w:name w:val="Intense Reference"/>
    <w:basedOn w:val="DefaultParagraphFont"/>
    <w:uiPriority w:val="32"/>
    <w:qFormat/>
    <w:rsid w:val="009F4BE2"/>
    <w:rPr>
      <w:b/>
      <w:bCs/>
      <w:smallCaps/>
      <w:color w:val="0F4761" w:themeColor="accent1" w:themeShade="BF"/>
      <w:spacing w:val="5"/>
    </w:rPr>
  </w:style>
  <w:style w:type="table" w:styleId="GridTable1Light">
    <w:name w:val="Grid Table 1 Light"/>
    <w:basedOn w:val="TableNormal"/>
    <w:rsid w:val="009F4BE2"/>
    <w:rPr>
      <w:rFonts w:ascii="Times New Roman" w:eastAsia="Times New Roman" w:hAnsi="Times New Roman" w:cs="Times New Roman"/>
      <w:kern w:val="0"/>
      <w:sz w:val="20"/>
      <w:szCs w:val="20"/>
      <w:lang w:eastAsia="en-GB"/>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rPr>
      <w:tblPr/>
      <w:tcPr>
        <w:tcBorders>
          <w:bottom w:val="single" w:sz="12" w:space="0" w:color="666666"/>
        </w:tcBorders>
      </w:tcPr>
    </w:tblStylePr>
    <w:tblStylePr w:type="lastRow">
      <w:rPr>
        <w:b/>
      </w:rPr>
      <w:tblPr/>
      <w:tcPr>
        <w:tcBorders>
          <w:top w:val="double" w:sz="2" w:space="0" w:color="666666"/>
        </w:tcBorders>
      </w:tcPr>
    </w:tblStylePr>
    <w:tblStylePr w:type="firstCol">
      <w:rPr>
        <w:b/>
      </w:rPr>
    </w:tblStylePr>
    <w:tblStylePr w:type="la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2463</Words>
  <Characters>14041</Characters>
  <Application>Microsoft Office Word</Application>
  <DocSecurity>0</DocSecurity>
  <Lines>117</Lines>
  <Paragraphs>32</Paragraphs>
  <ScaleCrop>false</ScaleCrop>
  <Company/>
  <LinksUpToDate>false</LinksUpToDate>
  <CharactersWithSpaces>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RAMUNAS MCRAE</dc:creator>
  <cp:keywords/>
  <dc:description/>
  <cp:lastModifiedBy>RAMUNAS MCRAE</cp:lastModifiedBy>
  <cp:revision>1</cp:revision>
  <dcterms:created xsi:type="dcterms:W3CDTF">2025-01-30T10:25:00Z</dcterms:created>
  <dcterms:modified xsi:type="dcterms:W3CDTF">2025-01-30T10:26:00Z</dcterms:modified>
</cp:coreProperties>
</file>