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13FB" w14:textId="699D3660" w:rsidR="00A72211" w:rsidRDefault="00104E80">
      <w:r>
        <w:t xml:space="preserve">Additional </w:t>
      </w:r>
      <w:r w:rsidR="009D219C">
        <w:t>file 2</w:t>
      </w:r>
      <w:r w:rsidR="00A72211">
        <w:t xml:space="preserve">: </w:t>
      </w:r>
      <w:r w:rsidR="00A72211" w:rsidRPr="00A72211">
        <w:t xml:space="preserve">critical appraisal of studies included in the systematic review and meta-analysis for pooled </w:t>
      </w:r>
      <w:r w:rsidR="001A3F92">
        <w:t xml:space="preserve">prevalence of </w:t>
      </w:r>
      <w:r>
        <w:t>IPV</w:t>
      </w:r>
      <w:r w:rsidR="001A3F92">
        <w:t xml:space="preserve"> among HIV-positive women in </w:t>
      </w:r>
      <w:r>
        <w:t xml:space="preserve">East </w:t>
      </w:r>
      <w:r w:rsidR="001A3F92">
        <w:t>Africa</w:t>
      </w:r>
      <w:r>
        <w:t>.</w:t>
      </w:r>
    </w:p>
    <w:p w14:paraId="2DE88C6B" w14:textId="77777777" w:rsidR="001A3F92" w:rsidRDefault="001A3F9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8"/>
        <w:gridCol w:w="1170"/>
        <w:gridCol w:w="730"/>
        <w:gridCol w:w="1070"/>
        <w:gridCol w:w="1017"/>
        <w:gridCol w:w="603"/>
        <w:gridCol w:w="810"/>
        <w:gridCol w:w="810"/>
        <w:gridCol w:w="990"/>
        <w:gridCol w:w="1360"/>
      </w:tblGrid>
      <w:tr w:rsidR="008F25E6" w:rsidRPr="000B6841" w14:paraId="134662B5" w14:textId="77777777" w:rsidTr="00D700C4">
        <w:trPr>
          <w:cantSplit/>
          <w:trHeight w:val="755"/>
        </w:trPr>
        <w:tc>
          <w:tcPr>
            <w:tcW w:w="2848" w:type="dxa"/>
            <w:vMerge w:val="restart"/>
          </w:tcPr>
          <w:p w14:paraId="1EE01F58" w14:textId="77777777" w:rsidR="008F25E6" w:rsidRPr="000B6841" w:rsidRDefault="008F25E6" w:rsidP="000B6841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288E062F" w14:textId="2EFA68D7" w:rsidR="008F25E6" w:rsidRPr="000B6841" w:rsidRDefault="008F25E6" w:rsidP="000B684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 xml:space="preserve">   Included studies</w:t>
            </w:r>
          </w:p>
          <w:p w14:paraId="6B90141C" w14:textId="77777777" w:rsidR="008F25E6" w:rsidRPr="000B6841" w:rsidRDefault="008F25E6" w:rsidP="000B6841">
            <w:pPr>
              <w:rPr>
                <w:sz w:val="20"/>
                <w:szCs w:val="20"/>
              </w:rPr>
            </w:pPr>
          </w:p>
          <w:p w14:paraId="11606A9D" w14:textId="77777777" w:rsidR="008F25E6" w:rsidRPr="000B6841" w:rsidRDefault="008F25E6" w:rsidP="000B6841">
            <w:pPr>
              <w:rPr>
                <w:sz w:val="20"/>
                <w:szCs w:val="20"/>
              </w:rPr>
            </w:pPr>
          </w:p>
          <w:p w14:paraId="3AE6C700" w14:textId="77777777" w:rsidR="008F25E6" w:rsidRPr="000B6841" w:rsidRDefault="008F25E6" w:rsidP="000B6841">
            <w:pPr>
              <w:rPr>
                <w:sz w:val="20"/>
                <w:szCs w:val="20"/>
              </w:rPr>
            </w:pPr>
          </w:p>
          <w:p w14:paraId="426D2D28" w14:textId="77777777" w:rsidR="008F25E6" w:rsidRPr="000B6841" w:rsidRDefault="008F25E6" w:rsidP="000B6841">
            <w:pPr>
              <w:jc w:val="center"/>
              <w:rPr>
                <w:sz w:val="20"/>
                <w:szCs w:val="20"/>
              </w:rPr>
            </w:pPr>
          </w:p>
          <w:p w14:paraId="4662B24E" w14:textId="77777777" w:rsidR="008F25E6" w:rsidRPr="000B6841" w:rsidRDefault="008F25E6" w:rsidP="000B68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0" w:type="dxa"/>
            <w:gridSpan w:val="9"/>
            <w:tcBorders>
              <w:bottom w:val="single" w:sz="4" w:space="0" w:color="auto"/>
            </w:tcBorders>
            <w:vAlign w:val="bottom"/>
          </w:tcPr>
          <w:p w14:paraId="4B5B93EA" w14:textId="7C46B7C5" w:rsidR="008F25E6" w:rsidRPr="000B6841" w:rsidRDefault="008F25E6" w:rsidP="000B6841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 xml:space="preserve">Eight JBI Critical Appraisal Checklist for cross-sectional studies: The tool has Yes, </w:t>
            </w:r>
            <w:proofErr w:type="gramStart"/>
            <w:r w:rsidRPr="000B6841">
              <w:rPr>
                <w:sz w:val="20"/>
                <w:szCs w:val="20"/>
              </w:rPr>
              <w:t>No</w:t>
            </w:r>
            <w:proofErr w:type="gramEnd"/>
            <w:r w:rsidRPr="000B6841">
              <w:rPr>
                <w:sz w:val="20"/>
                <w:szCs w:val="20"/>
              </w:rPr>
              <w:t>, Unclear, and Not Applicable options: “1” is given for “Yes” and “0” is given for other options</w:t>
            </w:r>
          </w:p>
        </w:tc>
      </w:tr>
      <w:tr w:rsidR="008F25E6" w:rsidRPr="000B6841" w14:paraId="770F3BA7" w14:textId="77777777" w:rsidTr="000B6841">
        <w:trPr>
          <w:cantSplit/>
          <w:trHeight w:val="1718"/>
        </w:trPr>
        <w:tc>
          <w:tcPr>
            <w:tcW w:w="2848" w:type="dxa"/>
            <w:vMerge/>
            <w:tcBorders>
              <w:bottom w:val="single" w:sz="4" w:space="0" w:color="auto"/>
            </w:tcBorders>
          </w:tcPr>
          <w:p w14:paraId="57DAD543" w14:textId="77777777" w:rsidR="008F25E6" w:rsidRPr="000B6841" w:rsidRDefault="008F25E6" w:rsidP="000B684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0134470E" w14:textId="77777777" w:rsidR="008F25E6" w:rsidRPr="000B6841" w:rsidRDefault="008F25E6" w:rsidP="000B6841">
            <w:pPr>
              <w:pStyle w:val="TableParagraph"/>
              <w:spacing w:line="240" w:lineRule="auto"/>
              <w:ind w:left="113" w:right="154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The criteria for inclusion in the sample clearly defined</w:t>
            </w:r>
          </w:p>
        </w:tc>
        <w:tc>
          <w:tcPr>
            <w:tcW w:w="730" w:type="dxa"/>
            <w:tcBorders>
              <w:top w:val="single" w:sz="4" w:space="0" w:color="auto"/>
            </w:tcBorders>
            <w:textDirection w:val="btLr"/>
          </w:tcPr>
          <w:p w14:paraId="28DFE2FC" w14:textId="77777777" w:rsidR="008F25E6" w:rsidRPr="000B6841" w:rsidRDefault="008F25E6" w:rsidP="000B6841">
            <w:pPr>
              <w:pStyle w:val="TableParagraph"/>
              <w:spacing w:line="240" w:lineRule="auto"/>
              <w:ind w:left="113" w:right="154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 xml:space="preserve">Describe study setting and participant </w:t>
            </w:r>
          </w:p>
          <w:p w14:paraId="4D96A426" w14:textId="77777777" w:rsidR="008F25E6" w:rsidRPr="000B6841" w:rsidRDefault="008F25E6" w:rsidP="000B6841">
            <w:pPr>
              <w:pStyle w:val="TableParagraph"/>
              <w:spacing w:line="240" w:lineRule="auto"/>
              <w:ind w:left="113" w:right="154"/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textDirection w:val="btLr"/>
          </w:tcPr>
          <w:p w14:paraId="494817E2" w14:textId="77777777" w:rsidR="008F25E6" w:rsidRPr="000B6841" w:rsidRDefault="008F25E6" w:rsidP="000B6841">
            <w:pPr>
              <w:pStyle w:val="TableParagraph"/>
              <w:spacing w:line="240" w:lineRule="auto"/>
              <w:ind w:left="113" w:right="154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 xml:space="preserve">Valid and reliable exposure measurement </w:t>
            </w:r>
          </w:p>
          <w:p w14:paraId="27242B43" w14:textId="77777777" w:rsidR="008F25E6" w:rsidRPr="000B6841" w:rsidRDefault="008F25E6" w:rsidP="000B6841">
            <w:pPr>
              <w:pStyle w:val="TableParagraph"/>
              <w:spacing w:line="240" w:lineRule="auto"/>
              <w:ind w:left="113" w:right="154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textDirection w:val="btLr"/>
          </w:tcPr>
          <w:p w14:paraId="1093CCC1" w14:textId="711A9D5B" w:rsidR="008F25E6" w:rsidRPr="000B6841" w:rsidRDefault="008F25E6" w:rsidP="000B6841">
            <w:pPr>
              <w:pStyle w:val="TableParagraph"/>
              <w:spacing w:line="240" w:lineRule="auto"/>
              <w:ind w:right="95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 xml:space="preserve">Objective and standard criteria for measurement </w:t>
            </w:r>
          </w:p>
          <w:p w14:paraId="1122BCB7" w14:textId="77777777" w:rsidR="008F25E6" w:rsidRPr="000B6841" w:rsidRDefault="008F25E6" w:rsidP="000B6841">
            <w:pPr>
              <w:pStyle w:val="TableParagraph"/>
              <w:spacing w:line="240" w:lineRule="auto"/>
              <w:ind w:right="95"/>
              <w:rPr>
                <w:sz w:val="20"/>
                <w:szCs w:val="20"/>
              </w:rPr>
            </w:pPr>
          </w:p>
          <w:p w14:paraId="7CAE7F96" w14:textId="77777777" w:rsidR="008F25E6" w:rsidRPr="000B6841" w:rsidRDefault="008F25E6" w:rsidP="000B6841">
            <w:pPr>
              <w:pStyle w:val="TableParagraph"/>
              <w:spacing w:line="240" w:lineRule="auto"/>
              <w:ind w:right="95"/>
              <w:rPr>
                <w:sz w:val="20"/>
                <w:szCs w:val="20"/>
              </w:rPr>
            </w:pPr>
          </w:p>
          <w:p w14:paraId="4D6185CB" w14:textId="77777777" w:rsidR="008F25E6" w:rsidRPr="000B6841" w:rsidRDefault="008F25E6" w:rsidP="000B6841">
            <w:pPr>
              <w:pStyle w:val="TableParagraph"/>
              <w:spacing w:line="240" w:lineRule="auto"/>
              <w:ind w:right="95"/>
              <w:rPr>
                <w:sz w:val="20"/>
                <w:szCs w:val="20"/>
              </w:rPr>
            </w:pPr>
          </w:p>
          <w:p w14:paraId="31569098" w14:textId="77777777" w:rsidR="008F25E6" w:rsidRPr="000B6841" w:rsidRDefault="008F25E6" w:rsidP="000B6841">
            <w:pPr>
              <w:pStyle w:val="TableParagraph"/>
              <w:spacing w:line="240" w:lineRule="auto"/>
              <w:ind w:right="95"/>
              <w:rPr>
                <w:sz w:val="20"/>
                <w:szCs w:val="20"/>
              </w:rPr>
            </w:pPr>
          </w:p>
          <w:p w14:paraId="60F5D482" w14:textId="77777777" w:rsidR="008F25E6" w:rsidRPr="000B6841" w:rsidRDefault="008F25E6" w:rsidP="000B6841">
            <w:pPr>
              <w:pStyle w:val="TableParagraph"/>
              <w:spacing w:line="240" w:lineRule="auto"/>
              <w:ind w:right="95"/>
              <w:rPr>
                <w:sz w:val="20"/>
                <w:szCs w:val="20"/>
              </w:rPr>
            </w:pPr>
          </w:p>
          <w:p w14:paraId="51E66F65" w14:textId="77777777" w:rsidR="008F25E6" w:rsidRPr="000B6841" w:rsidRDefault="008F25E6" w:rsidP="000B6841">
            <w:pPr>
              <w:pStyle w:val="TableParagraph"/>
              <w:spacing w:line="240" w:lineRule="auto"/>
              <w:ind w:right="95"/>
              <w:rPr>
                <w:sz w:val="20"/>
                <w:szCs w:val="20"/>
              </w:rPr>
            </w:pPr>
          </w:p>
          <w:p w14:paraId="319C6608" w14:textId="77777777" w:rsidR="008F25E6" w:rsidRPr="000B6841" w:rsidRDefault="008F25E6" w:rsidP="000B6841">
            <w:pPr>
              <w:pStyle w:val="TableParagraph"/>
              <w:spacing w:line="240" w:lineRule="auto"/>
              <w:ind w:right="95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  <w:textDirection w:val="btLr"/>
          </w:tcPr>
          <w:p w14:paraId="7A9CC7EF" w14:textId="6BAF18CD" w:rsidR="008F25E6" w:rsidRPr="000B6841" w:rsidRDefault="008F25E6" w:rsidP="000B6841">
            <w:pPr>
              <w:pStyle w:val="TableParagraph"/>
              <w:spacing w:line="240" w:lineRule="auto"/>
              <w:ind w:left="113" w:right="156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 xml:space="preserve">Identified confounder </w:t>
            </w:r>
          </w:p>
          <w:p w14:paraId="58031FB0" w14:textId="77777777" w:rsidR="008F25E6" w:rsidRPr="000B6841" w:rsidRDefault="008F25E6" w:rsidP="000B6841">
            <w:pPr>
              <w:pStyle w:val="TableParagraph"/>
              <w:spacing w:line="240" w:lineRule="auto"/>
              <w:ind w:left="113" w:right="156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textDirection w:val="btLr"/>
          </w:tcPr>
          <w:p w14:paraId="6B1371CB" w14:textId="6D5BF113" w:rsidR="008F25E6" w:rsidRPr="000B6841" w:rsidRDefault="008F25E6" w:rsidP="000B6841">
            <w:pPr>
              <w:pStyle w:val="TableParagraph"/>
              <w:spacing w:line="240" w:lineRule="auto"/>
              <w:ind w:left="113" w:right="102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 xml:space="preserve">Strategies to deal with confounders </w:t>
            </w:r>
          </w:p>
          <w:p w14:paraId="0AE39A87" w14:textId="77777777" w:rsidR="008F25E6" w:rsidRPr="000B6841" w:rsidRDefault="008F25E6" w:rsidP="000B6841">
            <w:pPr>
              <w:pStyle w:val="TableParagraph"/>
              <w:spacing w:line="240" w:lineRule="auto"/>
              <w:ind w:left="113" w:right="102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textDirection w:val="btLr"/>
          </w:tcPr>
          <w:p w14:paraId="58ABDC9F" w14:textId="77777777" w:rsidR="008F25E6" w:rsidRPr="000B6841" w:rsidRDefault="008F25E6" w:rsidP="000B6841">
            <w:pPr>
              <w:pStyle w:val="TableParagraph"/>
              <w:spacing w:line="240" w:lineRule="auto"/>
              <w:ind w:left="113" w:right="127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Valid and reliable outcome measurement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extDirection w:val="btLr"/>
          </w:tcPr>
          <w:p w14:paraId="543BA6B6" w14:textId="77777777" w:rsidR="008F25E6" w:rsidRPr="000B6841" w:rsidRDefault="008F25E6" w:rsidP="000B6841">
            <w:pPr>
              <w:pStyle w:val="TableParagraph"/>
              <w:spacing w:line="240" w:lineRule="auto"/>
              <w:ind w:left="113" w:right="97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 xml:space="preserve">Appropriate statically analysis  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64835F9C" w14:textId="77777777" w:rsidR="008F25E6" w:rsidRPr="000B6841" w:rsidRDefault="008F25E6" w:rsidP="000B6841">
            <w:pPr>
              <w:pStyle w:val="TableParagraph"/>
              <w:spacing w:line="240" w:lineRule="auto"/>
              <w:ind w:left="0" w:right="146"/>
              <w:rPr>
                <w:sz w:val="20"/>
                <w:szCs w:val="20"/>
              </w:rPr>
            </w:pPr>
          </w:p>
          <w:p w14:paraId="1EF7CC33" w14:textId="77777777" w:rsidR="008F25E6" w:rsidRPr="000B6841" w:rsidRDefault="008F25E6" w:rsidP="000B6841">
            <w:pPr>
              <w:pStyle w:val="TableParagraph"/>
              <w:spacing w:line="240" w:lineRule="auto"/>
              <w:ind w:left="0" w:right="146"/>
              <w:rPr>
                <w:sz w:val="20"/>
                <w:szCs w:val="20"/>
              </w:rPr>
            </w:pPr>
          </w:p>
          <w:p w14:paraId="236182EA" w14:textId="77777777" w:rsidR="008F25E6" w:rsidRPr="000B6841" w:rsidRDefault="008F25E6" w:rsidP="000B6841">
            <w:pPr>
              <w:pStyle w:val="TableParagraph"/>
              <w:spacing w:line="240" w:lineRule="auto"/>
              <w:ind w:left="0" w:right="146"/>
              <w:rPr>
                <w:sz w:val="20"/>
                <w:szCs w:val="20"/>
              </w:rPr>
            </w:pPr>
          </w:p>
          <w:p w14:paraId="6EE8224C" w14:textId="77777777" w:rsidR="008F25E6" w:rsidRPr="000B6841" w:rsidRDefault="008F25E6" w:rsidP="000B6841">
            <w:pPr>
              <w:pStyle w:val="TableParagraph"/>
              <w:spacing w:line="240" w:lineRule="auto"/>
              <w:ind w:left="0" w:right="146"/>
              <w:rPr>
                <w:sz w:val="20"/>
                <w:szCs w:val="20"/>
              </w:rPr>
            </w:pPr>
          </w:p>
          <w:p w14:paraId="0F7783FD" w14:textId="77777777" w:rsidR="008F25E6" w:rsidRPr="000B6841" w:rsidRDefault="008F25E6" w:rsidP="000B6841">
            <w:pPr>
              <w:pStyle w:val="TableParagraph"/>
              <w:spacing w:line="240" w:lineRule="auto"/>
              <w:ind w:left="0" w:right="146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 xml:space="preserve"> Overall </w:t>
            </w:r>
          </w:p>
        </w:tc>
      </w:tr>
      <w:tr w:rsidR="009B1277" w:rsidRPr="000B6841" w14:paraId="5CA5F729" w14:textId="77777777" w:rsidTr="000B6841">
        <w:trPr>
          <w:trHeight w:val="530"/>
        </w:trPr>
        <w:tc>
          <w:tcPr>
            <w:tcW w:w="2848" w:type="dxa"/>
          </w:tcPr>
          <w:p w14:paraId="0E458669" w14:textId="467FE6AF" w:rsidR="009B1277" w:rsidRPr="000B6841" w:rsidRDefault="00CA2503" w:rsidP="000B684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4216A8" w14:textId="2EA0EFCB" w:rsidR="009B1277" w:rsidRPr="000B6841" w:rsidRDefault="009B1277" w:rsidP="000B6841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AA8B9E1" w14:textId="6B148B11" w:rsidR="009B1277" w:rsidRPr="000B6841" w:rsidRDefault="009B1277" w:rsidP="000B6841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35EFE4D9" w14:textId="6F1BFE0F" w:rsidR="009B1277" w:rsidRPr="000B6841" w:rsidRDefault="009B1277" w:rsidP="000B6841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  <w:p w14:paraId="4F2B3944" w14:textId="6C902882" w:rsidR="009B1277" w:rsidRPr="000B6841" w:rsidRDefault="009B1277" w:rsidP="000B684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4840B6C6" w14:textId="1FEE71F3" w:rsidR="009B1277" w:rsidRPr="000B6841" w:rsidRDefault="009B1277" w:rsidP="000B6841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  <w:p w14:paraId="75B0B84C" w14:textId="7F00DB2E" w:rsidR="009B1277" w:rsidRPr="000B6841" w:rsidRDefault="009B1277" w:rsidP="000B684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179B2ACE" w14:textId="19962B5B" w:rsidR="009B1277" w:rsidRPr="000B6841" w:rsidRDefault="009B1277" w:rsidP="000B6841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  <w:p w14:paraId="36C5E998" w14:textId="1ACD1725" w:rsidR="009B1277" w:rsidRPr="000B6841" w:rsidRDefault="009B1277" w:rsidP="000B684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2B4C8A3" w14:textId="0AF85AFF" w:rsidR="009B1277" w:rsidRPr="000B6841" w:rsidRDefault="009B1277" w:rsidP="000B684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CB1C0CD" w14:textId="74C79837" w:rsidR="009B1277" w:rsidRPr="000B6841" w:rsidRDefault="009B1277" w:rsidP="000B684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A3E7C7F" w14:textId="28275CEF" w:rsidR="009B1277" w:rsidRPr="000B6841" w:rsidRDefault="009B1277" w:rsidP="000B6841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  <w:p w14:paraId="5A3AF013" w14:textId="3F049721" w:rsidR="009B1277" w:rsidRPr="000B6841" w:rsidRDefault="009B1277" w:rsidP="000B684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2F048D1A" w14:textId="3D134830" w:rsidR="009B1277" w:rsidRPr="000B6841" w:rsidRDefault="009B1277" w:rsidP="000B684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 100</w:t>
            </w:r>
          </w:p>
        </w:tc>
      </w:tr>
      <w:tr w:rsidR="00072985" w:rsidRPr="000B6841" w14:paraId="25955373" w14:textId="77777777" w:rsidTr="000B6841">
        <w:trPr>
          <w:trHeight w:val="255"/>
        </w:trPr>
        <w:tc>
          <w:tcPr>
            <w:tcW w:w="2848" w:type="dxa"/>
          </w:tcPr>
          <w:p w14:paraId="3626B383" w14:textId="1B1EBC0D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 w:themeColor="text1"/>
              </w:rPr>
              <w:t xml:space="preserve">Mathania, M. et. al., 2023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C18BF3" w14:textId="6142970F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D229735" w14:textId="52AA0D2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630FB35A" w14:textId="60C7E19E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6C60817F" w14:textId="6F2750A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4D54E45D" w14:textId="524ED45D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CC9AE1C" w14:textId="3535D39F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0293858" w14:textId="6D043A73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8636F71" w14:textId="564336C0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19B73C69" w14:textId="1428248A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 100</w:t>
            </w:r>
          </w:p>
        </w:tc>
      </w:tr>
      <w:tr w:rsidR="00072985" w:rsidRPr="000B6841" w14:paraId="043ECE55" w14:textId="77777777" w:rsidTr="000B6841">
        <w:trPr>
          <w:trHeight w:val="225"/>
        </w:trPr>
        <w:tc>
          <w:tcPr>
            <w:tcW w:w="2848" w:type="dxa"/>
          </w:tcPr>
          <w:p w14:paraId="09AC7386" w14:textId="5A8852D1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Biranu, S. et. al., 2023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D880C5" w14:textId="630E796E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07D0DC0A" w14:textId="3D554CC0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72961045" w14:textId="0C6E28C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01FB2074" w14:textId="791F61F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1A18BF82" w14:textId="43FEFEE0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277AF00" w14:textId="2884BACE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4817C81" w14:textId="06FF4C1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6920ABF" w14:textId="0B173E11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BB32FD4" w14:textId="15B4C3A2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 100</w:t>
            </w:r>
          </w:p>
        </w:tc>
      </w:tr>
      <w:tr w:rsidR="00072985" w:rsidRPr="000B6841" w14:paraId="79299FBB" w14:textId="77777777" w:rsidTr="000B6841">
        <w:trPr>
          <w:trHeight w:val="255"/>
        </w:trPr>
        <w:tc>
          <w:tcPr>
            <w:tcW w:w="2848" w:type="dxa"/>
          </w:tcPr>
          <w:p w14:paraId="74265987" w14:textId="406EE3A9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Alemie, A. et. al., 2023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458B72" w14:textId="447FAEF0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D039AE9" w14:textId="71670321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1E5AB849" w14:textId="17EFEFF1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195C819E" w14:textId="6AD4BA34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0CE54D9D" w14:textId="7DF84BEE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3DF30E3" w14:textId="3985F128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4635ECA" w14:textId="62816392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3383B8E" w14:textId="18D5C24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7F519E0F" w14:textId="05452207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5894325D" w14:textId="77777777" w:rsidTr="000B6841">
        <w:trPr>
          <w:trHeight w:val="255"/>
        </w:trPr>
        <w:tc>
          <w:tcPr>
            <w:tcW w:w="2848" w:type="dxa"/>
          </w:tcPr>
          <w:p w14:paraId="049C302B" w14:textId="7BA76122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>Kaggiah, A. et. al., 2022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F0A428" w14:textId="483710A7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08D677C3" w14:textId="0386B3A8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26BD369A" w14:textId="61A6F777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43E485B7" w14:textId="5D707C5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30EA9A2B" w14:textId="3F5F66A8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329318C" w14:textId="49F20C54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E5E9E1A" w14:textId="65CFCF6D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EE427E9" w14:textId="70556B6D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31DBCEAB" w14:textId="5277652E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3F019C99" w14:textId="77777777" w:rsidTr="000B6841">
        <w:trPr>
          <w:trHeight w:val="315"/>
        </w:trPr>
        <w:tc>
          <w:tcPr>
            <w:tcW w:w="2848" w:type="dxa"/>
          </w:tcPr>
          <w:p w14:paraId="6468FC45" w14:textId="5745DAC2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Hatoum, S. et. al., 2022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A2DAF4" w14:textId="497164E9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4B68E18" w14:textId="1E391843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2A760530" w14:textId="0F647F1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0CB1CD72" w14:textId="1D6D1490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1C233B13" w14:textId="7CBAA56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E9E0546" w14:textId="1A78EBE5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F3CF8D6" w14:textId="2BFE6CCF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123229A" w14:textId="5AA11904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7BF34742" w14:textId="4219ED0A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45E611D7" w14:textId="77777777" w:rsidTr="000B6841">
        <w:trPr>
          <w:trHeight w:val="285"/>
        </w:trPr>
        <w:tc>
          <w:tcPr>
            <w:tcW w:w="2848" w:type="dxa"/>
          </w:tcPr>
          <w:p w14:paraId="72514178" w14:textId="056578F2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Bloom, B. et. al., 2022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4997D3" w14:textId="77A77F0F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C523D9D" w14:textId="6FC247E6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0A128036" w14:textId="0B4D40A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02CD58BC" w14:textId="2DB661D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1AD1D1DB" w14:textId="00684CD1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E6C82D1" w14:textId="1AAABD9B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3E38EFA" w14:textId="23389EF4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BF0DAD1" w14:textId="4E36C098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12078781" w14:textId="2C5910AB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7/8=87.5</w:t>
            </w:r>
          </w:p>
        </w:tc>
      </w:tr>
      <w:tr w:rsidR="00072985" w:rsidRPr="000B6841" w14:paraId="1EEFC3BC" w14:textId="77777777" w:rsidTr="000B6841">
        <w:trPr>
          <w:trHeight w:val="210"/>
        </w:trPr>
        <w:tc>
          <w:tcPr>
            <w:tcW w:w="2848" w:type="dxa"/>
          </w:tcPr>
          <w:p w14:paraId="37F0CF65" w14:textId="587E6EE9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Arishaba, A. et. al., 2022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511AB4" w14:textId="1140681B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3E7A2A08" w14:textId="6EE6A028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6FAB490C" w14:textId="209B2242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191E50E4" w14:textId="7A7DFE0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3B11F44C" w14:textId="4E87AB16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AD5EDAA" w14:textId="45BB42B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C0B555F" w14:textId="3BFBF4A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9D6E359" w14:textId="4BE6442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63DC8BE5" w14:textId="014A0B5F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1ADD7F6F" w14:textId="77777777" w:rsidTr="000B6841">
        <w:trPr>
          <w:trHeight w:val="390"/>
        </w:trPr>
        <w:tc>
          <w:tcPr>
            <w:tcW w:w="2848" w:type="dxa"/>
          </w:tcPr>
          <w:p w14:paraId="1D8A3255" w14:textId="4EBF3452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Hatcher, A. et. al., 2021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B9AC90" w14:textId="10A2F908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31DE74E" w14:textId="0643C5E7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6D3F70C0" w14:textId="710BDFD8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35D578A7" w14:textId="6F9752C2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59825EBB" w14:textId="1B4ECEE5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9791162" w14:textId="3963E8C1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49CDA8F" w14:textId="48E50B7B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0796077" w14:textId="15F63F95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4B7677C4" w14:textId="4BB8CB8C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0F32BFDB" w14:textId="77777777" w:rsidTr="000B6841">
        <w:trPr>
          <w:trHeight w:val="360"/>
        </w:trPr>
        <w:tc>
          <w:tcPr>
            <w:tcW w:w="2848" w:type="dxa"/>
          </w:tcPr>
          <w:p w14:paraId="35844D9E" w14:textId="2F9591A5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Aloyce, Z. et. al., 2021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A27560" w14:textId="2AD7F826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067DA897" w14:textId="3A579017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1DB94BA0" w14:textId="4C3F845E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6896F763" w14:textId="3BC5E4F6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029D8F00" w14:textId="31ED90E7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183940A" w14:textId="01DCB81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FD347CF" w14:textId="0B8F6A2E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776AAA3" w14:textId="17E92B0D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E7D1245" w14:textId="70275331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3E9FC13C" w14:textId="77777777" w:rsidTr="000B6841">
        <w:trPr>
          <w:trHeight w:val="360"/>
        </w:trPr>
        <w:tc>
          <w:tcPr>
            <w:tcW w:w="2848" w:type="dxa"/>
          </w:tcPr>
          <w:p w14:paraId="29FEE2D8" w14:textId="3C3C416D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>Biomndo, B. et. al., 2021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514ABE" w14:textId="2FAF7557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73AD1F6E" w14:textId="79354BDD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539BB8F1" w14:textId="0CAC6582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1812EAAB" w14:textId="4CBEE865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28C151ED" w14:textId="15C2B90E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B70C698" w14:textId="660E1084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07F725C" w14:textId="011B6591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45315A7" w14:textId="458BF374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42728687" w14:textId="5061EE06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7/8=87.5</w:t>
            </w:r>
          </w:p>
        </w:tc>
      </w:tr>
      <w:tr w:rsidR="00072985" w:rsidRPr="000B6841" w14:paraId="167D00DF" w14:textId="77777777" w:rsidTr="000B6841">
        <w:trPr>
          <w:trHeight w:val="270"/>
        </w:trPr>
        <w:tc>
          <w:tcPr>
            <w:tcW w:w="2848" w:type="dxa"/>
          </w:tcPr>
          <w:p w14:paraId="6C3A90EC" w14:textId="2A484E84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>Ogbonnaya, I. et. al., 2020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D6AB2B" w14:textId="711655F9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F7146CB" w14:textId="07D77E56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47B5C019" w14:textId="00ED1C2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22975D92" w14:textId="235DF72F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23ED5F64" w14:textId="66E098F2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4713F64" w14:textId="51585D35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799C4C7" w14:textId="45FCA1F4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11F0440" w14:textId="07DDF678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6DF2CBB0" w14:textId="7C98A201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330CABDE" w14:textId="77777777" w:rsidTr="00CA2503">
        <w:trPr>
          <w:trHeight w:val="245"/>
        </w:trPr>
        <w:tc>
          <w:tcPr>
            <w:tcW w:w="2848" w:type="dxa"/>
            <w:tcBorders>
              <w:bottom w:val="single" w:sz="4" w:space="0" w:color="auto"/>
            </w:tcBorders>
          </w:tcPr>
          <w:p w14:paraId="52CC1496" w14:textId="183485C0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Goyomsa, G. et. al., 2020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3E9BC6" w14:textId="0F9948BA" w:rsidR="00072985" w:rsidRPr="000B6841" w:rsidRDefault="00072985" w:rsidP="000729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EEB009A" w14:textId="42CAFA30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2882EF96" w14:textId="7FECC96B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422E0696" w14:textId="39F800BD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7ABF9210" w14:textId="7A4117A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2536D65" w14:textId="2E35E020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5987FA6" w14:textId="63E3FFC5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665F9D7" w14:textId="3CD801BB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412E94BB" w14:textId="07CCAE97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091BD1A1" w14:textId="77777777" w:rsidTr="00CA2503">
        <w:trPr>
          <w:trHeight w:val="270"/>
        </w:trPr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14:paraId="3992C7D1" w14:textId="349856C8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Meskele, M. et. al., 2019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0863BC" w14:textId="071E31F7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0FE6EFBA" w14:textId="2C6F88B4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2987708A" w14:textId="4DDC2F2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4BF519ED" w14:textId="130A4CEE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14F070FE" w14:textId="0D3604CE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72B7638" w14:textId="6C630B1B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9633A28" w14:textId="2EADF475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EBAD504" w14:textId="62880AD6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08AD50B" w14:textId="1814A7E2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38B641C1" w14:textId="77777777" w:rsidTr="00CA2503">
        <w:trPr>
          <w:trHeight w:val="90"/>
        </w:trPr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14:paraId="1C8AE915" w14:textId="13EADEE6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Kabwama, S. et. al., 2019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1C7976" w14:textId="44BA6203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176C6B80" w14:textId="3D4EDDA3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3564D9DA" w14:textId="15999A2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79065D8E" w14:textId="40BC494D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043FF6DE" w14:textId="1254D51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4EE53E1" w14:textId="5B80473F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6149F2D" w14:textId="633A1EF1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02B6347" w14:textId="47C1E256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B8C8424" w14:textId="7414CE76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72E67DFB" w14:textId="77777777" w:rsidTr="00CA2503">
        <w:trPr>
          <w:trHeight w:val="150"/>
        </w:trPr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14:paraId="3A4802CF" w14:textId="4D4275C6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Brooks, R. et. al., 2019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A09A29" w14:textId="26D49EE8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747045D" w14:textId="45E0E1E1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2A7F4C29" w14:textId="5F46460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70999BB4" w14:textId="25F9A42F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4FF74E49" w14:textId="751C5B8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D833723" w14:textId="5BF0AD60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DE713C8" w14:textId="3B38199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4EE9FDE" w14:textId="723B586D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0177FB0B" w14:textId="69BC36DF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085A5FCE" w14:textId="77777777" w:rsidTr="00CA2503">
        <w:trPr>
          <w:trHeight w:val="135"/>
        </w:trPr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14:paraId="37CE2C81" w14:textId="228CE258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>Wilson, K. et. al., 2016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8E283A" w14:textId="6F86C4E8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17AA3155" w14:textId="203CDFE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773351E2" w14:textId="5A66A936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06D93A4D" w14:textId="2F7665F8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569E3E5D" w14:textId="6C329D67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FCB5DF0" w14:textId="6CCD6F1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7DF8619" w14:textId="202C2DD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528329E" w14:textId="59E81CA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122AA075" w14:textId="38A0E4D3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4E9F996E" w14:textId="77777777" w:rsidTr="00CA2503">
        <w:trPr>
          <w:trHeight w:val="195"/>
        </w:trPr>
        <w:tc>
          <w:tcPr>
            <w:tcW w:w="2848" w:type="dxa"/>
            <w:tcBorders>
              <w:top w:val="single" w:sz="4" w:space="0" w:color="auto"/>
            </w:tcBorders>
          </w:tcPr>
          <w:p w14:paraId="319580A3" w14:textId="70B019EC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44879">
              <w:rPr>
                <w:color w:val="000000"/>
              </w:rPr>
              <w:t xml:space="preserve">Deribe, L. et. al., 2016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4F74B239" w14:textId="4A7148C0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4AE619B6" w14:textId="7700CABC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78752F42" w14:textId="746E7818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42A2F681" w14:textId="4D021CD7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00D792B3" w14:textId="65194223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9239CB7" w14:textId="150B375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6400176" w14:textId="6A5703C2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084B6CD" w14:textId="27380CAF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6E65B362" w14:textId="2C4B5BEF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  <w:tr w:rsidR="00072985" w:rsidRPr="000B6841" w14:paraId="7B7A2A3F" w14:textId="77777777" w:rsidTr="00CA2503">
        <w:trPr>
          <w:trHeight w:val="195"/>
        </w:trPr>
        <w:tc>
          <w:tcPr>
            <w:tcW w:w="2848" w:type="dxa"/>
            <w:tcBorders>
              <w:top w:val="single" w:sz="4" w:space="0" w:color="auto"/>
            </w:tcBorders>
          </w:tcPr>
          <w:p w14:paraId="24EF556C" w14:textId="04321B8D" w:rsidR="00072985" w:rsidRPr="00A44879" w:rsidRDefault="00072985" w:rsidP="00072985">
            <w:pPr>
              <w:pStyle w:val="TableParagraph"/>
              <w:spacing w:line="240" w:lineRule="auto"/>
              <w:ind w:left="0"/>
              <w:rPr>
                <w:color w:val="000000"/>
              </w:rPr>
            </w:pPr>
            <w:r w:rsidRPr="00A44879">
              <w:rPr>
                <w:color w:val="000000"/>
              </w:rPr>
              <w:t>Osinde, M. et. al., 2011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0CACC583" w14:textId="246F1DA0" w:rsidR="00072985" w:rsidRPr="000B6841" w:rsidRDefault="00072985" w:rsidP="00072985">
            <w:pPr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5B21EBAF" w14:textId="55D0553F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3F5B8226" w14:textId="34632EB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349CC306" w14:textId="5C044B11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7CF28123" w14:textId="2BC0BF8A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E51123F" w14:textId="1C80EE59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73608E1" w14:textId="19447E50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EFF5B4F" w14:textId="73AE7C74" w:rsidR="00072985" w:rsidRPr="000B6841" w:rsidRDefault="00072985" w:rsidP="0007298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655EA8AF" w14:textId="07E97397" w:rsidR="00072985" w:rsidRPr="000B6841" w:rsidRDefault="00072985" w:rsidP="0007298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0B6841">
              <w:rPr>
                <w:sz w:val="20"/>
                <w:szCs w:val="20"/>
              </w:rPr>
              <w:t>8/8=100</w:t>
            </w:r>
          </w:p>
        </w:tc>
      </w:tr>
    </w:tbl>
    <w:p w14:paraId="1CBA0CE9" w14:textId="07215540" w:rsidR="00A72211" w:rsidRDefault="00A72211">
      <w:fldSimple w:instr=" ADDIN EN.REFLIST "/>
    </w:p>
    <w:sectPr w:rsidR="00A72211" w:rsidSect="005809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vp099tardfzs4easzbxdxsktvz0w0xtd52x&quot;&gt;IPV among HIV positive women&lt;record-ids&gt;&lt;item&gt;13824&lt;/item&gt;&lt;/record-ids&gt;&lt;/item&gt;&lt;/Libraries&gt;"/>
  </w:docVars>
  <w:rsids>
    <w:rsidRoot w:val="008855EE"/>
    <w:rsid w:val="00072985"/>
    <w:rsid w:val="000B6841"/>
    <w:rsid w:val="00104E80"/>
    <w:rsid w:val="001409B8"/>
    <w:rsid w:val="001A3F92"/>
    <w:rsid w:val="001E6033"/>
    <w:rsid w:val="002416CA"/>
    <w:rsid w:val="00250A0D"/>
    <w:rsid w:val="00324977"/>
    <w:rsid w:val="004361E5"/>
    <w:rsid w:val="00580999"/>
    <w:rsid w:val="0061614E"/>
    <w:rsid w:val="007B04A5"/>
    <w:rsid w:val="008855EE"/>
    <w:rsid w:val="008A613D"/>
    <w:rsid w:val="008F25E6"/>
    <w:rsid w:val="00927AE9"/>
    <w:rsid w:val="009B1277"/>
    <w:rsid w:val="009D219C"/>
    <w:rsid w:val="00A72211"/>
    <w:rsid w:val="00AB3117"/>
    <w:rsid w:val="00B20764"/>
    <w:rsid w:val="00B365FA"/>
    <w:rsid w:val="00BB15F0"/>
    <w:rsid w:val="00C0225E"/>
    <w:rsid w:val="00CA2503"/>
    <w:rsid w:val="00D0655D"/>
    <w:rsid w:val="00D43CE1"/>
    <w:rsid w:val="00D700C4"/>
    <w:rsid w:val="00DA28E6"/>
    <w:rsid w:val="00FB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381BA"/>
  <w15:chartTrackingRefBased/>
  <w15:docId w15:val="{E5BD2A97-3DC2-4A7A-B727-864C5B12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22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link w:val="TableParagraphChar"/>
    <w:uiPriority w:val="1"/>
    <w:qFormat/>
    <w:rsid w:val="00A72211"/>
    <w:pPr>
      <w:spacing w:line="223" w:lineRule="exact"/>
      <w:ind w:left="108"/>
    </w:pPr>
  </w:style>
  <w:style w:type="paragraph" w:customStyle="1" w:styleId="EndNoteBibliographyTitle">
    <w:name w:val="EndNote Bibliography Title"/>
    <w:basedOn w:val="Normal"/>
    <w:link w:val="EndNoteBibliographyTitleChar"/>
    <w:rsid w:val="00CA2503"/>
    <w:pPr>
      <w:jc w:val="center"/>
    </w:pPr>
    <w:rPr>
      <w:noProof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CA2503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ndNoteBibliographyTitleChar">
    <w:name w:val="EndNote Bibliography Title Char"/>
    <w:basedOn w:val="TableParagraphChar"/>
    <w:link w:val="EndNoteBibliographyTitle"/>
    <w:rsid w:val="00CA2503"/>
    <w:rPr>
      <w:rFonts w:ascii="Times New Roman" w:eastAsia="Times New Roman" w:hAnsi="Times New Roman" w:cs="Times New Roman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A2503"/>
    <w:rPr>
      <w:noProof/>
    </w:rPr>
  </w:style>
  <w:style w:type="character" w:customStyle="1" w:styleId="EndNoteBibliographyChar">
    <w:name w:val="EndNote Bibliography Char"/>
    <w:basedOn w:val="TableParagraphChar"/>
    <w:link w:val="EndNoteBibliography"/>
    <w:rsid w:val="00CA2503"/>
    <w:rPr>
      <w:rFonts w:ascii="Times New Roman" w:eastAsia="Times New Roman" w:hAnsi="Times New Roman" w:cs="Times New Roman"/>
      <w:noProof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A25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Gossa Fetene</dc:creator>
  <cp:keywords/>
  <dc:description/>
  <cp:lastModifiedBy>Gossa Fetene</cp:lastModifiedBy>
  <cp:revision>116</cp:revision>
  <dcterms:created xsi:type="dcterms:W3CDTF">2023-12-07T11:12:00Z</dcterms:created>
  <dcterms:modified xsi:type="dcterms:W3CDTF">2025-06-12T17:41:00Z</dcterms:modified>
</cp:coreProperties>
</file>