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21717" w14:textId="7DEDCFFE" w:rsidR="002B71C4" w:rsidRPr="008404B8" w:rsidRDefault="002B71C4" w:rsidP="002B71C4">
      <w:pPr>
        <w:widowControl/>
        <w:wordWrap/>
        <w:autoSpaceDE/>
        <w:autoSpaceDN/>
        <w:spacing w:after="0" w:line="480" w:lineRule="auto"/>
        <w:rPr>
          <w:rFonts w:ascii="Times New Roman" w:hAnsi="Times New Roman" w:cs="Times New Roman"/>
          <w:b/>
          <w:bCs/>
          <w:sz w:val="24"/>
          <w:szCs w:val="24"/>
          <w:lang w:val="en-GB"/>
        </w:rPr>
      </w:pPr>
      <w:proofErr w:type="spellStart"/>
      <w:r w:rsidRPr="008404B8">
        <w:rPr>
          <w:rFonts w:ascii="Times New Roman" w:hAnsi="Times New Roman" w:cs="Times New Roman" w:hint="eastAsia"/>
          <w:b/>
          <w:bCs/>
          <w:sz w:val="24"/>
          <w:szCs w:val="24"/>
          <w:lang w:val="en-GB"/>
        </w:rPr>
        <w:t>e</w:t>
      </w:r>
      <w:r w:rsidRPr="008404B8">
        <w:rPr>
          <w:rFonts w:ascii="Times New Roman" w:hAnsi="Times New Roman" w:cs="Times New Roman"/>
          <w:b/>
          <w:bCs/>
          <w:sz w:val="24"/>
          <w:szCs w:val="24"/>
          <w:lang w:val="en-GB"/>
        </w:rPr>
        <w:t>Methods</w:t>
      </w:r>
      <w:proofErr w:type="spellEnd"/>
      <w:r w:rsidRPr="008404B8">
        <w:rPr>
          <w:rFonts w:ascii="Times New Roman" w:hAnsi="Times New Roman" w:cs="Times New Roman"/>
          <w:b/>
          <w:bCs/>
          <w:sz w:val="24"/>
          <w:szCs w:val="24"/>
          <w:lang w:val="en-GB"/>
        </w:rPr>
        <w:t xml:space="preserve"> 1</w:t>
      </w:r>
      <w:r w:rsidR="00DF48B7" w:rsidRPr="008404B8">
        <w:rPr>
          <w:rFonts w:ascii="Times New Roman" w:hAnsi="Times New Roman" w:cs="Times New Roman"/>
          <w:b/>
          <w:bCs/>
          <w:sz w:val="24"/>
          <w:szCs w:val="24"/>
          <w:lang w:val="en-GB"/>
        </w:rPr>
        <w:t>. Definition of covariates.</w:t>
      </w:r>
    </w:p>
    <w:p w14:paraId="028BEE86" w14:textId="369B4A2A" w:rsidR="00E446CC" w:rsidRPr="008404B8" w:rsidRDefault="00DF48B7" w:rsidP="00E446CC">
      <w:pPr>
        <w:widowControl/>
        <w:wordWrap/>
        <w:autoSpaceDE/>
        <w:autoSpaceDN/>
        <w:spacing w:after="0" w:line="480" w:lineRule="auto"/>
        <w:rPr>
          <w:rFonts w:ascii="Times New Roman" w:hAnsi="Times New Roman" w:cs="Times New Roman"/>
          <w:sz w:val="24"/>
          <w:szCs w:val="24"/>
        </w:rPr>
      </w:pPr>
      <w:r w:rsidRPr="008404B8">
        <w:rPr>
          <w:rFonts w:ascii="Times New Roman" w:hAnsi="Times New Roman" w:cs="Times New Roman" w:hint="eastAsia"/>
          <w:sz w:val="24"/>
          <w:szCs w:val="24"/>
          <w:lang w:val="en-GB"/>
        </w:rPr>
        <w:t>A</w:t>
      </w:r>
      <w:r w:rsidRPr="008404B8">
        <w:rPr>
          <w:rFonts w:ascii="Times New Roman" w:hAnsi="Times New Roman" w:cs="Times New Roman"/>
          <w:sz w:val="24"/>
          <w:szCs w:val="24"/>
          <w:lang w:val="en-GB"/>
        </w:rPr>
        <w:t xml:space="preserve">ge was </w:t>
      </w:r>
      <w:r w:rsidR="00E446CC" w:rsidRPr="008404B8">
        <w:rPr>
          <w:rFonts w:ascii="Times New Roman" w:hAnsi="Times New Roman" w:cs="Times New Roman" w:hint="eastAsia"/>
          <w:sz w:val="24"/>
          <w:szCs w:val="24"/>
          <w:lang w:val="en-GB"/>
        </w:rPr>
        <w:t>treated</w:t>
      </w:r>
      <w:r w:rsidR="00E446CC"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as a continuous variable. Biological sex was used as a binary variable. </w:t>
      </w:r>
    </w:p>
    <w:p w14:paraId="09F1BE1D" w14:textId="51361D8E" w:rsidR="00C52E9A" w:rsidRPr="008404B8" w:rsidRDefault="00E446CC" w:rsidP="002B71C4">
      <w:pPr>
        <w:widowControl/>
        <w:wordWrap/>
        <w:autoSpaceDE/>
        <w:autoSpaceDN/>
        <w:spacing w:after="0" w:line="480" w:lineRule="auto"/>
        <w:rPr>
          <w:rFonts w:ascii="Times New Roman" w:hAnsi="Times New Roman" w:cs="Times New Roman"/>
          <w:sz w:val="24"/>
          <w:szCs w:val="24"/>
        </w:rPr>
      </w:pPr>
      <w:r w:rsidRPr="008404B8">
        <w:rPr>
          <w:rFonts w:ascii="Times New Roman" w:hAnsi="Times New Roman" w:cs="Times New Roman"/>
          <w:sz w:val="24"/>
          <w:szCs w:val="24"/>
        </w:rPr>
        <w:t>Income level was categorized into four groups</w:t>
      </w:r>
      <w:r w:rsidR="002B71C4" w:rsidRPr="008404B8">
        <w:rPr>
          <w:rFonts w:ascii="Times New Roman" w:hAnsi="Times New Roman" w:cs="Times New Roman"/>
          <w:sz w:val="24"/>
          <w:szCs w:val="24"/>
          <w:lang w:val="en-GB"/>
        </w:rPr>
        <w:t xml:space="preserve"> (i.e., lowest, low, high, highest) based on weighted quartiles of monthly income </w:t>
      </w:r>
      <w:r w:rsidRPr="008404B8">
        <w:rPr>
          <w:rFonts w:ascii="Times New Roman" w:hAnsi="Times New Roman" w:cs="Times New Roman" w:hint="eastAsia"/>
          <w:sz w:val="24"/>
          <w:szCs w:val="24"/>
          <w:lang w:val="en-GB"/>
        </w:rPr>
        <w:t>for</w:t>
      </w:r>
      <w:r w:rsidRPr="008404B8">
        <w:rPr>
          <w:rFonts w:ascii="Times New Roman" w:hAnsi="Times New Roman" w:cs="Times New Roman"/>
          <w:sz w:val="24"/>
          <w:szCs w:val="24"/>
          <w:lang w:val="en-GB"/>
        </w:rPr>
        <w:t xml:space="preserve"> </w:t>
      </w:r>
      <w:r w:rsidR="002B71C4" w:rsidRPr="008404B8">
        <w:rPr>
          <w:rFonts w:ascii="Times New Roman" w:hAnsi="Times New Roman" w:cs="Times New Roman"/>
          <w:sz w:val="24"/>
          <w:szCs w:val="24"/>
          <w:lang w:val="en-GB"/>
        </w:rPr>
        <w:t xml:space="preserve">each survey year. </w:t>
      </w:r>
      <w:r w:rsidRPr="008404B8">
        <w:rPr>
          <w:rFonts w:ascii="Times New Roman" w:hAnsi="Times New Roman" w:cs="Times New Roman"/>
          <w:sz w:val="24"/>
          <w:szCs w:val="24"/>
        </w:rPr>
        <w:t>Education level was categorized into four groups</w:t>
      </w:r>
      <w:r w:rsidR="002B71C4" w:rsidRPr="008404B8">
        <w:rPr>
          <w:rFonts w:ascii="Times New Roman" w:hAnsi="Times New Roman" w:cs="Times New Roman"/>
          <w:sz w:val="24"/>
          <w:szCs w:val="24"/>
          <w:lang w:val="en-GB"/>
        </w:rPr>
        <w:t xml:space="preserve"> (i.e., elementary or lower, middle school, high school, college or higher) </w:t>
      </w:r>
      <w:r w:rsidRPr="008404B8">
        <w:rPr>
          <w:rFonts w:ascii="Times New Roman" w:hAnsi="Times New Roman" w:cs="Times New Roman" w:hint="eastAsia"/>
          <w:sz w:val="24"/>
          <w:szCs w:val="24"/>
          <w:lang w:val="en-GB"/>
        </w:rPr>
        <w:t>according to</w:t>
      </w:r>
      <w:r w:rsidRPr="008404B8">
        <w:rPr>
          <w:rFonts w:ascii="Times New Roman" w:hAnsi="Times New Roman" w:cs="Times New Roman"/>
          <w:sz w:val="24"/>
          <w:szCs w:val="24"/>
          <w:lang w:val="en-GB"/>
        </w:rPr>
        <w:t xml:space="preserve"> </w:t>
      </w:r>
      <w:r w:rsidR="002B71C4" w:rsidRPr="008404B8">
        <w:rPr>
          <w:rFonts w:ascii="Times New Roman" w:hAnsi="Times New Roman" w:cs="Times New Roman"/>
          <w:sz w:val="24"/>
          <w:szCs w:val="24"/>
          <w:lang w:val="en-GB"/>
        </w:rPr>
        <w:t xml:space="preserve">participants’ final academic achievements. Marital status (i.e., whether the participant had ever married) was </w:t>
      </w:r>
      <w:r w:rsidRPr="008404B8">
        <w:rPr>
          <w:rFonts w:ascii="Times New Roman" w:hAnsi="Times New Roman" w:cs="Times New Roman" w:hint="eastAsia"/>
          <w:sz w:val="24"/>
          <w:szCs w:val="24"/>
          <w:lang w:val="en-GB"/>
        </w:rPr>
        <w:t>treated</w:t>
      </w:r>
      <w:r w:rsidR="002B71C4" w:rsidRPr="008404B8">
        <w:rPr>
          <w:rFonts w:ascii="Times New Roman" w:hAnsi="Times New Roman" w:cs="Times New Roman"/>
          <w:sz w:val="24"/>
          <w:szCs w:val="24"/>
          <w:lang w:val="en-GB"/>
        </w:rPr>
        <w:t xml:space="preserve"> as binary, and</w:t>
      </w:r>
      <w:r w:rsidRPr="008404B8">
        <w:rPr>
          <w:rFonts w:ascii="Times New Roman" w:hAnsi="Times New Roman" w:cs="Times New Roman" w:hint="eastAsia"/>
          <w:sz w:val="24"/>
          <w:szCs w:val="24"/>
          <w:lang w:val="en-GB"/>
        </w:rPr>
        <w:t xml:space="preserve"> the</w:t>
      </w:r>
      <w:r w:rsidR="002B71C4" w:rsidRPr="008404B8">
        <w:rPr>
          <w:rFonts w:ascii="Times New Roman" w:hAnsi="Times New Roman" w:cs="Times New Roman"/>
          <w:sz w:val="24"/>
          <w:szCs w:val="24"/>
          <w:lang w:val="en-GB"/>
        </w:rPr>
        <w:t xml:space="preserve"> number of cohabitants was used as a continuous variable. Occupation type was coded as a categorical variable with three categories (i.e., white-collar, blue-collar, unoccupied)</w:t>
      </w:r>
      <w:r w:rsidRPr="008404B8">
        <w:rPr>
          <w:rFonts w:ascii="Times New Roman" w:hAnsi="Times New Roman" w:cs="Times New Roman" w:hint="eastAsia"/>
          <w:sz w:val="24"/>
          <w:szCs w:val="24"/>
          <w:lang w:val="en-GB"/>
        </w:rPr>
        <w:t>,</w:t>
      </w:r>
      <w:r w:rsidR="002B71C4" w:rsidRPr="008404B8">
        <w:rPr>
          <w:rFonts w:ascii="Times New Roman" w:hAnsi="Times New Roman" w:cs="Times New Roman"/>
          <w:sz w:val="24"/>
          <w:szCs w:val="24"/>
          <w:lang w:val="en-GB"/>
        </w:rPr>
        <w:t xml:space="preserve"> defined by </w:t>
      </w:r>
      <w:r w:rsidRPr="008404B8">
        <w:rPr>
          <w:rFonts w:ascii="Times New Roman" w:hAnsi="Times New Roman" w:cs="Times New Roman" w:hint="eastAsia"/>
          <w:sz w:val="24"/>
          <w:szCs w:val="24"/>
          <w:lang w:val="en-GB"/>
        </w:rPr>
        <w:t xml:space="preserve">the </w:t>
      </w:r>
      <w:r w:rsidR="002B71C4" w:rsidRPr="008404B8">
        <w:rPr>
          <w:rFonts w:ascii="Times New Roman" w:hAnsi="Times New Roman" w:cs="Times New Roman"/>
          <w:sz w:val="24"/>
          <w:szCs w:val="24"/>
          <w:lang w:val="en-GB"/>
        </w:rPr>
        <w:t>individual</w:t>
      </w:r>
      <w:r w:rsidRPr="008404B8">
        <w:rPr>
          <w:rFonts w:ascii="Times New Roman" w:hAnsi="Times New Roman" w:cs="Times New Roman"/>
          <w:sz w:val="24"/>
          <w:szCs w:val="24"/>
          <w:lang w:val="en-GB"/>
        </w:rPr>
        <w:t>’</w:t>
      </w:r>
      <w:r w:rsidR="002B71C4" w:rsidRPr="008404B8">
        <w:rPr>
          <w:rFonts w:ascii="Times New Roman" w:hAnsi="Times New Roman" w:cs="Times New Roman"/>
          <w:sz w:val="24"/>
          <w:szCs w:val="24"/>
          <w:lang w:val="en-GB"/>
        </w:rPr>
        <w:t xml:space="preserve">s current type of occupation. Participants who were </w:t>
      </w:r>
      <w:r w:rsidRPr="008404B8">
        <w:rPr>
          <w:rFonts w:ascii="Times New Roman" w:hAnsi="Times New Roman" w:cs="Times New Roman" w:hint="eastAsia"/>
          <w:sz w:val="24"/>
          <w:szCs w:val="24"/>
          <w:lang w:val="en-GB"/>
        </w:rPr>
        <w:t>employed</w:t>
      </w:r>
      <w:r w:rsidRPr="008404B8">
        <w:rPr>
          <w:rFonts w:ascii="Times New Roman" w:hAnsi="Times New Roman" w:cs="Times New Roman"/>
          <w:sz w:val="24"/>
          <w:szCs w:val="24"/>
          <w:lang w:val="en-GB"/>
        </w:rPr>
        <w:t xml:space="preserve"> </w:t>
      </w:r>
      <w:r w:rsidR="002B71C4" w:rsidRPr="008404B8">
        <w:rPr>
          <w:rFonts w:ascii="Times New Roman" w:hAnsi="Times New Roman" w:cs="Times New Roman"/>
          <w:sz w:val="24"/>
          <w:szCs w:val="24"/>
          <w:lang w:val="en-GB"/>
        </w:rPr>
        <w:t xml:space="preserve">but </w:t>
      </w:r>
      <w:r w:rsidRPr="008404B8">
        <w:rPr>
          <w:rFonts w:ascii="Times New Roman" w:hAnsi="Times New Roman" w:cs="Times New Roman"/>
          <w:sz w:val="24"/>
          <w:szCs w:val="24"/>
        </w:rPr>
        <w:t>but temporarily resting were classified based on their original occupation type.</w:t>
      </w:r>
      <w:r w:rsidR="002B71C4" w:rsidRPr="008404B8">
        <w:rPr>
          <w:rFonts w:ascii="Times New Roman" w:hAnsi="Times New Roman" w:cs="Times New Roman"/>
          <w:sz w:val="24"/>
          <w:szCs w:val="24"/>
          <w:lang w:val="en-GB"/>
        </w:rPr>
        <w:t xml:space="preserve"> Metabolic comorbidities were defined based on individuals’ history of hypertension, diabetes, </w:t>
      </w:r>
      <w:proofErr w:type="spellStart"/>
      <w:r w:rsidR="002B71C4" w:rsidRPr="008404B8">
        <w:rPr>
          <w:rFonts w:ascii="Times New Roman" w:hAnsi="Times New Roman" w:cs="Times New Roman"/>
          <w:sz w:val="24"/>
          <w:szCs w:val="24"/>
          <w:lang w:val="en-GB"/>
        </w:rPr>
        <w:t>dyslipidemia</w:t>
      </w:r>
      <w:proofErr w:type="spellEnd"/>
      <w:r w:rsidR="002B71C4" w:rsidRPr="008404B8">
        <w:rPr>
          <w:rFonts w:ascii="Times New Roman" w:hAnsi="Times New Roman" w:cs="Times New Roman"/>
          <w:sz w:val="24"/>
          <w:szCs w:val="24"/>
          <w:lang w:val="en-GB"/>
        </w:rPr>
        <w:t>, and obesity</w:t>
      </w:r>
      <w:r w:rsidRPr="008404B8">
        <w:rPr>
          <w:rFonts w:ascii="Times New Roman" w:hAnsi="Times New Roman" w:cs="Times New Roman" w:hint="eastAsia"/>
          <w:sz w:val="24"/>
          <w:szCs w:val="24"/>
          <w:lang w:val="en-GB"/>
        </w:rPr>
        <w:t>,</w:t>
      </w:r>
      <w:r w:rsidR="002B71C4" w:rsidRPr="008404B8">
        <w:rPr>
          <w:rFonts w:ascii="Times New Roman" w:hAnsi="Times New Roman" w:cs="Times New Roman"/>
          <w:sz w:val="24"/>
          <w:szCs w:val="24"/>
          <w:lang w:val="en-GB"/>
        </w:rPr>
        <w:t xml:space="preserve"> as indicated by body mass index (BMI, kg/m</w:t>
      </w:r>
      <w:r w:rsidR="002B71C4" w:rsidRPr="008404B8">
        <w:rPr>
          <w:rFonts w:ascii="Times New Roman" w:hAnsi="Times New Roman" w:cs="Times New Roman"/>
          <w:sz w:val="24"/>
          <w:szCs w:val="24"/>
          <w:vertAlign w:val="superscript"/>
          <w:lang w:val="en-GB"/>
        </w:rPr>
        <w:t>2</w:t>
      </w:r>
      <w:r w:rsidR="002B71C4" w:rsidRPr="008404B8">
        <w:rPr>
          <w:rFonts w:ascii="Times New Roman" w:hAnsi="Times New Roman" w:cs="Times New Roman"/>
          <w:sz w:val="24"/>
          <w:szCs w:val="24"/>
          <w:lang w:val="en-GB"/>
        </w:rPr>
        <w:t xml:space="preserve">). Cardiovascular disease was defined as history of angina pectoris or myocardial infarction. Neurovascular disease was </w:t>
      </w:r>
      <w:r w:rsidRPr="008404B8">
        <w:rPr>
          <w:rFonts w:ascii="Times New Roman" w:hAnsi="Times New Roman" w:cs="Times New Roman"/>
          <w:sz w:val="24"/>
          <w:szCs w:val="24"/>
        </w:rPr>
        <w:t>defined by a history of ischemic or hemorrhagic stroke.</w:t>
      </w:r>
      <w:r w:rsidR="002B71C4" w:rsidRPr="008404B8">
        <w:rPr>
          <w:rFonts w:ascii="Times New Roman" w:hAnsi="Times New Roman" w:cs="Times New Roman"/>
          <w:sz w:val="24"/>
          <w:szCs w:val="24"/>
          <w:lang w:val="en-GB"/>
        </w:rPr>
        <w:t xml:space="preserve"> Also, history of thyroid diseases was</w:t>
      </w:r>
      <w:r w:rsidRPr="008404B8">
        <w:rPr>
          <w:rFonts w:ascii="Times New Roman" w:hAnsi="Times New Roman" w:cs="Times New Roman" w:hint="eastAsia"/>
          <w:sz w:val="24"/>
          <w:szCs w:val="24"/>
          <w:lang w:val="en-GB"/>
        </w:rPr>
        <w:t xml:space="preserve"> also</w:t>
      </w:r>
      <w:r w:rsidR="002B71C4" w:rsidRPr="008404B8">
        <w:rPr>
          <w:rFonts w:ascii="Times New Roman" w:hAnsi="Times New Roman" w:cs="Times New Roman"/>
          <w:sz w:val="24"/>
          <w:szCs w:val="24"/>
          <w:lang w:val="en-GB"/>
        </w:rPr>
        <w:t xml:space="preserve"> included. </w:t>
      </w:r>
      <w:r w:rsidRPr="008404B8">
        <w:rPr>
          <w:rFonts w:ascii="Times New Roman" w:hAnsi="Times New Roman" w:cs="Times New Roman" w:hint="eastAsia"/>
          <w:sz w:val="24"/>
          <w:szCs w:val="24"/>
          <w:lang w:val="en-GB"/>
        </w:rPr>
        <w:t>Lastly</w:t>
      </w:r>
      <w:r w:rsidR="002B71C4" w:rsidRPr="008404B8">
        <w:rPr>
          <w:rFonts w:ascii="Times New Roman" w:hAnsi="Times New Roman" w:cs="Times New Roman"/>
          <w:sz w:val="24"/>
          <w:szCs w:val="24"/>
          <w:lang w:val="en-GB"/>
        </w:rPr>
        <w:t xml:space="preserve">, neoplastic disease was defined by </w:t>
      </w:r>
      <w:r w:rsidRPr="008404B8">
        <w:rPr>
          <w:rFonts w:ascii="Times New Roman" w:hAnsi="Times New Roman" w:cs="Times New Roman" w:hint="eastAsia"/>
          <w:sz w:val="24"/>
          <w:szCs w:val="24"/>
          <w:lang w:val="en-GB"/>
        </w:rPr>
        <w:t xml:space="preserve">a </w:t>
      </w:r>
      <w:r w:rsidR="002B71C4" w:rsidRPr="008404B8">
        <w:rPr>
          <w:rFonts w:ascii="Times New Roman" w:hAnsi="Times New Roman" w:cs="Times New Roman"/>
          <w:sz w:val="24"/>
          <w:szCs w:val="24"/>
          <w:lang w:val="en-GB"/>
        </w:rPr>
        <w:t>history of any form of malignancy. All comorbidities were binary, except for BMI</w:t>
      </w:r>
      <w:r w:rsidRPr="008404B8">
        <w:rPr>
          <w:rFonts w:ascii="Times New Roman" w:hAnsi="Times New Roman" w:cs="Times New Roman" w:hint="eastAsia"/>
          <w:sz w:val="24"/>
          <w:szCs w:val="24"/>
          <w:lang w:val="en-GB"/>
        </w:rPr>
        <w:t>, which was categorized into four groups</w:t>
      </w:r>
      <w:r w:rsidR="002B71C4" w:rsidRPr="008404B8">
        <w:rPr>
          <w:rFonts w:ascii="Times New Roman" w:hAnsi="Times New Roman" w:cs="Times New Roman"/>
          <w:sz w:val="24"/>
          <w:szCs w:val="24"/>
          <w:lang w:val="en-GB"/>
        </w:rPr>
        <w:t xml:space="preserve"> (i.e., underweight, BMI&lt;18.5; normal, 18.5≤BMI&lt;23; overweight, 23≤BMI&lt;25; obese, BMI≥25) according to the World Health Organization's BMI criteria for Asians</w:t>
      </w:r>
      <w:r w:rsidR="00D61F44" w:rsidRPr="008404B8">
        <w:rPr>
          <w:rFonts w:ascii="Times New Roman" w:hAnsi="Times New Roman" w:cs="Times New Roman" w:hint="eastAsia"/>
          <w:sz w:val="24"/>
          <w:szCs w:val="24"/>
          <w:lang w:val="en-GB"/>
        </w:rPr>
        <w:t xml:space="preserve"> </w:t>
      </w:r>
      <w:r w:rsidR="002B71C4" w:rsidRPr="008404B8">
        <w:rPr>
          <w:rFonts w:ascii="Times New Roman" w:hAnsi="Times New Roman" w:cs="Times New Roman"/>
          <w:sz w:val="24"/>
          <w:szCs w:val="24"/>
          <w:lang w:val="en-GB"/>
        </w:rPr>
        <w:fldChar w:fldCharType="begin"/>
      </w:r>
      <w:r w:rsidR="00D61F44" w:rsidRPr="008404B8">
        <w:rPr>
          <w:rFonts w:ascii="Times New Roman" w:hAnsi="Times New Roman" w:cs="Times New Roman"/>
          <w:sz w:val="24"/>
          <w:szCs w:val="24"/>
          <w:lang w:val="en-GB"/>
        </w:rPr>
        <w:instrText xml:space="preserve"> ADDIN EN.CITE &lt;EndNote&gt;&lt;Cite&gt;&lt;Author&gt;World Health Organization&lt;/Author&gt;&lt;Year&gt;2000&lt;/Year&gt;&lt;RecNum&gt;65&lt;/RecNum&gt;&lt;DisplayText&gt;[1]&lt;/DisplayText&gt;&lt;record&gt;&lt;rec-number&gt;65&lt;/rec-number&gt;&lt;foreign-keys&gt;&lt;key app="EN" db-id="f220xfrd0fwav7ezwacvdtdzx992dpe5vsz9" timestamp="1696134337"&gt;65&lt;/key&gt;&lt;/foreign-keys&gt;&lt;ref-type name="Book"&gt;6&lt;/ref-type&gt;&lt;contributors&gt;&lt;authors&gt;&lt;author&gt;World Health Organization,&lt;/author&gt;&lt;/authors&gt;&lt;/contributors&gt;&lt;titles&gt;&lt;title&gt;The Asia-Pacific perspective: redefining obesity and its treatment&lt;/title&gt;&lt;/titles&gt;&lt;dates&gt;&lt;year&gt;2000&lt;/year&gt;&lt;/dates&gt;&lt;pub-location&gt;Sydney&lt;/pub-location&gt;&lt;publisher&gt;Health Communications Australia&lt;/publisher&gt;&lt;isbn&gt;0957708211&lt;/isbn&gt;&lt;urls&gt;&lt;/urls&gt;&lt;/record&gt;&lt;/Cite&gt;&lt;/EndNote&gt;</w:instrText>
      </w:r>
      <w:r w:rsidR="002B71C4" w:rsidRPr="008404B8">
        <w:rPr>
          <w:rFonts w:ascii="Times New Roman" w:hAnsi="Times New Roman" w:cs="Times New Roman"/>
          <w:sz w:val="24"/>
          <w:szCs w:val="24"/>
          <w:lang w:val="en-GB"/>
        </w:rPr>
        <w:fldChar w:fldCharType="separate"/>
      </w:r>
      <w:r w:rsidR="00D61F44" w:rsidRPr="008404B8">
        <w:rPr>
          <w:rFonts w:ascii="Times New Roman" w:hAnsi="Times New Roman" w:cs="Times New Roman"/>
          <w:noProof/>
          <w:sz w:val="24"/>
          <w:szCs w:val="24"/>
          <w:lang w:val="en-GB"/>
        </w:rPr>
        <w:t>[1]</w:t>
      </w:r>
      <w:r w:rsidR="002B71C4" w:rsidRPr="008404B8">
        <w:rPr>
          <w:rFonts w:ascii="Times New Roman" w:hAnsi="Times New Roman" w:cs="Times New Roman"/>
          <w:sz w:val="24"/>
          <w:szCs w:val="24"/>
          <w:lang w:val="en-GB"/>
        </w:rPr>
        <w:fldChar w:fldCharType="end"/>
      </w:r>
      <w:r w:rsidR="00D61F44" w:rsidRPr="008404B8">
        <w:rPr>
          <w:rFonts w:ascii="Times New Roman" w:hAnsi="Times New Roman" w:cs="Times New Roman" w:hint="eastAsia"/>
          <w:sz w:val="24"/>
          <w:szCs w:val="24"/>
          <w:lang w:val="en-GB"/>
        </w:rPr>
        <w:t>.</w:t>
      </w:r>
    </w:p>
    <w:p w14:paraId="5ABB1F36" w14:textId="77777777" w:rsidR="00C52E9A" w:rsidRPr="008404B8" w:rsidRDefault="00C52E9A">
      <w:pPr>
        <w:widowControl/>
        <w:wordWrap/>
        <w:autoSpaceDE/>
        <w:autoSpaceDN/>
        <w:spacing w:line="259"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br w:type="page"/>
      </w:r>
    </w:p>
    <w:p w14:paraId="6EE5B550" w14:textId="7187B79F" w:rsidR="002B71C4" w:rsidRPr="008404B8" w:rsidRDefault="00C52E9A" w:rsidP="002B71C4">
      <w:pPr>
        <w:widowControl/>
        <w:wordWrap/>
        <w:autoSpaceDE/>
        <w:autoSpaceDN/>
        <w:spacing w:after="0" w:line="480" w:lineRule="auto"/>
        <w:rPr>
          <w:rFonts w:ascii="Times New Roman" w:hAnsi="Times New Roman" w:cs="Times New Roman"/>
          <w:b/>
          <w:bCs/>
          <w:sz w:val="24"/>
          <w:szCs w:val="24"/>
          <w:lang w:val="en-GB"/>
        </w:rPr>
      </w:pPr>
      <w:proofErr w:type="spellStart"/>
      <w:r w:rsidRPr="008404B8">
        <w:rPr>
          <w:rFonts w:ascii="Times New Roman" w:hAnsi="Times New Roman" w:cs="Times New Roman"/>
          <w:b/>
          <w:bCs/>
          <w:sz w:val="24"/>
          <w:szCs w:val="24"/>
          <w:lang w:val="en-GB"/>
        </w:rPr>
        <w:lastRenderedPageBreak/>
        <w:t>eMethods</w:t>
      </w:r>
      <w:proofErr w:type="spellEnd"/>
      <w:r w:rsidRPr="008404B8">
        <w:rPr>
          <w:rFonts w:ascii="Times New Roman" w:hAnsi="Times New Roman" w:cs="Times New Roman"/>
          <w:b/>
          <w:bCs/>
          <w:sz w:val="24"/>
          <w:szCs w:val="24"/>
          <w:lang w:val="en-GB"/>
        </w:rPr>
        <w:t xml:space="preserve"> 2. Effect heterogeneity analysis</w:t>
      </w:r>
    </w:p>
    <w:p w14:paraId="581B7D41" w14:textId="77777777" w:rsidR="00E446CC" w:rsidRPr="008404B8" w:rsidRDefault="00C52E9A" w:rsidP="00E446CC">
      <w:pPr>
        <w:widowControl/>
        <w:wordWrap/>
        <w:autoSpaceDE/>
        <w:autoSpaceDN/>
        <w:spacing w:after="0" w:line="480" w:lineRule="auto"/>
        <w:rPr>
          <w:rFonts w:ascii="Times New Roman" w:hAnsi="Times New Roman" w:cs="Times New Roman"/>
          <w:sz w:val="24"/>
          <w:szCs w:val="24"/>
        </w:rPr>
      </w:pPr>
      <w:r w:rsidRPr="008404B8">
        <w:rPr>
          <w:rFonts w:ascii="Times New Roman" w:hAnsi="Times New Roman" w:cs="Times New Roman"/>
          <w:sz w:val="24"/>
          <w:szCs w:val="24"/>
          <w:lang w:val="en-GB"/>
        </w:rPr>
        <w:t xml:space="preserve">Effect heterogeneity analysis was </w:t>
      </w:r>
      <w:r w:rsidR="00E446CC" w:rsidRPr="008404B8">
        <w:rPr>
          <w:rFonts w:ascii="Times New Roman" w:hAnsi="Times New Roman" w:cs="Times New Roman"/>
          <w:sz w:val="24"/>
          <w:szCs w:val="24"/>
          <w:lang w:val="en-GB"/>
        </w:rPr>
        <w:t>conducted based on</w:t>
      </w:r>
      <w:r w:rsidRPr="008404B8">
        <w:rPr>
          <w:rFonts w:ascii="Times New Roman" w:hAnsi="Times New Roman" w:cs="Times New Roman"/>
          <w:sz w:val="24"/>
          <w:szCs w:val="24"/>
          <w:lang w:val="en-GB"/>
        </w:rPr>
        <w:t xml:space="preserve"> income levels and </w:t>
      </w:r>
      <w:r w:rsidR="00E446CC" w:rsidRPr="008404B8">
        <w:rPr>
          <w:rFonts w:ascii="Times New Roman" w:hAnsi="Times New Roman" w:cs="Times New Roman"/>
          <w:sz w:val="24"/>
          <w:szCs w:val="24"/>
          <w:lang w:val="en-GB"/>
        </w:rPr>
        <w:t>occupation types, as the</w:t>
      </w:r>
      <w:r w:rsidRPr="008404B8">
        <w:rPr>
          <w:rFonts w:ascii="Times New Roman" w:hAnsi="Times New Roman" w:cs="Times New Roman"/>
          <w:sz w:val="24"/>
          <w:szCs w:val="24"/>
          <w:lang w:val="en-GB"/>
        </w:rPr>
        <w:t xml:space="preserve"> prevalence and perception o</w:t>
      </w:r>
      <w:r w:rsidR="00E446CC" w:rsidRPr="008404B8">
        <w:rPr>
          <w:rFonts w:ascii="Times New Roman" w:hAnsi="Times New Roman" w:cs="Times New Roman"/>
          <w:sz w:val="24"/>
          <w:szCs w:val="24"/>
          <w:lang w:val="en-GB"/>
        </w:rPr>
        <w:t>f</w:t>
      </w:r>
      <w:r w:rsidRPr="008404B8">
        <w:rPr>
          <w:rFonts w:ascii="Times New Roman" w:hAnsi="Times New Roman" w:cs="Times New Roman"/>
          <w:sz w:val="24"/>
          <w:szCs w:val="24"/>
          <w:lang w:val="en-GB"/>
        </w:rPr>
        <w:t xml:space="preserve"> smoking </w:t>
      </w:r>
      <w:r w:rsidR="00E446CC" w:rsidRPr="008404B8">
        <w:rPr>
          <w:rFonts w:ascii="Times New Roman" w:hAnsi="Times New Roman" w:cs="Times New Roman"/>
          <w:sz w:val="24"/>
          <w:szCs w:val="24"/>
          <w:lang w:val="en-GB"/>
        </w:rPr>
        <w:t>vary</w:t>
      </w:r>
      <w:r w:rsidRPr="008404B8">
        <w:rPr>
          <w:rFonts w:ascii="Times New Roman" w:hAnsi="Times New Roman" w:cs="Times New Roman"/>
          <w:sz w:val="24"/>
          <w:szCs w:val="24"/>
          <w:lang w:val="en-GB"/>
        </w:rPr>
        <w:t xml:space="preserve"> by socioeconomic status and occupational factors </w:t>
      </w:r>
      <w:r w:rsidRPr="008404B8">
        <w:rPr>
          <w:rFonts w:ascii="Times New Roman" w:hAnsi="Times New Roman" w:cs="Times New Roman"/>
          <w:sz w:val="24"/>
          <w:szCs w:val="24"/>
          <w:lang w:val="en-GB"/>
        </w:rPr>
        <w:fldChar w:fldCharType="begin"/>
      </w:r>
      <w:r w:rsidRPr="008404B8">
        <w:rPr>
          <w:rFonts w:ascii="Times New Roman" w:hAnsi="Times New Roman" w:cs="Times New Roman"/>
          <w:sz w:val="24"/>
          <w:szCs w:val="24"/>
          <w:lang w:val="en-GB"/>
        </w:rPr>
        <w:instrText xml:space="preserve"> ADDIN EN.CITE &lt;EndNote&gt;&lt;Cite&gt;&lt;Author&gt;Hiscock&lt;/Author&gt;&lt;Year&gt;2012&lt;/Year&gt;&lt;RecNum&gt;56&lt;/RecNum&gt;&lt;DisplayText&gt;[2]&lt;/DisplayText&gt;&lt;record&gt;&lt;rec-number&gt;56&lt;/rec-number&gt;&lt;foreign-keys&gt;&lt;key app="EN" db-id="f220xfrd0fwav7ezwacvdtdzx992dpe5vsz9" timestamp="1685007490"&gt;56&lt;/key&gt;&lt;/foreign-keys&gt;&lt;ref-type name="Journal Article"&gt;17&lt;/ref-type&gt;&lt;contributors&gt;&lt;authors&gt;&lt;author&gt;Hiscock, Rosemary&lt;/author&gt;&lt;author&gt;Bauld, Linda&lt;/author&gt;&lt;author&gt;Amos, Amanda&lt;/author&gt;&lt;author&gt;Fidler, Jennifer A&lt;/author&gt;&lt;author&gt;Munafò, Marcus&lt;/author&gt;&lt;/authors&gt;&lt;/contributors&gt;&lt;titles&gt;&lt;title&gt;Socioeconomic status and smoking: a review&lt;/title&gt;&lt;secondary-title&gt;Annals of the New York Academy of Sciences&lt;/secondary-title&gt;&lt;/titles&gt;&lt;periodical&gt;&lt;full-title&gt;Annals of the New York Academy of Sciences&lt;/full-title&gt;&lt;/periodical&gt;&lt;pages&gt;107-123&lt;/pages&gt;&lt;volume&gt;1248&lt;/volume&gt;&lt;number&gt;1&lt;/number&gt;&lt;dates&gt;&lt;year&gt;2012&lt;/year&gt;&lt;/dates&gt;&lt;isbn&gt;0077-8923&lt;/isbn&gt;&lt;urls&gt;&lt;/urls&gt;&lt;/record&gt;&lt;/Cite&gt;&lt;/EndNote&gt;</w:instrText>
      </w:r>
      <w:r w:rsidRPr="008404B8">
        <w:rPr>
          <w:rFonts w:ascii="Times New Roman" w:hAnsi="Times New Roman" w:cs="Times New Roman"/>
          <w:sz w:val="24"/>
          <w:szCs w:val="24"/>
          <w:lang w:val="en-GB"/>
        </w:rPr>
        <w:fldChar w:fldCharType="separate"/>
      </w:r>
      <w:r w:rsidRPr="008404B8">
        <w:rPr>
          <w:rFonts w:ascii="Times New Roman" w:hAnsi="Times New Roman" w:cs="Times New Roman"/>
          <w:noProof/>
          <w:sz w:val="24"/>
          <w:szCs w:val="24"/>
          <w:lang w:val="en-GB"/>
        </w:rPr>
        <w:t>[2]</w:t>
      </w:r>
      <w:r w:rsidRPr="008404B8">
        <w:rPr>
          <w:rFonts w:ascii="Times New Roman" w:hAnsi="Times New Roman" w:cs="Times New Roman"/>
          <w:sz w:val="24"/>
          <w:szCs w:val="24"/>
          <w:lang w:val="en-GB"/>
        </w:rPr>
        <w:fldChar w:fldCharType="end"/>
      </w:r>
      <w:r w:rsidRPr="008404B8">
        <w:rPr>
          <w:rFonts w:ascii="Times New Roman" w:hAnsi="Times New Roman" w:cs="Times New Roman"/>
          <w:sz w:val="24"/>
          <w:szCs w:val="24"/>
          <w:lang w:val="en-GB"/>
        </w:rPr>
        <w:t xml:space="preserve">. </w:t>
      </w:r>
      <w:r w:rsidR="00E446CC" w:rsidRPr="008404B8">
        <w:rPr>
          <w:rFonts w:ascii="Times New Roman" w:hAnsi="Times New Roman" w:cs="Times New Roman"/>
          <w:sz w:val="24"/>
          <w:szCs w:val="24"/>
        </w:rPr>
        <w:t>Additionally, since females are generally at higher risk for mental health outcomes,</w:t>
      </w:r>
    </w:p>
    <w:p w14:paraId="7D110151" w14:textId="7F4A0DF1" w:rsidR="00C52E9A" w:rsidRPr="008404B8" w:rsidRDefault="00C52E9A" w:rsidP="002B71C4">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t xml:space="preserve"> effect heterogeneity was tested </w:t>
      </w:r>
      <w:r w:rsidR="00E446CC" w:rsidRPr="008404B8">
        <w:rPr>
          <w:rFonts w:ascii="Times New Roman" w:hAnsi="Times New Roman" w:cs="Times New Roman"/>
          <w:sz w:val="24"/>
          <w:szCs w:val="24"/>
          <w:lang w:val="en-GB"/>
        </w:rPr>
        <w:t>by</w:t>
      </w:r>
      <w:r w:rsidRPr="008404B8">
        <w:rPr>
          <w:rFonts w:ascii="Times New Roman" w:hAnsi="Times New Roman" w:cs="Times New Roman"/>
          <w:sz w:val="24"/>
          <w:szCs w:val="24"/>
          <w:lang w:val="en-GB"/>
        </w:rPr>
        <w:t xml:space="preserve"> sex. Likelihood ratio tests were used to </w:t>
      </w:r>
      <w:r w:rsidR="00E446CC" w:rsidRPr="008404B8">
        <w:rPr>
          <w:rFonts w:ascii="Times New Roman" w:hAnsi="Times New Roman" w:cs="Times New Roman"/>
          <w:sz w:val="24"/>
          <w:szCs w:val="24"/>
          <w:lang w:val="en-GB"/>
        </w:rPr>
        <w:t>assess</w:t>
      </w:r>
      <w:r w:rsidRPr="008404B8">
        <w:rPr>
          <w:rFonts w:ascii="Times New Roman" w:hAnsi="Times New Roman" w:cs="Times New Roman"/>
          <w:sz w:val="24"/>
          <w:szCs w:val="24"/>
          <w:lang w:val="en-GB"/>
        </w:rPr>
        <w:t xml:space="preserve"> multiplicative interaction terms, w</w:t>
      </w:r>
      <w:r w:rsidR="00E446CC" w:rsidRPr="008404B8">
        <w:rPr>
          <w:rFonts w:ascii="Times New Roman" w:hAnsi="Times New Roman" w:cs="Times New Roman"/>
          <w:sz w:val="24"/>
          <w:szCs w:val="24"/>
          <w:lang w:val="en-GB"/>
        </w:rPr>
        <w:t>ith</w:t>
      </w:r>
      <w:r w:rsidRPr="008404B8">
        <w:rPr>
          <w:rFonts w:ascii="Times New Roman" w:hAnsi="Times New Roman" w:cs="Times New Roman"/>
          <w:sz w:val="24"/>
          <w:szCs w:val="24"/>
          <w:lang w:val="en-GB"/>
        </w:rPr>
        <w:t xml:space="preserve"> the significance level was set a</w:t>
      </w:r>
      <w:r w:rsidR="00E446CC" w:rsidRPr="008404B8">
        <w:rPr>
          <w:rFonts w:ascii="Times New Roman" w:hAnsi="Times New Roman" w:cs="Times New Roman"/>
          <w:sz w:val="24"/>
          <w:szCs w:val="24"/>
          <w:lang w:val="en-GB"/>
        </w:rPr>
        <w:t>t</w:t>
      </w:r>
      <w:r w:rsidRPr="008404B8">
        <w:rPr>
          <w:rFonts w:ascii="Times New Roman" w:hAnsi="Times New Roman" w:cs="Times New Roman"/>
          <w:sz w:val="24"/>
          <w:szCs w:val="24"/>
          <w:lang w:val="en-GB"/>
        </w:rPr>
        <w:t xml:space="preserve"> 0.05/3 based on</w:t>
      </w:r>
      <w:r w:rsidR="00E446CC" w:rsidRPr="008404B8">
        <w:rPr>
          <w:rFonts w:ascii="Times New Roman" w:hAnsi="Times New Roman" w:cs="Times New Roman"/>
          <w:sz w:val="24"/>
          <w:szCs w:val="24"/>
          <w:lang w:val="en-GB"/>
        </w:rPr>
        <w:t xml:space="preserve"> the</w:t>
      </w:r>
      <w:r w:rsidRPr="008404B8">
        <w:rPr>
          <w:rFonts w:ascii="Times New Roman" w:hAnsi="Times New Roman" w:cs="Times New Roman"/>
          <w:sz w:val="24"/>
          <w:szCs w:val="24"/>
          <w:lang w:val="en-GB"/>
        </w:rPr>
        <w:t xml:space="preserve"> Bonferroni correction. Relative Excess Risk due to Interaction (RERI) was also calculated in case</w:t>
      </w:r>
      <w:r w:rsidR="00E446CC" w:rsidRPr="008404B8">
        <w:rPr>
          <w:rFonts w:ascii="Times New Roman" w:hAnsi="Times New Roman" w:cs="Times New Roman"/>
          <w:sz w:val="24"/>
          <w:szCs w:val="24"/>
          <w:lang w:val="en-GB"/>
        </w:rPr>
        <w:t>s where</w:t>
      </w:r>
      <w:r w:rsidRPr="008404B8">
        <w:rPr>
          <w:rFonts w:ascii="Times New Roman" w:hAnsi="Times New Roman" w:cs="Times New Roman"/>
          <w:sz w:val="24"/>
          <w:szCs w:val="24"/>
          <w:lang w:val="en-GB"/>
        </w:rPr>
        <w:t xml:space="preserve"> statistically significant multiplicative interaction terms</w:t>
      </w:r>
      <w:r w:rsidR="00E446CC" w:rsidRPr="008404B8">
        <w:rPr>
          <w:rFonts w:ascii="Times New Roman" w:hAnsi="Times New Roman" w:cs="Times New Roman"/>
          <w:sz w:val="24"/>
          <w:szCs w:val="24"/>
          <w:lang w:val="en-GB"/>
        </w:rPr>
        <w:t xml:space="preserve"> were found</w:t>
      </w:r>
      <w:r w:rsidRPr="008404B8">
        <w:rPr>
          <w:rFonts w:ascii="Times New Roman" w:hAnsi="Times New Roman" w:cs="Times New Roman"/>
          <w:sz w:val="24"/>
          <w:szCs w:val="24"/>
          <w:lang w:val="en-GB"/>
        </w:rPr>
        <w:t>.</w:t>
      </w:r>
    </w:p>
    <w:p w14:paraId="48191452" w14:textId="77777777" w:rsidR="002B71C4" w:rsidRPr="008404B8" w:rsidRDefault="002B71C4">
      <w:pPr>
        <w:widowControl/>
        <w:wordWrap/>
        <w:autoSpaceDE/>
        <w:autoSpaceDN/>
        <w:spacing w:line="259"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br w:type="page"/>
      </w:r>
    </w:p>
    <w:p w14:paraId="3CB77666" w14:textId="2418B01F" w:rsidR="001713E2" w:rsidRPr="008404B8" w:rsidRDefault="002B71C4" w:rsidP="002B71C4">
      <w:pPr>
        <w:widowControl/>
        <w:wordWrap/>
        <w:autoSpaceDE/>
        <w:autoSpaceDN/>
        <w:spacing w:after="0" w:line="480" w:lineRule="auto"/>
        <w:rPr>
          <w:rFonts w:ascii="Times New Roman" w:hAnsi="Times New Roman" w:cs="Times New Roman"/>
          <w:b/>
          <w:bCs/>
          <w:sz w:val="24"/>
          <w:szCs w:val="24"/>
          <w:lang w:val="en-GB"/>
        </w:rPr>
      </w:pPr>
      <w:proofErr w:type="spellStart"/>
      <w:r w:rsidRPr="008404B8">
        <w:rPr>
          <w:rFonts w:ascii="Times New Roman" w:hAnsi="Times New Roman" w:cs="Times New Roman"/>
          <w:b/>
          <w:bCs/>
          <w:sz w:val="24"/>
          <w:szCs w:val="24"/>
          <w:lang w:val="en-GB"/>
        </w:rPr>
        <w:lastRenderedPageBreak/>
        <w:t>eMethods</w:t>
      </w:r>
      <w:proofErr w:type="spellEnd"/>
      <w:r w:rsidRPr="008404B8">
        <w:rPr>
          <w:rFonts w:ascii="Times New Roman" w:hAnsi="Times New Roman" w:cs="Times New Roman"/>
          <w:b/>
          <w:bCs/>
          <w:sz w:val="24"/>
          <w:szCs w:val="24"/>
          <w:lang w:val="en-GB"/>
        </w:rPr>
        <w:t xml:space="preserve"> </w:t>
      </w:r>
      <w:r w:rsidR="00C52E9A" w:rsidRPr="008404B8">
        <w:rPr>
          <w:rFonts w:ascii="Times New Roman" w:hAnsi="Times New Roman" w:cs="Times New Roman" w:hint="eastAsia"/>
          <w:b/>
          <w:bCs/>
          <w:sz w:val="24"/>
          <w:szCs w:val="24"/>
          <w:lang w:val="en-GB"/>
        </w:rPr>
        <w:t>3</w:t>
      </w:r>
      <w:r w:rsidRPr="008404B8">
        <w:rPr>
          <w:rFonts w:ascii="Times New Roman" w:hAnsi="Times New Roman" w:cs="Times New Roman"/>
          <w:b/>
          <w:bCs/>
          <w:sz w:val="24"/>
          <w:szCs w:val="24"/>
          <w:lang w:val="en-GB"/>
        </w:rPr>
        <w:t>.</w:t>
      </w:r>
      <w:r w:rsidR="00DF48B7" w:rsidRPr="008404B8">
        <w:rPr>
          <w:rFonts w:ascii="Times New Roman" w:hAnsi="Times New Roman" w:cs="Times New Roman"/>
          <w:b/>
          <w:bCs/>
          <w:sz w:val="24"/>
          <w:szCs w:val="24"/>
          <w:lang w:val="en-GB"/>
        </w:rPr>
        <w:t xml:space="preserve"> Sensitivity analysis</w:t>
      </w:r>
    </w:p>
    <w:p w14:paraId="780257D4" w14:textId="683F4525" w:rsidR="000C01E2" w:rsidRPr="008404B8" w:rsidRDefault="000C01E2" w:rsidP="000C01E2">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t>First, the KNHANES dataset codes participants with age over 80</w:t>
      </w:r>
      <w:r w:rsidR="00E446CC" w:rsidRPr="008404B8">
        <w:rPr>
          <w:rFonts w:ascii="Times New Roman" w:hAnsi="Times New Roman" w:cs="Times New Roman" w:hint="eastAsia"/>
          <w:sz w:val="24"/>
          <w:szCs w:val="24"/>
          <w:lang w:val="en-GB"/>
        </w:rPr>
        <w:t xml:space="preserve"> years old</w:t>
      </w:r>
      <w:r w:rsidRPr="008404B8">
        <w:rPr>
          <w:rFonts w:ascii="Times New Roman" w:hAnsi="Times New Roman" w:cs="Times New Roman"/>
          <w:sz w:val="24"/>
          <w:szCs w:val="24"/>
          <w:lang w:val="en-GB"/>
        </w:rPr>
        <w:t xml:space="preserve"> as 80, and participants with </w:t>
      </w:r>
      <w:r w:rsidR="00E446CC" w:rsidRPr="008404B8">
        <w:rPr>
          <w:rFonts w:ascii="Times New Roman" w:hAnsi="Times New Roman" w:cs="Times New Roman" w:hint="eastAsia"/>
          <w:sz w:val="24"/>
          <w:szCs w:val="24"/>
          <w:lang w:val="en-GB"/>
        </w:rPr>
        <w:t>more than</w:t>
      </w:r>
      <w:r w:rsidR="00E446CC"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6 cohabitants as 6. Since this loss of information could lead to residual confounding, age and the number of cohabitants were </w:t>
      </w:r>
      <w:r w:rsidR="00E446CC" w:rsidRPr="008404B8">
        <w:rPr>
          <w:rFonts w:ascii="Times New Roman" w:hAnsi="Times New Roman" w:cs="Times New Roman" w:hint="eastAsia"/>
          <w:sz w:val="24"/>
          <w:szCs w:val="24"/>
          <w:lang w:val="en-GB"/>
        </w:rPr>
        <w:t>treated</w:t>
      </w:r>
      <w:r w:rsidRPr="008404B8">
        <w:rPr>
          <w:rFonts w:ascii="Times New Roman" w:hAnsi="Times New Roman" w:cs="Times New Roman"/>
          <w:sz w:val="24"/>
          <w:szCs w:val="24"/>
          <w:lang w:val="en-GB"/>
        </w:rPr>
        <w:t xml:space="preserve"> as categorical variables. Age was classified into 7 categories (ages 19 to 29, 30 to 39, 40 to 49, 50 to 59, 60 to 69, 70 to 79, 80 or older), and the number of cohabitants was classified into 6 categories (1 [living alone], 2, 3, 4, 5, 6 or more cohabitants).</w:t>
      </w:r>
    </w:p>
    <w:p w14:paraId="0CF05F2C" w14:textId="77777777" w:rsidR="000C01E2" w:rsidRPr="008404B8" w:rsidRDefault="000C01E2" w:rsidP="000C01E2">
      <w:pPr>
        <w:widowControl/>
        <w:wordWrap/>
        <w:autoSpaceDE/>
        <w:autoSpaceDN/>
        <w:spacing w:after="0" w:line="480" w:lineRule="auto"/>
        <w:rPr>
          <w:rFonts w:ascii="Times New Roman" w:hAnsi="Times New Roman" w:cs="Times New Roman"/>
          <w:sz w:val="24"/>
          <w:szCs w:val="24"/>
          <w:lang w:val="en-GB"/>
        </w:rPr>
      </w:pPr>
    </w:p>
    <w:p w14:paraId="7C7FD7E6" w14:textId="38E93CBB" w:rsidR="000C01E2" w:rsidRPr="008404B8" w:rsidRDefault="00E446CC" w:rsidP="000C01E2">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hint="eastAsia"/>
          <w:sz w:val="24"/>
          <w:szCs w:val="24"/>
          <w:lang w:val="en-GB"/>
        </w:rPr>
        <w:t>Additionally</w:t>
      </w:r>
      <w:r w:rsidR="000C01E2" w:rsidRPr="008404B8">
        <w:rPr>
          <w:rFonts w:ascii="Times New Roman" w:hAnsi="Times New Roman" w:cs="Times New Roman"/>
          <w:sz w:val="24"/>
          <w:szCs w:val="24"/>
          <w:lang w:val="en-GB"/>
        </w:rPr>
        <w:t xml:space="preserve">, due to the cross-sectional nature of this study, depression could inversely alter the perception of </w:t>
      </w:r>
      <w:proofErr w:type="spellStart"/>
      <w:r w:rsidR="000C01E2" w:rsidRPr="008404B8">
        <w:rPr>
          <w:rFonts w:ascii="Times New Roman" w:hAnsi="Times New Roman" w:cs="Times New Roman"/>
          <w:sz w:val="24"/>
          <w:szCs w:val="24"/>
          <w:lang w:val="en-GB"/>
        </w:rPr>
        <w:t>secondhand</w:t>
      </w:r>
      <w:proofErr w:type="spellEnd"/>
      <w:r w:rsidR="000C01E2" w:rsidRPr="008404B8">
        <w:rPr>
          <w:rFonts w:ascii="Times New Roman" w:hAnsi="Times New Roman" w:cs="Times New Roman"/>
          <w:sz w:val="24"/>
          <w:szCs w:val="24"/>
          <w:lang w:val="en-GB"/>
        </w:rPr>
        <w:t xml:space="preserve"> smoke. Therefore, </w:t>
      </w:r>
      <w:r w:rsidRPr="008404B8">
        <w:rPr>
          <w:rFonts w:ascii="Times New Roman" w:hAnsi="Times New Roman" w:cs="Times New Roman" w:hint="eastAsia"/>
          <w:sz w:val="24"/>
          <w:szCs w:val="24"/>
          <w:lang w:val="en-GB"/>
        </w:rPr>
        <w:t xml:space="preserve">the </w:t>
      </w:r>
      <w:r w:rsidR="000C01E2" w:rsidRPr="008404B8">
        <w:rPr>
          <w:rFonts w:ascii="Times New Roman" w:hAnsi="Times New Roman" w:cs="Times New Roman"/>
          <w:sz w:val="24"/>
          <w:szCs w:val="24"/>
          <w:lang w:val="en-GB"/>
        </w:rPr>
        <w:t xml:space="preserve">analysis was restricted to those </w:t>
      </w:r>
      <w:r w:rsidRPr="008404B8">
        <w:rPr>
          <w:rFonts w:ascii="Times New Roman" w:hAnsi="Times New Roman" w:cs="Times New Roman" w:hint="eastAsia"/>
          <w:sz w:val="24"/>
          <w:szCs w:val="24"/>
          <w:lang w:val="en-GB"/>
        </w:rPr>
        <w:t>without prior</w:t>
      </w:r>
      <w:r w:rsidR="000C01E2" w:rsidRPr="008404B8">
        <w:rPr>
          <w:rFonts w:ascii="Times New Roman" w:hAnsi="Times New Roman" w:cs="Times New Roman"/>
          <w:sz w:val="24"/>
          <w:szCs w:val="24"/>
          <w:lang w:val="en-GB"/>
        </w:rPr>
        <w:t xml:space="preserve"> physician-diagnosed depression to reduce the possibility of reverse causality.</w:t>
      </w:r>
    </w:p>
    <w:p w14:paraId="4F8A863E" w14:textId="77777777" w:rsidR="000C01E2" w:rsidRPr="008404B8" w:rsidRDefault="000C01E2" w:rsidP="000C01E2">
      <w:pPr>
        <w:widowControl/>
        <w:wordWrap/>
        <w:autoSpaceDE/>
        <w:autoSpaceDN/>
        <w:spacing w:after="0" w:line="480" w:lineRule="auto"/>
        <w:rPr>
          <w:rFonts w:ascii="Times New Roman" w:hAnsi="Times New Roman" w:cs="Times New Roman"/>
          <w:sz w:val="24"/>
          <w:szCs w:val="24"/>
          <w:lang w:val="en-GB"/>
        </w:rPr>
      </w:pPr>
    </w:p>
    <w:p w14:paraId="104CE3C0" w14:textId="1E82798A" w:rsidR="000C01E2" w:rsidRPr="008404B8" w:rsidRDefault="00E446CC" w:rsidP="000C01E2">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hint="eastAsia"/>
          <w:sz w:val="24"/>
          <w:szCs w:val="24"/>
          <w:lang w:val="en-GB"/>
        </w:rPr>
        <w:t>Next, exposure dose adjustment based on biomarkers</w:t>
      </w:r>
      <w:r w:rsidR="000C01E2" w:rsidRPr="008404B8">
        <w:rPr>
          <w:rFonts w:ascii="Times New Roman" w:hAnsi="Times New Roman" w:cs="Times New Roman"/>
          <w:sz w:val="24"/>
          <w:szCs w:val="24"/>
          <w:lang w:val="en-GB"/>
        </w:rPr>
        <w:t xml:space="preserve"> was </w:t>
      </w:r>
      <w:r w:rsidRPr="008404B8">
        <w:rPr>
          <w:rFonts w:ascii="Times New Roman" w:hAnsi="Times New Roman" w:cs="Times New Roman" w:hint="eastAsia"/>
          <w:sz w:val="24"/>
          <w:szCs w:val="24"/>
          <w:lang w:val="en-GB"/>
        </w:rPr>
        <w:t>conducted using</w:t>
      </w:r>
      <w:r w:rsidR="000C01E2" w:rsidRPr="008404B8">
        <w:rPr>
          <w:rFonts w:ascii="Times New Roman" w:hAnsi="Times New Roman" w:cs="Times New Roman"/>
          <w:sz w:val="24"/>
          <w:szCs w:val="24"/>
          <w:lang w:val="en-GB"/>
        </w:rPr>
        <w:t xml:space="preserve"> 4-(</w:t>
      </w:r>
      <w:proofErr w:type="spellStart"/>
      <w:r w:rsidR="000C01E2" w:rsidRPr="008404B8">
        <w:rPr>
          <w:rFonts w:ascii="Times New Roman" w:hAnsi="Times New Roman" w:cs="Times New Roman"/>
          <w:sz w:val="24"/>
          <w:szCs w:val="24"/>
          <w:lang w:val="en-GB"/>
        </w:rPr>
        <w:t>methylnitrosamino</w:t>
      </w:r>
      <w:proofErr w:type="spellEnd"/>
      <w:r w:rsidR="000C01E2" w:rsidRPr="008404B8">
        <w:rPr>
          <w:rFonts w:ascii="Times New Roman" w:hAnsi="Times New Roman" w:cs="Times New Roman"/>
          <w:sz w:val="24"/>
          <w:szCs w:val="24"/>
          <w:lang w:val="en-GB"/>
        </w:rPr>
        <w:t xml:space="preserve">)-1-(3-pyridyl)-1-butanol (NNAL, units: </w:t>
      </w:r>
      <w:proofErr w:type="spellStart"/>
      <w:r w:rsidR="000C01E2" w:rsidRPr="008404B8">
        <w:rPr>
          <w:rFonts w:ascii="Times New Roman" w:hAnsi="Times New Roman" w:cs="Times New Roman"/>
          <w:sz w:val="24"/>
          <w:szCs w:val="24"/>
          <w:lang w:val="en-GB"/>
        </w:rPr>
        <w:t>pg</w:t>
      </w:r>
      <w:proofErr w:type="spellEnd"/>
      <w:r w:rsidR="000C01E2" w:rsidRPr="008404B8">
        <w:rPr>
          <w:rFonts w:ascii="Times New Roman" w:hAnsi="Times New Roman" w:cs="Times New Roman"/>
          <w:sz w:val="24"/>
          <w:szCs w:val="24"/>
          <w:lang w:val="en-GB"/>
        </w:rPr>
        <w:t>/mL) instead of cotinine to reflect a longer exposure period to tobacco smoke. A possible limitation of cotinine is its short half-life of 15 hours</w:t>
      </w:r>
      <w:r w:rsidR="00D61F44" w:rsidRPr="008404B8">
        <w:rPr>
          <w:rFonts w:ascii="Times New Roman" w:hAnsi="Times New Roman" w:cs="Times New Roman" w:hint="eastAsia"/>
          <w:sz w:val="24"/>
          <w:szCs w:val="24"/>
          <w:lang w:val="en-GB"/>
        </w:rPr>
        <w:t xml:space="preserve"> </w:t>
      </w:r>
      <w:bookmarkStart w:id="0" w:name="_Hlk201220969"/>
      <w:r w:rsidR="000C01E2" w:rsidRPr="008404B8">
        <w:rPr>
          <w:rFonts w:ascii="Times New Roman" w:hAnsi="Times New Roman" w:cs="Times New Roman"/>
          <w:sz w:val="24"/>
          <w:szCs w:val="24"/>
          <w:lang w:val="en-GB"/>
        </w:rPr>
        <w:fldChar w:fldCharType="begin"/>
      </w:r>
      <w:r w:rsidR="00C52E9A" w:rsidRPr="008404B8">
        <w:rPr>
          <w:rFonts w:ascii="Times New Roman" w:hAnsi="Times New Roman" w:cs="Times New Roman"/>
          <w:sz w:val="24"/>
          <w:szCs w:val="24"/>
          <w:lang w:val="en-GB"/>
        </w:rPr>
        <w:instrText xml:space="preserve"> ADDIN EN.CITE &lt;EndNote&gt;&lt;Cite&gt;&lt;Author&gt;Jarvis&lt;/Author&gt;&lt;Year&gt;1988&lt;/Year&gt;&lt;RecNum&gt;45&lt;/RecNum&gt;&lt;DisplayText&gt;[3]&lt;/DisplayText&gt;&lt;record&gt;&lt;rec-number&gt;45&lt;/rec-number&gt;&lt;foreign-keys&gt;&lt;key app="EN" db-id="f220xfrd0fwav7ezwacvdtdzx992dpe5vsz9" timestamp="1678349591"&gt;45&lt;/key&gt;&lt;/foreign-keys&gt;&lt;ref-type name="Journal Article"&gt;17&lt;/ref-type&gt;&lt;contributors&gt;&lt;authors&gt;&lt;author&gt;Jarvis, Martin J&lt;/author&gt;&lt;author&gt;Russell, MA&lt;/author&gt;&lt;author&gt;Benowitz, NEAL L&lt;/author&gt;&lt;author&gt;Feyerabend, COLIN&lt;/author&gt;&lt;/authors&gt;&lt;/contributors&gt;&lt;titles&gt;&lt;title&gt;Elimination of cotinine from body fluids: implications for noninvasive measurement of tobacco smoke exposure&lt;/title&gt;&lt;secondary-title&gt;American journal of public health&lt;/secondary-title&gt;&lt;/titles&gt;&lt;periodical&gt;&lt;full-title&gt;American journal of public health&lt;/full-title&gt;&lt;/periodical&gt;&lt;pages&gt;696-698&lt;/pages&gt;&lt;volume&gt;78&lt;/volume&gt;&lt;number&gt;6&lt;/number&gt;&lt;dates&gt;&lt;year&gt;1988&lt;/year&gt;&lt;/dates&gt;&lt;isbn&gt;0090-0036&lt;/isbn&gt;&lt;urls&gt;&lt;/urls&gt;&lt;/record&gt;&lt;/Cite&gt;&lt;/EndNote&gt;</w:instrText>
      </w:r>
      <w:r w:rsidR="000C01E2"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[3]</w:t>
      </w:r>
      <w:r w:rsidR="000C01E2" w:rsidRPr="008404B8">
        <w:rPr>
          <w:rFonts w:ascii="Times New Roman" w:hAnsi="Times New Roman" w:cs="Times New Roman"/>
          <w:sz w:val="24"/>
          <w:szCs w:val="24"/>
          <w:lang w:val="en-GB"/>
        </w:rPr>
        <w:fldChar w:fldCharType="end"/>
      </w:r>
      <w:bookmarkEnd w:id="0"/>
      <w:r w:rsidRPr="008404B8">
        <w:rPr>
          <w:rFonts w:ascii="Times New Roman" w:hAnsi="Times New Roman" w:cs="Times New Roman" w:hint="eastAsia"/>
          <w:sz w:val="24"/>
          <w:szCs w:val="24"/>
          <w:lang w:val="en-GB"/>
        </w:rPr>
        <w:t>,</w:t>
      </w:r>
      <w:r w:rsidR="000C01E2" w:rsidRPr="008404B8">
        <w:rPr>
          <w:rFonts w:ascii="Times New Roman" w:hAnsi="Times New Roman" w:cs="Times New Roman"/>
          <w:sz w:val="24"/>
          <w:szCs w:val="24"/>
          <w:lang w:val="en-GB"/>
        </w:rPr>
        <w:t xml:space="preserve"> </w:t>
      </w:r>
      <w:r w:rsidR="00B46BCF">
        <w:rPr>
          <w:rFonts w:ascii="Times New Roman" w:hAnsi="Times New Roman" w:cs="Times New Roman" w:hint="eastAsia"/>
          <w:sz w:val="24"/>
          <w:szCs w:val="24"/>
          <w:lang w:val="en-GB"/>
        </w:rPr>
        <w:t>w</w:t>
      </w:r>
      <w:r w:rsidRPr="008404B8">
        <w:rPr>
          <w:rFonts w:ascii="Times New Roman" w:hAnsi="Times New Roman" w:cs="Times New Roman" w:hint="eastAsia"/>
          <w:sz w:val="24"/>
          <w:szCs w:val="24"/>
          <w:lang w:val="en-GB"/>
        </w:rPr>
        <w:t>hich limits its ability to reflect</w:t>
      </w:r>
      <w:r w:rsidR="000C01E2" w:rsidRPr="008404B8">
        <w:rPr>
          <w:rFonts w:ascii="Times New Roman" w:hAnsi="Times New Roman" w:cs="Times New Roman"/>
          <w:sz w:val="24"/>
          <w:szCs w:val="24"/>
          <w:lang w:val="en-GB"/>
        </w:rPr>
        <w:t xml:space="preserve"> long-term exposure to tobacco smoke</w:t>
      </w:r>
      <w:r w:rsidR="00D61F44" w:rsidRPr="008404B8">
        <w:rPr>
          <w:rFonts w:ascii="Times New Roman" w:hAnsi="Times New Roman" w:cs="Times New Roman" w:hint="eastAsia"/>
          <w:sz w:val="24"/>
          <w:szCs w:val="24"/>
          <w:lang w:val="en-GB"/>
        </w:rPr>
        <w:t xml:space="preserve"> </w:t>
      </w:r>
      <w:bookmarkStart w:id="1" w:name="_Hlk201220980"/>
      <w:r w:rsidR="000C01E2" w:rsidRPr="008404B8">
        <w:rPr>
          <w:rFonts w:ascii="Times New Roman" w:hAnsi="Times New Roman" w:cs="Times New Roman"/>
          <w:sz w:val="24"/>
          <w:szCs w:val="24"/>
          <w:lang w:val="en-GB"/>
        </w:rPr>
        <w:fldChar w:fldCharType="begin"/>
      </w:r>
      <w:r w:rsidR="00C52E9A" w:rsidRPr="008404B8">
        <w:rPr>
          <w:rFonts w:ascii="Times New Roman" w:hAnsi="Times New Roman" w:cs="Times New Roman"/>
          <w:sz w:val="24"/>
          <w:szCs w:val="24"/>
          <w:lang w:val="en-GB"/>
        </w:rPr>
        <w:instrText xml:space="preserve"> ADDIN EN.CITE &lt;EndNote&gt;&lt;Cite&gt;&lt;Author&gt;Goniewicz&lt;/Author&gt;&lt;Year&gt;2011&lt;/Year&gt;&lt;RecNum&gt;46&lt;/RecNum&gt;&lt;DisplayText&gt;[4]&lt;/DisplayText&gt;&lt;record&gt;&lt;rec-number&gt;46&lt;/rec-number&gt;&lt;foreign-keys&gt;&lt;key app="EN" db-id="f220xfrd0fwav7ezwacvdtdzx992dpe5vsz9" timestamp="1678349832"&gt;46&lt;/key&gt;&lt;/foreign-keys&gt;&lt;ref-type name="Journal Article"&gt;17&lt;/ref-type&gt;&lt;contributors&gt;&lt;authors&gt;&lt;author&gt;Goniewicz, Maciej Lukasz&lt;/author&gt;&lt;author&gt;Eisner, Mark D&lt;/author&gt;&lt;author&gt;Lazcano-Ponce, Eduardo&lt;/author&gt;&lt;author&gt;Zielinska-Danch, Wioleta&lt;/author&gt;&lt;author&gt;Koszowski, Bartosz&lt;/author&gt;&lt;author&gt;Sobczak, Andrzej&lt;/author&gt;&lt;author&gt;Havel, Christopher&lt;/author&gt;&lt;author&gt;Jacob, Peyton&lt;/author&gt;&lt;author&gt;Benowitz, Neal L&lt;/author&gt;&lt;/authors&gt;&lt;/contributors&gt;&lt;titles&gt;&lt;title&gt;Comparison of urine cotinine and the tobacco-specific nitrosamine metabolite 4-(methylnitrosamino)-1-(3-pyridyl)-1-butanol (NNAL) and their ratio to discriminate active from passive smoking&lt;/title&gt;&lt;secondary-title&gt;Nicotine &amp;amp; Tobacco Research&lt;/secondary-title&gt;&lt;/titles&gt;&lt;periodical&gt;&lt;full-title&gt;Nicotine &amp;amp; Tobacco Research&lt;/full-title&gt;&lt;/periodical&gt;&lt;pages&gt;202-208&lt;/pages&gt;&lt;volume&gt;13&lt;/volume&gt;&lt;number&gt;3&lt;/number&gt;&lt;dates&gt;&lt;year&gt;2011&lt;/year&gt;&lt;/dates&gt;&lt;isbn&gt;1469-994X&lt;/isbn&gt;&lt;urls&gt;&lt;/urls&gt;&lt;/record&gt;&lt;/Cite&gt;&lt;/EndNote&gt;</w:instrText>
      </w:r>
      <w:r w:rsidR="000C01E2"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[4]</w:t>
      </w:r>
      <w:r w:rsidR="000C01E2" w:rsidRPr="008404B8">
        <w:rPr>
          <w:rFonts w:ascii="Times New Roman" w:hAnsi="Times New Roman" w:cs="Times New Roman"/>
          <w:sz w:val="24"/>
          <w:szCs w:val="24"/>
          <w:lang w:val="en-GB"/>
        </w:rPr>
        <w:fldChar w:fldCharType="end"/>
      </w:r>
      <w:bookmarkEnd w:id="1"/>
      <w:r w:rsidR="00D61F44" w:rsidRPr="008404B8">
        <w:rPr>
          <w:rFonts w:ascii="Times New Roman" w:hAnsi="Times New Roman" w:cs="Times New Roman" w:hint="eastAsia"/>
          <w:sz w:val="24"/>
          <w:szCs w:val="24"/>
          <w:lang w:val="en-GB"/>
        </w:rPr>
        <w:t>.</w:t>
      </w:r>
      <w:r w:rsidR="000C01E2" w:rsidRPr="008404B8">
        <w:rPr>
          <w:rFonts w:ascii="Times New Roman" w:hAnsi="Times New Roman" w:cs="Times New Roman"/>
          <w:sz w:val="24"/>
          <w:szCs w:val="24"/>
          <w:lang w:val="en-GB"/>
        </w:rPr>
        <w:t xml:space="preserve"> Therefore</w:t>
      </w:r>
      <w:r w:rsidRPr="008404B8">
        <w:rPr>
          <w:rFonts w:ascii="Times New Roman" w:hAnsi="Times New Roman" w:cs="Times New Roman" w:hint="eastAsia"/>
          <w:sz w:val="24"/>
          <w:szCs w:val="24"/>
          <w:lang w:val="en-GB"/>
        </w:rPr>
        <w:t>,</w:t>
      </w:r>
      <w:r w:rsidR="000C01E2" w:rsidRPr="008404B8">
        <w:rPr>
          <w:rFonts w:ascii="Times New Roman" w:hAnsi="Times New Roman" w:cs="Times New Roman"/>
          <w:sz w:val="24"/>
          <w:szCs w:val="24"/>
          <w:lang w:val="en-GB"/>
        </w:rPr>
        <w:t xml:space="preserve"> an alternative biomarker NNAL, with a half-life of 10-16 days</w:t>
      </w:r>
      <w:r w:rsidR="009C4161">
        <w:rPr>
          <w:rFonts w:ascii="Times New Roman" w:hAnsi="Times New Roman" w:cs="Times New Roman" w:hint="eastAsia"/>
          <w:sz w:val="24"/>
          <w:szCs w:val="24"/>
          <w:lang w:val="en-GB"/>
        </w:rPr>
        <w:t xml:space="preserve"> </w:t>
      </w:r>
      <w:bookmarkStart w:id="2" w:name="_Hlk201221825"/>
      <w:r w:rsidR="009C4161" w:rsidRPr="008404B8">
        <w:rPr>
          <w:rFonts w:ascii="Times New Roman" w:hAnsi="Times New Roman" w:cs="Times New Roman"/>
          <w:sz w:val="24"/>
          <w:szCs w:val="24"/>
          <w:lang w:val="en-GB"/>
        </w:rPr>
        <w:fldChar w:fldCharType="begin"/>
      </w:r>
      <w:r w:rsidR="009C4161" w:rsidRPr="008404B8">
        <w:rPr>
          <w:rFonts w:ascii="Times New Roman" w:hAnsi="Times New Roman" w:cs="Times New Roman"/>
          <w:sz w:val="24"/>
          <w:szCs w:val="24"/>
          <w:lang w:val="en-GB"/>
        </w:rPr>
        <w:instrText xml:space="preserve"> ADDIN EN.CITE &lt;EndNote&gt;&lt;Cite&gt;&lt;Author&gt;Goniewicz&lt;/Author&gt;&lt;Year&gt;2011&lt;/Year&gt;&lt;RecNum&gt;46&lt;/RecNum&gt;&lt;DisplayText&gt;[4]&lt;/DisplayText&gt;&lt;record&gt;&lt;rec-number&gt;46&lt;/rec-number&gt;&lt;foreign-keys&gt;&lt;key app="EN" db-id="f220xfrd0fwav7ezwacvdtdzx992dpe5vsz9" timestamp="1678349832"&gt;46&lt;/key&gt;&lt;/foreign-keys&gt;&lt;ref-type name="Journal Article"&gt;17&lt;/ref-type&gt;&lt;contributors&gt;&lt;authors&gt;&lt;author&gt;Goniewicz, Maciej Lukasz&lt;/author&gt;&lt;author&gt;Eisner, Mark D&lt;/author&gt;&lt;author&gt;Lazcano-Ponce, Eduardo&lt;/author&gt;&lt;author&gt;Zielinska-Danch, Wioleta&lt;/author&gt;&lt;author&gt;Koszowski, Bartosz&lt;/author&gt;&lt;author&gt;Sobczak, Andrzej&lt;/author&gt;&lt;author&gt;Havel, Christopher&lt;/author&gt;&lt;author&gt;Jacob, Peyton&lt;/author&gt;&lt;author&gt;Benowitz, Neal L&lt;/author&gt;&lt;/authors&gt;&lt;/contributors&gt;&lt;titles&gt;&lt;title&gt;Comparison of urine cotinine and the tobacco-specific nitrosamine metabolite 4-(methylnitrosamino)-1-(3-pyridyl)-1-butanol (NNAL) and their ratio to discriminate active from passive smoking&lt;/title&gt;&lt;secondary-title&gt;Nicotine &amp;amp; Tobacco Research&lt;/secondary-title&gt;&lt;/titles&gt;&lt;periodical&gt;&lt;full-title&gt;Nicotine &amp;amp; Tobacco Research&lt;/full-title&gt;&lt;/periodical&gt;&lt;pages&gt;202-208&lt;/pages&gt;&lt;volume&gt;13&lt;/volume&gt;&lt;number&gt;3&lt;/number&gt;&lt;dates&gt;&lt;year&gt;2011&lt;/year&gt;&lt;/dates&gt;&lt;isbn&gt;1469-994X&lt;/isbn&gt;&lt;urls&gt;&lt;/urls&gt;&lt;/record&gt;&lt;/Cite&gt;&lt;/EndNote&gt;</w:instrText>
      </w:r>
      <w:r w:rsidR="009C4161" w:rsidRPr="008404B8">
        <w:rPr>
          <w:rFonts w:ascii="Times New Roman" w:hAnsi="Times New Roman" w:cs="Times New Roman"/>
          <w:sz w:val="24"/>
          <w:szCs w:val="24"/>
          <w:lang w:val="en-GB"/>
        </w:rPr>
        <w:fldChar w:fldCharType="separate"/>
      </w:r>
      <w:r w:rsidR="009C4161" w:rsidRPr="008404B8">
        <w:rPr>
          <w:rFonts w:ascii="Times New Roman" w:hAnsi="Times New Roman" w:cs="Times New Roman"/>
          <w:noProof/>
          <w:sz w:val="24"/>
          <w:szCs w:val="24"/>
          <w:lang w:val="en-GB"/>
        </w:rPr>
        <w:t>[4]</w:t>
      </w:r>
      <w:r w:rsidR="009C4161" w:rsidRPr="008404B8">
        <w:rPr>
          <w:rFonts w:ascii="Times New Roman" w:hAnsi="Times New Roman" w:cs="Times New Roman"/>
          <w:sz w:val="24"/>
          <w:szCs w:val="24"/>
          <w:lang w:val="en-GB"/>
        </w:rPr>
        <w:fldChar w:fldCharType="end"/>
      </w:r>
      <w:bookmarkEnd w:id="2"/>
      <w:r w:rsidRPr="008404B8">
        <w:rPr>
          <w:rFonts w:ascii="Times New Roman" w:hAnsi="Times New Roman" w:cs="Times New Roman" w:hint="eastAsia"/>
          <w:sz w:val="24"/>
          <w:szCs w:val="24"/>
          <w:lang w:val="en-GB"/>
        </w:rPr>
        <w:t>,</w:t>
      </w:r>
      <w:r w:rsidR="000C01E2" w:rsidRPr="008404B8">
        <w:rPr>
          <w:rFonts w:ascii="Times New Roman" w:hAnsi="Times New Roman" w:cs="Times New Roman"/>
          <w:sz w:val="24"/>
          <w:szCs w:val="24"/>
          <w:lang w:val="en-GB"/>
        </w:rPr>
        <w:t xml:space="preserve"> </w:t>
      </w:r>
      <w:r w:rsidR="007635A2" w:rsidRPr="008404B8">
        <w:rPr>
          <w:rFonts w:ascii="Times New Roman" w:hAnsi="Times New Roman" w:cs="Times New Roman" w:hint="eastAsia"/>
          <w:sz w:val="24"/>
          <w:szCs w:val="24"/>
          <w:lang w:val="en-GB"/>
        </w:rPr>
        <w:t>allows researchers</w:t>
      </w:r>
      <w:r w:rsidR="000C01E2" w:rsidRPr="008404B8">
        <w:rPr>
          <w:rFonts w:ascii="Times New Roman" w:hAnsi="Times New Roman" w:cs="Times New Roman"/>
          <w:sz w:val="24"/>
          <w:szCs w:val="24"/>
          <w:lang w:val="en-GB"/>
        </w:rPr>
        <w:t xml:space="preserve"> to detect tobacco smoke exposure in the recent 6 to 12 weeks</w:t>
      </w:r>
      <w:r w:rsidR="00D61F44" w:rsidRPr="008404B8">
        <w:rPr>
          <w:rFonts w:ascii="Times New Roman" w:hAnsi="Times New Roman" w:cs="Times New Roman" w:hint="eastAsia"/>
          <w:sz w:val="24"/>
          <w:szCs w:val="24"/>
          <w:lang w:val="en-GB"/>
        </w:rPr>
        <w:t xml:space="preserve"> </w:t>
      </w:r>
      <w:bookmarkStart w:id="3" w:name="_Hlk201220991"/>
      <w:r w:rsidR="000C01E2" w:rsidRPr="008404B8">
        <w:rPr>
          <w:rFonts w:ascii="Times New Roman" w:hAnsi="Times New Roman" w:cs="Times New Roman"/>
          <w:sz w:val="24"/>
          <w:szCs w:val="24"/>
          <w:lang w:val="en-GB"/>
        </w:rPr>
        <w:fldChar w:fldCharType="begin"/>
      </w:r>
      <w:r w:rsidR="00C52E9A" w:rsidRPr="008404B8">
        <w:rPr>
          <w:rFonts w:ascii="Times New Roman" w:hAnsi="Times New Roman" w:cs="Times New Roman"/>
          <w:sz w:val="24"/>
          <w:szCs w:val="24"/>
          <w:lang w:val="en-GB"/>
        </w:rPr>
        <w:instrText xml:space="preserve"> ADDIN EN.CITE &lt;EndNote&gt;&lt;Cite&gt;&lt;Author&gt;Goniewicz&lt;/Author&gt;&lt;Year&gt;2009&lt;/Year&gt;&lt;RecNum&gt;49&lt;/RecNum&gt;&lt;DisplayText&gt;[5]&lt;/DisplayText&gt;&lt;record&gt;&lt;rec-number&gt;49&lt;/rec-number&gt;&lt;foreign-keys&gt;&lt;key app="EN" db-id="f220xfrd0fwav7ezwacvdtdzx992dpe5vsz9" timestamp="1679301280"&gt;49&lt;/key&gt;&lt;/foreign-keys&gt;&lt;ref-type name="Journal Article"&gt;17&lt;/ref-type&gt;&lt;contributors&gt;&lt;authors&gt;&lt;author&gt;Goniewicz, Maciej L&lt;/author&gt;&lt;author&gt;Havel, Christopher M&lt;/author&gt;&lt;author&gt;Peng, Margaret Wilson&lt;/author&gt;&lt;author&gt;Jacob III, Peyton&lt;/author&gt;&lt;author&gt;Dempsey, Delia&lt;/author&gt;&lt;author&gt;Yu, Lisa&lt;/author&gt;&lt;author&gt;Zielinska-Danch, Wioleta&lt;/author&gt;&lt;author&gt;Koszowski, Bartosz&lt;/author&gt;&lt;author&gt;Czogala, Jan&lt;/author&gt;&lt;author&gt;Sobczak, Andrzej&lt;/author&gt;&lt;/authors&gt;&lt;/contributors&gt;&lt;titles&gt;&lt;title&gt;Elimination kinetics of the tobacco-specific biomarker and lung carcinogen 4-(methylnitrosamino)-1-(3-pyridyl)-1-butanol&lt;/title&gt;&lt;secondary-title&gt;Cancer epidemiology, biomarkers &amp;amp; prevention&lt;/secondary-title&gt;&lt;/titles&gt;&lt;periodical&gt;&lt;full-title&gt;Cancer epidemiology, biomarkers &amp;amp; prevention&lt;/full-title&gt;&lt;/periodical&gt;&lt;pages&gt;3421-3425&lt;/pages&gt;&lt;volume&gt;18&lt;/volume&gt;&lt;number&gt;12&lt;/number&gt;&lt;dates&gt;&lt;year&gt;2009&lt;/year&gt;&lt;/dates&gt;&lt;isbn&gt;1055-9965&lt;/isbn&gt;&lt;urls&gt;&lt;/urls&gt;&lt;/record&gt;&lt;/Cite&gt;&lt;/EndNote&gt;</w:instrText>
      </w:r>
      <w:r w:rsidR="000C01E2"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[5]</w:t>
      </w:r>
      <w:r w:rsidR="000C01E2" w:rsidRPr="008404B8">
        <w:rPr>
          <w:rFonts w:ascii="Times New Roman" w:hAnsi="Times New Roman" w:cs="Times New Roman"/>
          <w:sz w:val="24"/>
          <w:szCs w:val="24"/>
          <w:lang w:val="en-GB"/>
        </w:rPr>
        <w:fldChar w:fldCharType="end"/>
      </w:r>
      <w:bookmarkEnd w:id="3"/>
      <w:r w:rsidR="00D61F44" w:rsidRPr="008404B8">
        <w:rPr>
          <w:rFonts w:ascii="Times New Roman" w:hAnsi="Times New Roman" w:cs="Times New Roman" w:hint="eastAsia"/>
          <w:sz w:val="24"/>
          <w:szCs w:val="24"/>
          <w:lang w:val="en-GB"/>
        </w:rPr>
        <w:t>.</w:t>
      </w:r>
      <w:r w:rsidR="000C01E2" w:rsidRPr="008404B8">
        <w:rPr>
          <w:rFonts w:ascii="Times New Roman" w:hAnsi="Times New Roman" w:cs="Times New Roman"/>
          <w:sz w:val="24"/>
          <w:szCs w:val="24"/>
          <w:lang w:val="en-GB"/>
        </w:rPr>
        <w:t xml:space="preserve"> </w:t>
      </w:r>
      <w:bookmarkStart w:id="4" w:name="_Hlk178498528"/>
      <w:r w:rsidR="000C01E2" w:rsidRPr="008404B8">
        <w:rPr>
          <w:rFonts w:ascii="Times New Roman" w:hAnsi="Times New Roman" w:cs="Times New Roman"/>
          <w:sz w:val="24"/>
          <w:szCs w:val="24"/>
          <w:lang w:val="en-GB"/>
        </w:rPr>
        <w:t xml:space="preserve">NNAL was </w:t>
      </w:r>
      <w:r w:rsidR="002C03D3" w:rsidRPr="008404B8">
        <w:rPr>
          <w:rFonts w:ascii="Times New Roman" w:hAnsi="Times New Roman" w:cs="Times New Roman"/>
          <w:sz w:val="24"/>
          <w:szCs w:val="24"/>
          <w:lang w:val="en-GB"/>
        </w:rPr>
        <w:t>experimentally</w:t>
      </w:r>
      <w:r w:rsidR="002C03D3" w:rsidRPr="008404B8">
        <w:rPr>
          <w:rFonts w:ascii="Times New Roman" w:hAnsi="Times New Roman" w:cs="Times New Roman" w:hint="eastAsia"/>
          <w:sz w:val="24"/>
          <w:szCs w:val="24"/>
          <w:lang w:val="en-GB"/>
        </w:rPr>
        <w:t xml:space="preserve"> </w:t>
      </w:r>
      <w:r w:rsidR="000C01E2" w:rsidRPr="008404B8">
        <w:rPr>
          <w:rFonts w:ascii="Times New Roman" w:hAnsi="Times New Roman" w:cs="Times New Roman"/>
          <w:sz w:val="24"/>
          <w:szCs w:val="24"/>
          <w:lang w:val="en-GB"/>
        </w:rPr>
        <w:t xml:space="preserve">measured from urine samples from a </w:t>
      </w:r>
      <w:r w:rsidR="002C03D3" w:rsidRPr="008404B8">
        <w:rPr>
          <w:rFonts w:ascii="Times New Roman" w:hAnsi="Times New Roman" w:cs="Times New Roman"/>
          <w:sz w:val="24"/>
          <w:szCs w:val="24"/>
          <w:lang w:val="en-GB"/>
        </w:rPr>
        <w:t>random</w:t>
      </w:r>
      <w:r w:rsidR="002C03D3" w:rsidRPr="008404B8">
        <w:rPr>
          <w:rFonts w:ascii="Times New Roman" w:hAnsi="Times New Roman" w:cs="Times New Roman" w:hint="eastAsia"/>
          <w:sz w:val="24"/>
          <w:szCs w:val="24"/>
          <w:lang w:val="en-GB"/>
        </w:rPr>
        <w:t xml:space="preserve"> </w:t>
      </w:r>
      <w:r w:rsidR="000C01E2" w:rsidRPr="008404B8">
        <w:rPr>
          <w:rFonts w:ascii="Times New Roman" w:hAnsi="Times New Roman" w:cs="Times New Roman"/>
          <w:sz w:val="24"/>
          <w:szCs w:val="24"/>
          <w:lang w:val="en-GB"/>
        </w:rPr>
        <w:t>subsample of participants in 2016 and 2018.</w:t>
      </w:r>
      <w:bookmarkEnd w:id="4"/>
      <w:r w:rsidR="000C01E2" w:rsidRPr="008404B8">
        <w:rPr>
          <w:rFonts w:ascii="Times New Roman" w:hAnsi="Times New Roman" w:cs="Times New Roman"/>
          <w:sz w:val="24"/>
          <w:szCs w:val="24"/>
          <w:lang w:val="en-GB"/>
        </w:rPr>
        <w:t xml:space="preserve"> The LOD </w:t>
      </w:r>
      <w:r w:rsidR="007635A2" w:rsidRPr="008404B8">
        <w:rPr>
          <w:rFonts w:ascii="Times New Roman" w:hAnsi="Times New Roman" w:cs="Times New Roman" w:hint="eastAsia"/>
          <w:sz w:val="24"/>
          <w:szCs w:val="24"/>
          <w:lang w:val="en-GB"/>
        </w:rPr>
        <w:t>for</w:t>
      </w:r>
      <w:r w:rsidR="000C01E2" w:rsidRPr="008404B8">
        <w:rPr>
          <w:rFonts w:ascii="Times New Roman" w:hAnsi="Times New Roman" w:cs="Times New Roman"/>
          <w:sz w:val="24"/>
          <w:szCs w:val="24"/>
          <w:lang w:val="en-GB"/>
        </w:rPr>
        <w:t xml:space="preserve"> NNAL was 0.1006 </w:t>
      </w:r>
      <w:proofErr w:type="spellStart"/>
      <w:r w:rsidR="000C01E2" w:rsidRPr="008404B8">
        <w:rPr>
          <w:rFonts w:ascii="Times New Roman" w:hAnsi="Times New Roman" w:cs="Times New Roman"/>
          <w:sz w:val="24"/>
          <w:szCs w:val="24"/>
          <w:lang w:val="en-GB"/>
        </w:rPr>
        <w:t>pg</w:t>
      </w:r>
      <w:proofErr w:type="spellEnd"/>
      <w:r w:rsidR="000C01E2" w:rsidRPr="008404B8">
        <w:rPr>
          <w:rFonts w:ascii="Times New Roman" w:hAnsi="Times New Roman" w:cs="Times New Roman"/>
          <w:sz w:val="24"/>
          <w:szCs w:val="24"/>
          <w:lang w:val="en-GB"/>
        </w:rPr>
        <w:t>/mL</w:t>
      </w:r>
      <w:r w:rsidR="00D61F44" w:rsidRPr="008404B8">
        <w:rPr>
          <w:rFonts w:ascii="Times New Roman" w:hAnsi="Times New Roman" w:cs="Times New Roman" w:hint="eastAsia"/>
          <w:sz w:val="24"/>
          <w:szCs w:val="24"/>
          <w:lang w:val="en-GB"/>
        </w:rPr>
        <w:t xml:space="preserve"> </w:t>
      </w:r>
      <w:r w:rsidR="000C01E2" w:rsidRPr="008404B8">
        <w:rPr>
          <w:rFonts w:ascii="Times New Roman" w:hAnsi="Times New Roman" w:cs="Times New Roman"/>
          <w:sz w:val="24"/>
          <w:szCs w:val="24"/>
          <w:lang w:val="en-GB"/>
        </w:rPr>
        <w:fldChar w:fldCharType="begin"/>
      </w:r>
      <w:r w:rsidR="00C52E9A" w:rsidRPr="008404B8">
        <w:rPr>
          <w:rFonts w:ascii="Times New Roman" w:hAnsi="Times New Roman" w:cs="Times New Roman"/>
          <w:sz w:val="24"/>
          <w:szCs w:val="24"/>
          <w:lang w:val="en-GB"/>
        </w:rPr>
        <w:instrText xml:space="preserve"> ADDIN EN.CITE &lt;EndNote&gt;&lt;Cite&gt;&lt;Author&gt;Lee&lt;/Author&gt;&lt;Year&gt;2022&lt;/Year&gt;&lt;RecNum&gt;68&lt;/RecNum&gt;&lt;DisplayText&gt;[6]&lt;/DisplayText&gt;&lt;record&gt;&lt;rec-number&gt;68&lt;/rec-number&gt;&lt;foreign-keys&gt;&lt;key app="EN" db-id="f220xfrd0fwav7ezwacvdtdzx992dpe5vsz9" timestamp="1696144985"&gt;68&lt;/key&gt;&lt;/foreign-keys&gt;&lt;ref-type name="Journal Article"&gt;17&lt;/ref-type&gt;&lt;contributors&gt;&lt;authors&gt;&lt;author&gt;Lee, Hyun-Seung&lt;/author&gt;&lt;/authors&gt;&lt;/contributors&gt;&lt;titles&gt;&lt;title&gt;Diagnostic Performance Evaluation of the Novel Index Combining Urinary Cotinine and 4-(Methylnitrosamino)-1-(3-pyridyl)-1-butanol in Smoking Status Verification and Usefulness for Trend Monitoring of Tobacco Smoking Exposure&lt;/title&gt;&lt;secondary-title&gt;International Journal of Environmental Research and Public Health&lt;/secondary-title&gt;&lt;/titles&gt;&lt;periodical&gt;&lt;full-title&gt;International Journal of Environmental Research and Public Health&lt;/full-title&gt;&lt;/periodical&gt;&lt;pages&gt;12147&lt;/pages&gt;&lt;volume&gt;19&lt;/volume&gt;&lt;number&gt;19&lt;/number&gt;&lt;dates&gt;&lt;year&gt;2022&lt;/year&gt;&lt;/dates&gt;&lt;isbn&gt;1660-4601&lt;/isbn&gt;&lt;urls&gt;&lt;/urls&gt;&lt;/record&gt;&lt;/Cite&gt;&lt;/EndNote&gt;</w:instrText>
      </w:r>
      <w:r w:rsidR="000C01E2"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[6]</w:t>
      </w:r>
      <w:r w:rsidR="000C01E2" w:rsidRPr="008404B8">
        <w:rPr>
          <w:rFonts w:ascii="Times New Roman" w:hAnsi="Times New Roman" w:cs="Times New Roman"/>
          <w:sz w:val="24"/>
          <w:szCs w:val="24"/>
          <w:lang w:val="en-GB"/>
        </w:rPr>
        <w:fldChar w:fldCharType="end"/>
      </w:r>
      <w:r w:rsidR="00D61F44" w:rsidRPr="008404B8">
        <w:rPr>
          <w:rFonts w:ascii="Times New Roman" w:hAnsi="Times New Roman" w:cs="Times New Roman" w:hint="eastAsia"/>
          <w:sz w:val="24"/>
          <w:szCs w:val="24"/>
          <w:lang w:val="en-GB"/>
        </w:rPr>
        <w:t>.</w:t>
      </w:r>
    </w:p>
    <w:p w14:paraId="70C9ED73" w14:textId="77777777" w:rsidR="000C01E2" w:rsidRPr="008404B8" w:rsidRDefault="000C01E2" w:rsidP="000C01E2">
      <w:pPr>
        <w:widowControl/>
        <w:wordWrap/>
        <w:autoSpaceDE/>
        <w:autoSpaceDN/>
        <w:spacing w:after="0" w:line="480" w:lineRule="auto"/>
        <w:rPr>
          <w:rFonts w:ascii="Times New Roman" w:hAnsi="Times New Roman" w:cs="Times New Roman"/>
          <w:sz w:val="24"/>
          <w:szCs w:val="24"/>
          <w:lang w:val="en-GB"/>
        </w:rPr>
      </w:pPr>
    </w:p>
    <w:p w14:paraId="0DA75788" w14:textId="0E8BD45E" w:rsidR="000C01E2" w:rsidRPr="008404B8" w:rsidRDefault="000C01E2" w:rsidP="000C01E2">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t xml:space="preserve">Furthermore, urine biomarkers were used to re-classify current smoking status. Misclassification of smoking history </w:t>
      </w:r>
      <w:r w:rsidR="007635A2" w:rsidRPr="008404B8">
        <w:rPr>
          <w:rFonts w:ascii="Times New Roman" w:hAnsi="Times New Roman" w:cs="Times New Roman" w:hint="eastAsia"/>
          <w:sz w:val="24"/>
          <w:szCs w:val="24"/>
          <w:lang w:val="en-GB"/>
        </w:rPr>
        <w:t>due to</w:t>
      </w:r>
      <w:r w:rsidRPr="008404B8">
        <w:rPr>
          <w:rFonts w:ascii="Times New Roman" w:hAnsi="Times New Roman" w:cs="Times New Roman"/>
          <w:sz w:val="24"/>
          <w:szCs w:val="24"/>
          <w:lang w:val="en-GB"/>
        </w:rPr>
        <w:t xml:space="preserve"> under-reporting of active smoking </w:t>
      </w:r>
      <w:r w:rsidR="007635A2" w:rsidRPr="008404B8">
        <w:rPr>
          <w:rFonts w:ascii="Times New Roman" w:hAnsi="Times New Roman" w:cs="Times New Roman" w:hint="eastAsia"/>
          <w:sz w:val="24"/>
          <w:szCs w:val="24"/>
          <w:lang w:val="en-GB"/>
        </w:rPr>
        <w:t>has been</w:t>
      </w:r>
      <w:r w:rsidRPr="008404B8">
        <w:rPr>
          <w:rFonts w:ascii="Times New Roman" w:hAnsi="Times New Roman" w:cs="Times New Roman"/>
          <w:sz w:val="24"/>
          <w:szCs w:val="24"/>
          <w:lang w:val="en-GB"/>
        </w:rPr>
        <w:t xml:space="preserve"> suggested</w:t>
      </w:r>
      <w:r w:rsidR="00D61F44" w:rsidRPr="008404B8">
        <w:rPr>
          <w:rFonts w:ascii="Times New Roman" w:hAnsi="Times New Roman" w:cs="Times New Roman" w:hint="eastAsia"/>
          <w:sz w:val="24"/>
          <w:szCs w:val="24"/>
          <w:lang w:val="en-GB"/>
        </w:rPr>
        <w:t xml:space="preserve"> </w:t>
      </w:r>
      <w:r w:rsidRPr="008404B8">
        <w:rPr>
          <w:rFonts w:ascii="Times New Roman" w:hAnsi="Times New Roman" w:cs="Times New Roman"/>
          <w:sz w:val="24"/>
          <w:szCs w:val="24"/>
          <w:lang w:val="en-GB"/>
        </w:rPr>
        <w:fldChar w:fldCharType="begin"/>
      </w:r>
      <w:r w:rsidR="00C52E9A" w:rsidRPr="008404B8">
        <w:rPr>
          <w:rFonts w:ascii="Times New Roman" w:hAnsi="Times New Roman" w:cs="Times New Roman"/>
          <w:sz w:val="24"/>
          <w:szCs w:val="24"/>
          <w:lang w:val="en-GB"/>
        </w:rPr>
        <w:instrText xml:space="preserve"> ADDIN EN.CITE &lt;EndNote&gt;&lt;Cite&gt;&lt;Author&gt;Jung&lt;/Author&gt;&lt;Year&gt;2015&lt;/Year&gt;&lt;RecNum&gt;20&lt;/RecNum&gt;&lt;DisplayText&gt;[7]&lt;/DisplayText&gt;&lt;record&gt;&lt;rec-number&gt;20&lt;/rec-number&gt;&lt;foreign-keys&gt;&lt;key app="EN" db-id="f220xfrd0fwav7ezwacvdtdzx992dpe5vsz9" timestamp="1678257351"&gt;20&lt;/key&gt;&lt;/foreign-keys&gt;&lt;ref-type name="Journal Article"&gt;17&lt;/ref-type&gt;&lt;contributors&gt;&lt;authors&gt;&lt;author&gt;Jung, Sun Jae&lt;/author&gt;&lt;author&gt;Shin, Aesun&lt;/author&gt;&lt;author&gt;Kang, Daehee&lt;/author&gt;&lt;/authors&gt;&lt;/contributors&gt;&lt;titles&gt;&lt;title&gt;Active smoking and exposure to secondhand smoke and their relationship to depressive symptoms in the Korea national health and nutrition examination survey (KNHANES)&lt;/title&gt;&lt;secondary-title&gt;BMC Public Health&lt;/secondary-title&gt;&lt;/titles&gt;&lt;periodical&gt;&lt;full-title&gt;BMC Public Health&lt;/full-title&gt;&lt;/periodical&gt;&lt;pages&gt;1-11&lt;/pages&gt;&lt;volume&gt;15&lt;/volume&gt;&lt;number&gt;1&lt;/number&gt;&lt;dates&gt;&lt;year&gt;2015&lt;/year&gt;&lt;/dates&gt;&lt;isbn&gt;1471-2458&lt;/isbn&gt;&lt;urls&gt;&lt;/urls&gt;&lt;/record&gt;&lt;/Cite&gt;&lt;/EndNote&gt;</w:instrText>
      </w:r>
      <w:r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[7]</w:t>
      </w:r>
      <w:r w:rsidRPr="008404B8">
        <w:rPr>
          <w:rFonts w:ascii="Times New Roman" w:hAnsi="Times New Roman" w:cs="Times New Roman"/>
          <w:sz w:val="24"/>
          <w:szCs w:val="24"/>
          <w:lang w:val="en-GB"/>
        </w:rPr>
        <w:fldChar w:fldCharType="end"/>
      </w:r>
      <w:r w:rsidR="00D61F44" w:rsidRPr="008404B8">
        <w:rPr>
          <w:rFonts w:ascii="Times New Roman" w:hAnsi="Times New Roman" w:cs="Times New Roman" w:hint="eastAsia"/>
          <w:sz w:val="24"/>
          <w:szCs w:val="24"/>
          <w:lang w:val="en-GB"/>
        </w:rPr>
        <w:t>,</w:t>
      </w:r>
      <w:r w:rsidRPr="008404B8">
        <w:rPr>
          <w:rFonts w:ascii="Times New Roman" w:hAnsi="Times New Roman" w:cs="Times New Roman"/>
          <w:sz w:val="24"/>
          <w:szCs w:val="24"/>
          <w:lang w:val="en-GB"/>
        </w:rPr>
        <w:t xml:space="preserve"> especially </w:t>
      </w:r>
      <w:r w:rsidR="007635A2" w:rsidRPr="008404B8">
        <w:rPr>
          <w:rFonts w:ascii="Times New Roman" w:hAnsi="Times New Roman" w:cs="Times New Roman" w:hint="eastAsia"/>
          <w:sz w:val="24"/>
          <w:szCs w:val="24"/>
          <w:lang w:val="en-GB"/>
        </w:rPr>
        <w:t>among</w:t>
      </w:r>
      <w:r w:rsidRPr="008404B8">
        <w:rPr>
          <w:rFonts w:ascii="Times New Roman" w:hAnsi="Times New Roman" w:cs="Times New Roman"/>
          <w:sz w:val="24"/>
          <w:szCs w:val="24"/>
          <w:lang w:val="en-GB"/>
        </w:rPr>
        <w:t xml:space="preserve"> Korean women</w:t>
      </w:r>
      <w:r w:rsidR="007635A2" w:rsidRPr="008404B8">
        <w:rPr>
          <w:rFonts w:ascii="Times New Roman" w:hAnsi="Times New Roman" w:cs="Times New Roman" w:hint="eastAsia"/>
          <w:sz w:val="24"/>
          <w:szCs w:val="24"/>
          <w:lang w:val="en-GB"/>
        </w:rPr>
        <w:t>,</w:t>
      </w:r>
      <w:r w:rsidRPr="008404B8">
        <w:rPr>
          <w:rFonts w:ascii="Times New Roman" w:hAnsi="Times New Roman" w:cs="Times New Roman"/>
          <w:sz w:val="24"/>
          <w:szCs w:val="24"/>
          <w:lang w:val="en-GB"/>
        </w:rPr>
        <w:t xml:space="preserve"> </w:t>
      </w:r>
      <w:r w:rsidR="007635A2" w:rsidRPr="008404B8">
        <w:rPr>
          <w:rFonts w:ascii="Times New Roman" w:hAnsi="Times New Roman" w:cs="Times New Roman" w:hint="eastAsia"/>
          <w:sz w:val="24"/>
          <w:szCs w:val="24"/>
          <w:lang w:val="en-GB"/>
        </w:rPr>
        <w:t xml:space="preserve">where up </w:t>
      </w:r>
      <w:r w:rsidRPr="008404B8">
        <w:rPr>
          <w:rFonts w:ascii="Times New Roman" w:hAnsi="Times New Roman" w:cs="Times New Roman"/>
          <w:sz w:val="24"/>
          <w:szCs w:val="24"/>
          <w:lang w:val="en-GB"/>
        </w:rPr>
        <w:t xml:space="preserve">to 59% of biomarker-verified smokers were hidden smokers (i.e., </w:t>
      </w:r>
      <w:r w:rsidR="007635A2" w:rsidRPr="008404B8">
        <w:rPr>
          <w:rFonts w:ascii="Times New Roman" w:hAnsi="Times New Roman" w:cs="Times New Roman" w:hint="eastAsia"/>
          <w:sz w:val="24"/>
          <w:szCs w:val="24"/>
          <w:lang w:val="en-GB"/>
        </w:rPr>
        <w:t xml:space="preserve">those who </w:t>
      </w:r>
      <w:r w:rsidRPr="008404B8">
        <w:rPr>
          <w:rFonts w:ascii="Times New Roman" w:hAnsi="Times New Roman" w:cs="Times New Roman"/>
          <w:sz w:val="24"/>
          <w:szCs w:val="24"/>
          <w:lang w:val="en-GB"/>
        </w:rPr>
        <w:t>self-reported as non-smokers)</w:t>
      </w:r>
      <w:r w:rsidR="00D61F44" w:rsidRPr="008404B8">
        <w:rPr>
          <w:rFonts w:ascii="Times New Roman" w:hAnsi="Times New Roman" w:cs="Times New Roman" w:hint="eastAsia"/>
          <w:sz w:val="24"/>
          <w:szCs w:val="24"/>
          <w:lang w:val="en-GB"/>
        </w:rPr>
        <w:t xml:space="preserve"> </w:t>
      </w:r>
      <w:r w:rsidRPr="008404B8">
        <w:rPr>
          <w:rFonts w:ascii="Times New Roman" w:hAnsi="Times New Roman" w:cs="Times New Roman"/>
          <w:sz w:val="24"/>
          <w:szCs w:val="24"/>
          <w:lang w:val="en-GB"/>
        </w:rPr>
        <w:fldChar w:fldCharType="begin"/>
      </w:r>
      <w:r w:rsidR="00C52E9A" w:rsidRPr="008404B8">
        <w:rPr>
          <w:rFonts w:ascii="Times New Roman" w:hAnsi="Times New Roman" w:cs="Times New Roman"/>
          <w:sz w:val="24"/>
          <w:szCs w:val="24"/>
          <w:lang w:val="en-GB"/>
        </w:rPr>
        <w:instrText xml:space="preserve"> ADDIN EN.CITE &lt;EndNote&gt;&lt;Cite&gt;&lt;Author&gt;Jung-Chio&lt;/Author&gt;&lt;Year&gt;2012&lt;/Year&gt;&lt;RecNum&gt;22&lt;/RecNum&gt;&lt;DisplayText&gt;[8]&lt;/DisplayText&gt;&lt;record&gt;&lt;rec-number&gt;22&lt;/rec-number&gt;&lt;foreign-keys&gt;&lt;key app="EN" db-id="f220xfrd0fwav7ezwacvdtdzx992dpe5vsz9" timestamp="1678258001"&gt;22&lt;/key&gt;&lt;/foreign-keys&gt;&lt;ref-type name="Journal Article"&gt;17&lt;/ref-type&gt;&lt;contributors&gt;&lt;authors&gt;&lt;author&gt;Jung-Chio, Kyung-Hee&lt;/author&gt;&lt;author&gt;Khang, Young-Ho&lt;/author&gt;&lt;author&gt;Cho, Hong-Jun&lt;/author&gt;&lt;/authors&gt;&lt;/contributors&gt;&lt;titles&gt;&lt;title&gt;Hidden female smokers in Asia: a comparison of self-reported with cotinine-verified smoking prevalence rates in representative national data from an Asian population&lt;/title&gt;&lt;secondary-title&gt;Tobacco control&lt;/secondary-title&gt;&lt;/titles&gt;&lt;periodical&gt;&lt;full-title&gt;Tobacco control&lt;/full-title&gt;&lt;/periodical&gt;&lt;pages&gt;536-542&lt;/pages&gt;&lt;volume&gt;21&lt;/volume&gt;&lt;number&gt;6&lt;/number&gt;&lt;dates&gt;&lt;year&gt;2012&lt;/year&gt;&lt;/dates&gt;&lt;isbn&gt;0964-4563&lt;/isbn&gt;&lt;urls&gt;&lt;/urls&gt;&lt;/record&gt;&lt;/Cite&gt;&lt;/EndNote&gt;</w:instrText>
      </w:r>
      <w:r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[8]</w:t>
      </w:r>
      <w:r w:rsidRPr="008404B8">
        <w:rPr>
          <w:rFonts w:ascii="Times New Roman" w:hAnsi="Times New Roman" w:cs="Times New Roman"/>
          <w:sz w:val="24"/>
          <w:szCs w:val="24"/>
          <w:lang w:val="en-GB"/>
        </w:rPr>
        <w:fldChar w:fldCharType="end"/>
      </w:r>
      <w:r w:rsidR="00D61F44" w:rsidRPr="008404B8">
        <w:rPr>
          <w:rFonts w:ascii="Times New Roman" w:hAnsi="Times New Roman" w:cs="Times New Roman" w:hint="eastAsia"/>
          <w:sz w:val="24"/>
          <w:szCs w:val="24"/>
          <w:lang w:val="en-GB"/>
        </w:rPr>
        <w:t>.</w:t>
      </w:r>
      <w:r w:rsidRPr="008404B8">
        <w:rPr>
          <w:rFonts w:ascii="Times New Roman" w:hAnsi="Times New Roman" w:cs="Times New Roman"/>
          <w:sz w:val="24"/>
          <w:szCs w:val="24"/>
          <w:lang w:val="en-GB"/>
        </w:rPr>
        <w:t xml:space="preserve"> Based on the </w:t>
      </w:r>
      <w:r w:rsidRPr="008404B8">
        <w:rPr>
          <w:rFonts w:ascii="Times New Roman" w:hAnsi="Times New Roman" w:cs="Times New Roman"/>
          <w:sz w:val="24"/>
          <w:szCs w:val="24"/>
          <w:lang w:val="en-GB"/>
        </w:rPr>
        <w:lastRenderedPageBreak/>
        <w:t xml:space="preserve">two available biomarkers, cotinine and NNAL, participants with cotinine&gt;20.9 ng/mL or NNAL&gt;8.9 </w:t>
      </w:r>
      <w:proofErr w:type="spellStart"/>
      <w:r w:rsidRPr="008404B8">
        <w:rPr>
          <w:rFonts w:ascii="Times New Roman" w:hAnsi="Times New Roman" w:cs="Times New Roman"/>
          <w:sz w:val="24"/>
          <w:szCs w:val="24"/>
          <w:lang w:val="en-GB"/>
        </w:rPr>
        <w:t>pg</w:t>
      </w:r>
      <w:proofErr w:type="spellEnd"/>
      <w:r w:rsidRPr="008404B8">
        <w:rPr>
          <w:rFonts w:ascii="Times New Roman" w:hAnsi="Times New Roman" w:cs="Times New Roman"/>
          <w:sz w:val="24"/>
          <w:szCs w:val="24"/>
          <w:lang w:val="en-GB"/>
        </w:rPr>
        <w:t>/mL were re-classified as current smokers and removed from the analytic dataset</w:t>
      </w:r>
      <w:r w:rsidR="00D61F44" w:rsidRPr="008404B8">
        <w:rPr>
          <w:rFonts w:ascii="Times New Roman" w:hAnsi="Times New Roman" w:cs="Times New Roman" w:hint="eastAsia"/>
          <w:sz w:val="24"/>
          <w:szCs w:val="24"/>
          <w:lang w:val="en-GB"/>
        </w:rPr>
        <w:t xml:space="preserve"> </w:t>
      </w:r>
      <w:r w:rsidRPr="008404B8">
        <w:rPr>
          <w:rFonts w:ascii="Times New Roman" w:hAnsi="Times New Roman" w:cs="Times New Roman"/>
          <w:sz w:val="24"/>
          <w:szCs w:val="24"/>
          <w:lang w:val="en-GB"/>
        </w:rPr>
        <w:fldChar w:fldCharType="begin"/>
      </w:r>
      <w:r w:rsidR="00C52E9A" w:rsidRPr="008404B8">
        <w:rPr>
          <w:rFonts w:ascii="Times New Roman" w:hAnsi="Times New Roman" w:cs="Times New Roman"/>
          <w:sz w:val="24"/>
          <w:szCs w:val="24"/>
          <w:lang w:val="en-GB"/>
        </w:rPr>
        <w:instrText xml:space="preserve"> ADDIN EN.CITE &lt;EndNote&gt;&lt;Cite&gt;&lt;Author&gt;Park&lt;/Author&gt;&lt;Year&gt;2022&lt;/Year&gt;&lt;RecNum&gt;21&lt;/RecNum&gt;&lt;DisplayText&gt;[9]&lt;/DisplayText&gt;&lt;record&gt;&lt;rec-number&gt;21&lt;/rec-number&gt;&lt;foreign-keys&gt;&lt;key app="EN" db-id="f220xfrd0fwav7ezwacvdtdzx992dpe5vsz9" timestamp="1678257941"&gt;21&lt;/key&gt;&lt;/foreign-keys&gt;&lt;ref-type name="Journal Article"&gt;17&lt;/ref-type&gt;&lt;contributors&gt;&lt;authors&gt;&lt;author&gt;Park, Eun Young&lt;/author&gt;&lt;author&gt;Lim, Min Kyung&lt;/author&gt;&lt;author&gt;Park, Eunjung&lt;/author&gt;&lt;author&gt;Kim, Yoonjung&lt;/author&gt;&lt;author&gt;Lee, Dohoon&lt;/author&gt;&lt;author&gt;Oh, Kyungwon&lt;/author&gt;&lt;/authors&gt;&lt;/contributors&gt;&lt;titles&gt;&lt;title&gt;Optimum Urine Cotinine and NNAL Levels to Distinguish Smokers from Non-Smokers by the Changes in Tobacco Control Policy in Korea from 2008 to 2018&lt;/title&gt;&lt;secondary-title&gt;Nicotine &amp;amp; Tobacco Research&lt;/secondary-title&gt;&lt;/titles&gt;&lt;periodical&gt;&lt;full-title&gt;Nicotine &amp;amp; Tobacco Research&lt;/full-title&gt;&lt;/periodical&gt;&lt;pages&gt;1821-1828&lt;/pages&gt;&lt;volume&gt;24&lt;/volume&gt;&lt;number&gt;11&lt;/number&gt;&lt;dates&gt;&lt;year&gt;2022&lt;/year&gt;&lt;/dates&gt;&lt;urls&gt;&lt;/urls&gt;&lt;/record&gt;&lt;/Cite&gt;&lt;/EndNote&gt;</w:instrText>
      </w:r>
      <w:r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[9]</w:t>
      </w:r>
      <w:r w:rsidRPr="008404B8">
        <w:rPr>
          <w:rFonts w:ascii="Times New Roman" w:hAnsi="Times New Roman" w:cs="Times New Roman"/>
          <w:sz w:val="24"/>
          <w:szCs w:val="24"/>
          <w:lang w:val="en-GB"/>
        </w:rPr>
        <w:fldChar w:fldCharType="end"/>
      </w:r>
      <w:r w:rsidR="00D61F44" w:rsidRPr="008404B8">
        <w:rPr>
          <w:rFonts w:ascii="Times New Roman" w:hAnsi="Times New Roman" w:cs="Times New Roman" w:hint="eastAsia"/>
          <w:sz w:val="24"/>
          <w:szCs w:val="24"/>
          <w:lang w:val="en-GB"/>
        </w:rPr>
        <w:t>.</w:t>
      </w:r>
    </w:p>
    <w:p w14:paraId="67D5AE88" w14:textId="77777777" w:rsidR="000C01E2" w:rsidRPr="008404B8" w:rsidRDefault="000C01E2" w:rsidP="000C01E2">
      <w:pPr>
        <w:widowControl/>
        <w:wordWrap/>
        <w:autoSpaceDE/>
        <w:autoSpaceDN/>
        <w:spacing w:after="0" w:line="480" w:lineRule="auto"/>
        <w:rPr>
          <w:rFonts w:ascii="Times New Roman" w:hAnsi="Times New Roman" w:cs="Times New Roman"/>
          <w:sz w:val="24"/>
          <w:szCs w:val="24"/>
          <w:lang w:val="en-GB"/>
        </w:rPr>
      </w:pPr>
    </w:p>
    <w:p w14:paraId="0B95851B" w14:textId="2D8FA9CA" w:rsidR="000C01E2" w:rsidRPr="008404B8" w:rsidRDefault="000C01E2" w:rsidP="000C01E2">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t xml:space="preserve">In addition, alternative outcome definitions were tested. First, different cut-off scores for the PHQ-9 were used. </w:t>
      </w:r>
      <w:r w:rsidR="006B0FDA" w:rsidRPr="008404B8">
        <w:rPr>
          <w:rFonts w:ascii="Times New Roman" w:hAnsi="Times New Roman" w:cs="Times New Roman"/>
          <w:sz w:val="24"/>
          <w:szCs w:val="24"/>
        </w:rPr>
        <w:t>Since the PHQ-9 can also assess depression of varying severities, a total score of 5 or above was used to examine mild depression, and 15 or above to examine moderately severe depression.</w:t>
      </w:r>
      <w:r w:rsidRPr="008404B8">
        <w:rPr>
          <w:rFonts w:ascii="Times New Roman" w:hAnsi="Times New Roman" w:cs="Times New Roman"/>
          <w:sz w:val="24"/>
          <w:szCs w:val="24"/>
          <w:lang w:val="en-GB"/>
        </w:rPr>
        <w:t xml:space="preserve"> </w:t>
      </w:r>
      <w:r w:rsidR="006B0FDA" w:rsidRPr="008404B8">
        <w:rPr>
          <w:rFonts w:ascii="Times New Roman" w:hAnsi="Times New Roman" w:cs="Times New Roman"/>
          <w:sz w:val="24"/>
          <w:szCs w:val="24"/>
        </w:rPr>
        <w:t>Moreover, since the dataset for our study is limited to years when the PHQ-9 was applied, self-reported depressive symptoms lasting over 2 weeks in the past year were used as an alternative outcome variable in 2015, 2017, 2019, and 2021 to extend our analysis to larger populations (N=34,517).</w:t>
      </w:r>
      <w:r w:rsidR="006B0FDA" w:rsidRPr="008404B8">
        <w:rPr>
          <w:rFonts w:ascii="Times New Roman" w:hAnsi="Times New Roman" w:cs="Times New Roman" w:hint="eastAsia"/>
          <w:sz w:val="24"/>
          <w:szCs w:val="24"/>
        </w:rPr>
        <w:t xml:space="preserve"> </w:t>
      </w:r>
      <w:r w:rsidR="006B0FDA" w:rsidRPr="008404B8">
        <w:rPr>
          <w:rFonts w:ascii="Times New Roman" w:hAnsi="Times New Roman" w:cs="Times New Roman"/>
          <w:sz w:val="24"/>
          <w:szCs w:val="24"/>
        </w:rPr>
        <w:t>To match the outcome definitions above, the second question of the PHQ-9</w:t>
      </w:r>
      <w:r w:rsidR="006B0FDA" w:rsidRPr="008404B8">
        <w:rPr>
          <w:rFonts w:ascii="Times New Roman" w:hAnsi="Times New Roman" w:cs="Times New Roman" w:hint="eastAsia"/>
          <w:sz w:val="24"/>
          <w:szCs w:val="24"/>
        </w:rPr>
        <w:t xml:space="preserve"> </w:t>
      </w:r>
      <w:r w:rsidRPr="008404B8">
        <w:rPr>
          <w:rFonts w:ascii="Times New Roman" w:hAnsi="Times New Roman" w:cs="Times New Roman"/>
          <w:sz w:val="24"/>
          <w:szCs w:val="24"/>
          <w:lang w:val="en-GB"/>
        </w:rPr>
        <w:t xml:space="preserve">("Over the last 2 weeks, how often have you been bothered by feeling down, depressed, or hopeless?") was used for </w:t>
      </w:r>
      <w:r w:rsidR="006B0FDA" w:rsidRPr="008404B8">
        <w:rPr>
          <w:rFonts w:ascii="Times New Roman" w:hAnsi="Times New Roman" w:cs="Times New Roman" w:hint="eastAsia"/>
          <w:sz w:val="24"/>
          <w:szCs w:val="24"/>
          <w:lang w:val="en-GB"/>
        </w:rPr>
        <w:t xml:space="preserve">the </w:t>
      </w:r>
      <w:r w:rsidRPr="008404B8">
        <w:rPr>
          <w:rFonts w:ascii="Times New Roman" w:hAnsi="Times New Roman" w:cs="Times New Roman"/>
          <w:sz w:val="24"/>
          <w:szCs w:val="24"/>
          <w:lang w:val="en-GB"/>
        </w:rPr>
        <w:t xml:space="preserve">years 2014, 2016, 2018, and 2020 to identify self-reported depressive symptoms. Participants who answered </w:t>
      </w:r>
      <w:r w:rsidR="006B0FDA" w:rsidRPr="008404B8">
        <w:rPr>
          <w:rFonts w:ascii="Times New Roman" w:hAnsi="Times New Roman" w:cs="Times New Roman"/>
          <w:sz w:val="24"/>
          <w:szCs w:val="24"/>
          <w:lang w:val="en-GB"/>
        </w:rPr>
        <w:t>‘</w:t>
      </w:r>
      <w:r w:rsidRPr="008404B8">
        <w:rPr>
          <w:rFonts w:ascii="Times New Roman" w:hAnsi="Times New Roman" w:cs="Times New Roman"/>
          <w:sz w:val="24"/>
          <w:szCs w:val="24"/>
          <w:lang w:val="en-GB"/>
        </w:rPr>
        <w:t>not at all</w:t>
      </w:r>
      <w:r w:rsidR="006B0FDA" w:rsidRPr="008404B8">
        <w:rPr>
          <w:rFonts w:ascii="Times New Roman" w:hAnsi="Times New Roman" w:cs="Times New Roman"/>
          <w:sz w:val="24"/>
          <w:szCs w:val="24"/>
          <w:lang w:val="en-GB"/>
        </w:rPr>
        <w:t>’</w:t>
      </w:r>
      <w:r w:rsidRPr="008404B8">
        <w:rPr>
          <w:rFonts w:ascii="Times New Roman" w:hAnsi="Times New Roman" w:cs="Times New Roman"/>
          <w:sz w:val="24"/>
          <w:szCs w:val="24"/>
          <w:lang w:val="en-GB"/>
        </w:rPr>
        <w:t xml:space="preserve"> were classified as the reference group, while other</w:t>
      </w:r>
      <w:r w:rsidR="006B0FDA" w:rsidRPr="008404B8">
        <w:rPr>
          <w:rFonts w:ascii="Times New Roman" w:hAnsi="Times New Roman" w:cs="Times New Roman" w:hint="eastAsia"/>
          <w:sz w:val="24"/>
          <w:szCs w:val="24"/>
          <w:lang w:val="en-GB"/>
        </w:rPr>
        <w:t>s</w:t>
      </w:r>
      <w:r w:rsidRPr="008404B8">
        <w:rPr>
          <w:rFonts w:ascii="Times New Roman" w:hAnsi="Times New Roman" w:cs="Times New Roman"/>
          <w:sz w:val="24"/>
          <w:szCs w:val="24"/>
          <w:lang w:val="en-GB"/>
        </w:rPr>
        <w:t xml:space="preserve"> were classified as experiencing depressive symptoms.</w:t>
      </w:r>
      <w:r w:rsidR="00F212A3" w:rsidRPr="008404B8">
        <w:rPr>
          <w:rFonts w:ascii="Times New Roman" w:hAnsi="Times New Roman" w:cs="Times New Roman" w:hint="eastAsia"/>
          <w:sz w:val="24"/>
          <w:szCs w:val="24"/>
          <w:lang w:val="en-GB"/>
        </w:rPr>
        <w:t xml:space="preserve"> </w:t>
      </w:r>
      <w:bookmarkStart w:id="5" w:name="_Hlk178498676"/>
      <w:r w:rsidR="00F212A3" w:rsidRPr="008404B8">
        <w:rPr>
          <w:rFonts w:ascii="Times New Roman" w:hAnsi="Times New Roman" w:cs="Times New Roman"/>
          <w:sz w:val="24"/>
          <w:szCs w:val="24"/>
          <w:lang w:val="en-GB"/>
        </w:rPr>
        <w:t>In addition, we also tested whether both the years 2014, 2016, 2018, and 2020 and years 2015, 2017, 2019, and 2021 showed similar results with the original analysis separately.</w:t>
      </w:r>
      <w:bookmarkEnd w:id="5"/>
    </w:p>
    <w:p w14:paraId="02200D4B" w14:textId="77777777" w:rsidR="000C01E2" w:rsidRPr="008404B8" w:rsidRDefault="000C01E2" w:rsidP="000C01E2">
      <w:pPr>
        <w:widowControl/>
        <w:wordWrap/>
        <w:autoSpaceDE/>
        <w:autoSpaceDN/>
        <w:spacing w:after="0" w:line="480" w:lineRule="auto"/>
        <w:rPr>
          <w:rFonts w:ascii="Times New Roman" w:hAnsi="Times New Roman" w:cs="Times New Roman"/>
          <w:sz w:val="24"/>
          <w:szCs w:val="24"/>
          <w:lang w:val="en-GB"/>
        </w:rPr>
      </w:pPr>
    </w:p>
    <w:p w14:paraId="22AA975E" w14:textId="5A6EF71F" w:rsidR="000C01E2" w:rsidRPr="008404B8" w:rsidRDefault="000C01E2" w:rsidP="000C01E2">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t xml:space="preserve">Finally, since the original analysis is based on a complete case analysis (N=16,926), multiple imputation (PROC MI) was used to obtain a </w:t>
      </w:r>
      <w:r w:rsidR="006B0FDA" w:rsidRPr="008404B8">
        <w:rPr>
          <w:rFonts w:ascii="Times New Roman" w:hAnsi="Times New Roman" w:cs="Times New Roman" w:hint="eastAsia"/>
          <w:sz w:val="24"/>
          <w:szCs w:val="24"/>
          <w:lang w:val="en-GB"/>
        </w:rPr>
        <w:t>potentially</w:t>
      </w:r>
      <w:r w:rsidR="006B0FDA"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less biased association. The imputation process estimated the missing variables for the adult non- and ex-smoker population (N=19,046). A fully conditional specification method for imputation was </w:t>
      </w:r>
      <w:r w:rsidR="006B0FDA" w:rsidRPr="008404B8">
        <w:rPr>
          <w:rFonts w:ascii="Times New Roman" w:hAnsi="Times New Roman" w:cs="Times New Roman" w:hint="eastAsia"/>
          <w:sz w:val="24"/>
          <w:szCs w:val="24"/>
          <w:lang w:val="en-GB"/>
        </w:rPr>
        <w:t>employed</w:t>
      </w:r>
      <w:r w:rsidR="006B0FDA"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while accounting for the complex survey structure by using survey weight</w:t>
      </w:r>
      <w:r w:rsidR="006B0FDA" w:rsidRPr="008404B8">
        <w:rPr>
          <w:rFonts w:ascii="Times New Roman" w:hAnsi="Times New Roman" w:cs="Times New Roman" w:hint="eastAsia"/>
          <w:sz w:val="24"/>
          <w:szCs w:val="24"/>
          <w:lang w:val="en-GB"/>
        </w:rPr>
        <w:t>s</w:t>
      </w:r>
      <w:r w:rsidRPr="008404B8">
        <w:rPr>
          <w:rFonts w:ascii="Times New Roman" w:hAnsi="Times New Roman" w:cs="Times New Roman"/>
          <w:sz w:val="24"/>
          <w:szCs w:val="24"/>
          <w:lang w:val="en-GB"/>
        </w:rPr>
        <w:t xml:space="preserve"> and combined strata-cluster as variables</w:t>
      </w:r>
      <w:r w:rsidR="00D61F44" w:rsidRPr="008404B8">
        <w:rPr>
          <w:rFonts w:ascii="Times New Roman" w:hAnsi="Times New Roman" w:cs="Times New Roman" w:hint="eastAsia"/>
          <w:sz w:val="24"/>
          <w:szCs w:val="24"/>
          <w:lang w:val="en-GB"/>
        </w:rPr>
        <w:t xml:space="preserve"> </w:t>
      </w:r>
      <w:r w:rsidRPr="008404B8">
        <w:rPr>
          <w:rFonts w:ascii="Times New Roman" w:hAnsi="Times New Roman" w:cs="Times New Roman"/>
          <w:sz w:val="24"/>
          <w:szCs w:val="24"/>
          <w:lang w:val="en-GB"/>
        </w:rPr>
        <w:fldChar w:fldCharType="begin">
          <w:fldData xml:space="preserve">PEVuZE5vdGU+PENpdGU+PEF1dGhvcj5IZTwvQXV0aG9yPjxZZWFyPjIwMjM8L1llYXI+PFJlY051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</w:fldData>
        </w:fldChar>
      </w:r>
      <w:r w:rsidR="00C52E9A" w:rsidRPr="008404B8">
        <w:rPr>
          <w:rFonts w:ascii="Times New Roman" w:hAnsi="Times New Roman" w:cs="Times New Roman"/>
          <w:sz w:val="24"/>
          <w:szCs w:val="24"/>
          <w:lang w:val="en-GB"/>
        </w:rPr>
        <w:instrText xml:space="preserve"> ADDIN EN.CITE </w:instrText>
      </w:r>
      <w:r w:rsidR="00C52E9A" w:rsidRPr="008404B8">
        <w:rPr>
          <w:rFonts w:ascii="Times New Roman" w:hAnsi="Times New Roman" w:cs="Times New Roman"/>
          <w:sz w:val="24"/>
          <w:szCs w:val="24"/>
          <w:lang w:val="en-GB"/>
        </w:rPr>
        <w:fldChar w:fldCharType="begin">
          <w:fldData xml:space="preserve">PEVuZE5vdGU+PENpdGU+PEF1dGhvcj5IZTwvQXV0aG9yPjxZZWFyPjIwMjM8L1llYXI+PFJlY051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</w:fldData>
        </w:fldChar>
      </w:r>
      <w:r w:rsidR="00C52E9A" w:rsidRPr="008404B8">
        <w:rPr>
          <w:rFonts w:ascii="Times New Roman" w:hAnsi="Times New Roman" w:cs="Times New Roman"/>
          <w:sz w:val="24"/>
          <w:szCs w:val="24"/>
          <w:lang w:val="en-GB"/>
        </w:rPr>
        <w:instrText xml:space="preserve"> ADDIN EN.CITE.DATA </w:instrText>
      </w:r>
      <w:r w:rsidR="00C52E9A" w:rsidRPr="008404B8">
        <w:rPr>
          <w:rFonts w:ascii="Times New Roman" w:hAnsi="Times New Roman" w:cs="Times New Roman"/>
          <w:sz w:val="24"/>
          <w:szCs w:val="24"/>
          <w:lang w:val="en-GB"/>
        </w:rPr>
      </w:r>
      <w:r w:rsidR="00C52E9A" w:rsidRPr="008404B8">
        <w:rPr>
          <w:rFonts w:ascii="Times New Roman" w:hAnsi="Times New Roman" w:cs="Times New Roman"/>
          <w:sz w:val="24"/>
          <w:szCs w:val="24"/>
          <w:lang w:val="en-GB"/>
        </w:rPr>
        <w:fldChar w:fldCharType="end"/>
      </w:r>
      <w:r w:rsidRPr="008404B8">
        <w:rPr>
          <w:rFonts w:ascii="Times New Roman" w:hAnsi="Times New Roman" w:cs="Times New Roman"/>
          <w:sz w:val="24"/>
          <w:szCs w:val="24"/>
          <w:lang w:val="en-GB"/>
        </w:rPr>
      </w:r>
      <w:r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[10-12]</w:t>
      </w:r>
      <w:r w:rsidRPr="008404B8">
        <w:rPr>
          <w:rFonts w:ascii="Times New Roman" w:hAnsi="Times New Roman" w:cs="Times New Roman"/>
          <w:sz w:val="24"/>
          <w:szCs w:val="24"/>
          <w:lang w:val="en-GB"/>
        </w:rPr>
        <w:fldChar w:fldCharType="end"/>
      </w:r>
      <w:r w:rsidR="00D61F44" w:rsidRPr="008404B8">
        <w:rPr>
          <w:rFonts w:ascii="Times New Roman" w:hAnsi="Times New Roman" w:cs="Times New Roman" w:hint="eastAsia"/>
          <w:sz w:val="24"/>
          <w:szCs w:val="24"/>
          <w:lang w:val="en-GB"/>
        </w:rPr>
        <w:t>.</w:t>
      </w:r>
      <w:r w:rsidRPr="008404B8">
        <w:rPr>
          <w:rFonts w:ascii="Times New Roman" w:hAnsi="Times New Roman" w:cs="Times New Roman"/>
          <w:sz w:val="24"/>
          <w:szCs w:val="24"/>
          <w:lang w:val="en-GB"/>
        </w:rPr>
        <w:t xml:space="preserve"> All variables included in the main analysis were also </w:t>
      </w:r>
      <w:r w:rsidR="006B0FDA" w:rsidRPr="008404B8">
        <w:rPr>
          <w:rFonts w:ascii="Times New Roman" w:hAnsi="Times New Roman" w:cs="Times New Roman" w:hint="eastAsia"/>
          <w:sz w:val="24"/>
          <w:szCs w:val="24"/>
          <w:lang w:val="en-GB"/>
        </w:rPr>
        <w:t>utilized</w:t>
      </w:r>
      <w:r w:rsidR="006B0FDA"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in the model. Imputation was </w:t>
      </w:r>
      <w:r w:rsidR="006B0FDA" w:rsidRPr="008404B8">
        <w:rPr>
          <w:rFonts w:ascii="Times New Roman" w:hAnsi="Times New Roman" w:cs="Times New Roman" w:hint="eastAsia"/>
          <w:sz w:val="24"/>
          <w:szCs w:val="24"/>
          <w:lang w:val="en-GB"/>
        </w:rPr>
        <w:t>performed</w:t>
      </w:r>
      <w:r w:rsidR="006B0FDA"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in order from the least (i.e., perceived </w:t>
      </w:r>
      <w:proofErr w:type="spellStart"/>
      <w:r w:rsidRPr="008404B8">
        <w:rPr>
          <w:rFonts w:ascii="Times New Roman" w:hAnsi="Times New Roman" w:cs="Times New Roman"/>
          <w:sz w:val="24"/>
          <w:szCs w:val="24"/>
          <w:lang w:val="en-GB"/>
        </w:rPr>
        <w:t>secondhand</w:t>
      </w:r>
      <w:proofErr w:type="spellEnd"/>
      <w:r w:rsidRPr="008404B8">
        <w:rPr>
          <w:rFonts w:ascii="Times New Roman" w:hAnsi="Times New Roman" w:cs="Times New Roman"/>
          <w:sz w:val="24"/>
          <w:szCs w:val="24"/>
          <w:lang w:val="en-GB"/>
        </w:rPr>
        <w:t xml:space="preserve"> smoke, </w:t>
      </w:r>
      <w:r w:rsidRPr="008404B8">
        <w:rPr>
          <w:rFonts w:ascii="Times New Roman" w:hAnsi="Times New Roman" w:cs="Times New Roman"/>
          <w:sz w:val="24"/>
          <w:szCs w:val="24"/>
          <w:lang w:val="en-GB"/>
        </w:rPr>
        <w:lastRenderedPageBreak/>
        <w:t xml:space="preserve">cases with missing N=7) to </w:t>
      </w:r>
      <w:r w:rsidR="006B0FDA" w:rsidRPr="008404B8">
        <w:rPr>
          <w:rFonts w:ascii="Times New Roman" w:hAnsi="Times New Roman" w:cs="Times New Roman" w:hint="eastAsia"/>
          <w:sz w:val="24"/>
          <w:szCs w:val="24"/>
          <w:lang w:val="en-GB"/>
        </w:rPr>
        <w:t xml:space="preserve">the </w:t>
      </w:r>
      <w:r w:rsidRPr="008404B8">
        <w:rPr>
          <w:rFonts w:ascii="Times New Roman" w:hAnsi="Times New Roman" w:cs="Times New Roman"/>
          <w:sz w:val="24"/>
          <w:szCs w:val="24"/>
          <w:lang w:val="en-GB"/>
        </w:rPr>
        <w:t xml:space="preserve">most (i.e., depression, cases with missing N=1,102) frequently missing variable. Continuous variables were imputed </w:t>
      </w:r>
      <w:r w:rsidR="006B0FDA" w:rsidRPr="008404B8">
        <w:rPr>
          <w:rFonts w:ascii="Times New Roman" w:hAnsi="Times New Roman" w:cs="Times New Roman" w:hint="eastAsia"/>
          <w:sz w:val="24"/>
          <w:szCs w:val="24"/>
          <w:lang w:val="en-GB"/>
        </w:rPr>
        <w:t>using</w:t>
      </w:r>
      <w:r w:rsidR="006B0FDA"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the predictive mean matching linear regression method, binary and ordinal variables with the logistic regression method, and nominal variables with the discriminant function method</w:t>
      </w:r>
      <w:r w:rsidR="00D61F44" w:rsidRPr="008404B8">
        <w:rPr>
          <w:rFonts w:ascii="Times New Roman" w:hAnsi="Times New Roman" w:cs="Times New Roman" w:hint="eastAsia"/>
          <w:sz w:val="24"/>
          <w:szCs w:val="24"/>
          <w:lang w:val="en-GB"/>
        </w:rPr>
        <w:t xml:space="preserve"> </w:t>
      </w:r>
      <w:r w:rsidRPr="008404B8">
        <w:rPr>
          <w:rFonts w:ascii="Times New Roman" w:hAnsi="Times New Roman" w:cs="Times New Roman"/>
          <w:sz w:val="24"/>
          <w:szCs w:val="24"/>
          <w:lang w:val="en-GB"/>
        </w:rPr>
        <w:fldChar w:fldCharType="begin">
          <w:fldData xml:space="preserve">PEVuZE5vdGU+PENpdGU+PEF1dGhvcj5IZTwvQXV0aG9yPjxZZWFyPjIwMjM8L1llYXI+PFJlY051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</w:fldData>
        </w:fldChar>
      </w:r>
      <w:r w:rsidR="00C52E9A" w:rsidRPr="008404B8">
        <w:rPr>
          <w:rFonts w:ascii="Times New Roman" w:hAnsi="Times New Roman" w:cs="Times New Roman"/>
          <w:sz w:val="24"/>
          <w:szCs w:val="24"/>
          <w:lang w:val="en-GB"/>
        </w:rPr>
        <w:instrText xml:space="preserve"> ADDIN EN.CITE </w:instrText>
      </w:r>
      <w:r w:rsidR="00C52E9A" w:rsidRPr="008404B8">
        <w:rPr>
          <w:rFonts w:ascii="Times New Roman" w:hAnsi="Times New Roman" w:cs="Times New Roman"/>
          <w:sz w:val="24"/>
          <w:szCs w:val="24"/>
          <w:lang w:val="en-GB"/>
        </w:rPr>
        <w:fldChar w:fldCharType="begin">
          <w:fldData xml:space="preserve">PEVuZE5vdGU+PENpdGU+PEF1dGhvcj5IZTwvQXV0aG9yPjxZZWFyPjIwMjM8L1llYXI+PFJlY051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</w:fldData>
        </w:fldChar>
      </w:r>
      <w:r w:rsidR="00C52E9A" w:rsidRPr="008404B8">
        <w:rPr>
          <w:rFonts w:ascii="Times New Roman" w:hAnsi="Times New Roman" w:cs="Times New Roman"/>
          <w:sz w:val="24"/>
          <w:szCs w:val="24"/>
          <w:lang w:val="en-GB"/>
        </w:rPr>
        <w:instrText xml:space="preserve"> ADDIN EN.CITE.DATA </w:instrText>
      </w:r>
      <w:r w:rsidR="00C52E9A" w:rsidRPr="008404B8">
        <w:rPr>
          <w:rFonts w:ascii="Times New Roman" w:hAnsi="Times New Roman" w:cs="Times New Roman"/>
          <w:sz w:val="24"/>
          <w:szCs w:val="24"/>
          <w:lang w:val="en-GB"/>
        </w:rPr>
      </w:r>
      <w:r w:rsidR="00C52E9A" w:rsidRPr="008404B8">
        <w:rPr>
          <w:rFonts w:ascii="Times New Roman" w:hAnsi="Times New Roman" w:cs="Times New Roman"/>
          <w:sz w:val="24"/>
          <w:szCs w:val="24"/>
          <w:lang w:val="en-GB"/>
        </w:rPr>
        <w:fldChar w:fldCharType="end"/>
      </w:r>
      <w:r w:rsidRPr="008404B8">
        <w:rPr>
          <w:rFonts w:ascii="Times New Roman" w:hAnsi="Times New Roman" w:cs="Times New Roman"/>
          <w:sz w:val="24"/>
          <w:szCs w:val="24"/>
          <w:lang w:val="en-GB"/>
        </w:rPr>
      </w:r>
      <w:r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[10-12]</w:t>
      </w:r>
      <w:r w:rsidRPr="008404B8">
        <w:rPr>
          <w:rFonts w:ascii="Times New Roman" w:hAnsi="Times New Roman" w:cs="Times New Roman"/>
          <w:sz w:val="24"/>
          <w:szCs w:val="24"/>
          <w:lang w:val="en-GB"/>
        </w:rPr>
        <w:fldChar w:fldCharType="end"/>
      </w:r>
      <w:r w:rsidR="00D61F44" w:rsidRPr="008404B8">
        <w:rPr>
          <w:rFonts w:ascii="Times New Roman" w:hAnsi="Times New Roman" w:cs="Times New Roman" w:hint="eastAsia"/>
          <w:sz w:val="24"/>
          <w:szCs w:val="24"/>
          <w:lang w:val="en-GB"/>
        </w:rPr>
        <w:t>.</w:t>
      </w:r>
      <w:r w:rsidRPr="008404B8">
        <w:rPr>
          <w:rFonts w:ascii="Times New Roman" w:hAnsi="Times New Roman" w:cs="Times New Roman"/>
          <w:sz w:val="24"/>
          <w:szCs w:val="24"/>
          <w:lang w:val="en-GB"/>
        </w:rPr>
        <w:t xml:space="preserve"> Regression results from 25 imputed datasets were combined (PROC MIANALYZE) to estimate the association between perceived </w:t>
      </w:r>
      <w:proofErr w:type="spellStart"/>
      <w:r w:rsidRPr="008404B8">
        <w:rPr>
          <w:rFonts w:ascii="Times New Roman" w:hAnsi="Times New Roman" w:cs="Times New Roman"/>
          <w:sz w:val="24"/>
          <w:szCs w:val="24"/>
          <w:lang w:val="en-GB"/>
        </w:rPr>
        <w:t>secondhand</w:t>
      </w:r>
      <w:proofErr w:type="spellEnd"/>
      <w:r w:rsidRPr="008404B8">
        <w:rPr>
          <w:rFonts w:ascii="Times New Roman" w:hAnsi="Times New Roman" w:cs="Times New Roman"/>
          <w:sz w:val="24"/>
          <w:szCs w:val="24"/>
          <w:lang w:val="en-GB"/>
        </w:rPr>
        <w:t xml:space="preserve"> smoke and depression. A randomly chosen fixed seed was used </w:t>
      </w:r>
      <w:r w:rsidR="006B0FDA" w:rsidRPr="008404B8">
        <w:rPr>
          <w:rFonts w:ascii="Times New Roman" w:hAnsi="Times New Roman" w:cs="Times New Roman"/>
          <w:sz w:val="24"/>
          <w:szCs w:val="24"/>
        </w:rPr>
        <w:t>to ensure the</w:t>
      </w:r>
      <w:r w:rsidRPr="008404B8">
        <w:rPr>
          <w:rFonts w:ascii="Times New Roman" w:hAnsi="Times New Roman" w:cs="Times New Roman"/>
          <w:sz w:val="24"/>
          <w:szCs w:val="24"/>
          <w:lang w:val="en-GB"/>
        </w:rPr>
        <w:t xml:space="preserve"> replicability of the study.</w:t>
      </w:r>
    </w:p>
    <w:p w14:paraId="4A6C1C25" w14:textId="25C008E8" w:rsidR="00FD75BF" w:rsidRPr="008404B8" w:rsidRDefault="00FD75BF">
      <w:pPr>
        <w:widowControl/>
        <w:wordWrap/>
        <w:autoSpaceDE/>
        <w:autoSpaceDN/>
        <w:spacing w:line="259"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br w:type="page"/>
      </w:r>
    </w:p>
    <w:p w14:paraId="53227988" w14:textId="6E0B4B2F" w:rsidR="002B71C4" w:rsidRPr="008404B8" w:rsidRDefault="00FD75BF" w:rsidP="002B71C4">
      <w:pPr>
        <w:widowControl/>
        <w:wordWrap/>
        <w:autoSpaceDE/>
        <w:autoSpaceDN/>
        <w:spacing w:after="0" w:line="480" w:lineRule="auto"/>
        <w:rPr>
          <w:rFonts w:ascii="Times New Roman" w:hAnsi="Times New Roman" w:cs="Times New Roman"/>
          <w:b/>
          <w:bCs/>
          <w:sz w:val="24"/>
          <w:szCs w:val="24"/>
          <w:lang w:val="en-GB"/>
        </w:rPr>
      </w:pPr>
      <w:proofErr w:type="spellStart"/>
      <w:r w:rsidRPr="008404B8">
        <w:rPr>
          <w:rFonts w:ascii="Times New Roman" w:hAnsi="Times New Roman" w:cs="Times New Roman" w:hint="eastAsia"/>
          <w:b/>
          <w:bCs/>
          <w:sz w:val="24"/>
          <w:szCs w:val="24"/>
          <w:lang w:val="en-GB"/>
        </w:rPr>
        <w:lastRenderedPageBreak/>
        <w:t>e</w:t>
      </w:r>
      <w:r w:rsidRPr="008404B8">
        <w:rPr>
          <w:rFonts w:ascii="Times New Roman" w:hAnsi="Times New Roman" w:cs="Times New Roman"/>
          <w:b/>
          <w:bCs/>
          <w:sz w:val="24"/>
          <w:szCs w:val="24"/>
          <w:lang w:val="en-GB"/>
        </w:rPr>
        <w:t>Methods</w:t>
      </w:r>
      <w:proofErr w:type="spellEnd"/>
      <w:r w:rsidRPr="008404B8">
        <w:rPr>
          <w:rFonts w:ascii="Times New Roman" w:hAnsi="Times New Roman" w:cs="Times New Roman"/>
          <w:b/>
          <w:bCs/>
          <w:sz w:val="24"/>
          <w:szCs w:val="24"/>
          <w:lang w:val="en-GB"/>
        </w:rPr>
        <w:t xml:space="preserve"> </w:t>
      </w:r>
      <w:r w:rsidR="00C52E9A" w:rsidRPr="008404B8">
        <w:rPr>
          <w:rFonts w:ascii="Times New Roman" w:hAnsi="Times New Roman" w:cs="Times New Roman" w:hint="eastAsia"/>
          <w:b/>
          <w:bCs/>
          <w:sz w:val="24"/>
          <w:szCs w:val="24"/>
          <w:lang w:val="en-GB"/>
        </w:rPr>
        <w:t>4</w:t>
      </w:r>
      <w:r w:rsidRPr="008404B8">
        <w:rPr>
          <w:rFonts w:ascii="Times New Roman" w:hAnsi="Times New Roman" w:cs="Times New Roman"/>
          <w:b/>
          <w:bCs/>
          <w:sz w:val="24"/>
          <w:szCs w:val="24"/>
          <w:lang w:val="en-GB"/>
        </w:rPr>
        <w:t>.</w:t>
      </w:r>
      <w:r w:rsidR="00DF48B7" w:rsidRPr="008404B8">
        <w:rPr>
          <w:rFonts w:ascii="Times New Roman" w:hAnsi="Times New Roman" w:cs="Times New Roman"/>
          <w:b/>
          <w:bCs/>
          <w:sz w:val="24"/>
          <w:szCs w:val="24"/>
          <w:lang w:val="en-GB"/>
        </w:rPr>
        <w:t xml:space="preserve"> Negative control analysis</w:t>
      </w:r>
    </w:p>
    <w:p w14:paraId="4D5EB812" w14:textId="1E1068FE" w:rsidR="00FD75BF" w:rsidRPr="008404B8" w:rsidRDefault="00FD75BF" w:rsidP="00FD75BF">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t xml:space="preserve">Two types of negative control outcomes were selected to ensure the validity of the study design. </w:t>
      </w:r>
      <w:r w:rsidR="006B0FDA" w:rsidRPr="008404B8">
        <w:rPr>
          <w:rFonts w:ascii="Times New Roman" w:hAnsi="Times New Roman" w:cs="Times New Roman"/>
          <w:sz w:val="24"/>
          <w:szCs w:val="24"/>
        </w:rPr>
        <w:t>This approach was taken because both the psychological effects due to the perception of secondhand smoke exposure and the direct biological effects of secondhand smoke are proposed as harmful effects of secondhand smoke.</w:t>
      </w:r>
      <w:r w:rsidR="006B0FDA" w:rsidRPr="008404B8">
        <w:rPr>
          <w:rFonts w:ascii="Times New Roman" w:hAnsi="Times New Roman" w:cs="Times New Roman" w:hint="eastAsia"/>
          <w:sz w:val="24"/>
          <w:szCs w:val="24"/>
        </w:rPr>
        <w:t xml:space="preserve"> </w:t>
      </w:r>
      <w:r w:rsidRPr="008404B8">
        <w:rPr>
          <w:rFonts w:ascii="Times New Roman" w:hAnsi="Times New Roman" w:cs="Times New Roman"/>
          <w:sz w:val="24"/>
          <w:szCs w:val="24"/>
          <w:lang w:val="en-GB"/>
        </w:rPr>
        <w:t xml:space="preserve">The first type of negative control outcome consists of non-psychiatric, non-respiratory outcomes with a clear cause of the </w:t>
      </w:r>
      <w:r w:rsidR="006B0FDA" w:rsidRPr="008404B8">
        <w:rPr>
          <w:rFonts w:ascii="Times New Roman" w:hAnsi="Times New Roman" w:cs="Times New Roman" w:hint="eastAsia"/>
          <w:sz w:val="24"/>
          <w:szCs w:val="24"/>
          <w:lang w:val="en-GB"/>
        </w:rPr>
        <w:t>outcome</w:t>
      </w:r>
      <w:r w:rsidR="006B0FDA" w:rsidRPr="008404B8">
        <w:rPr>
          <w:rFonts w:ascii="Times New Roman" w:hAnsi="Times New Roman" w:cs="Times New Roman"/>
          <w:sz w:val="24"/>
          <w:szCs w:val="24"/>
          <w:lang w:val="en-GB"/>
        </w:rPr>
        <w:t xml:space="preserve"> </w:t>
      </w:r>
      <w:r w:rsidR="006B0FDA" w:rsidRPr="008404B8">
        <w:rPr>
          <w:rFonts w:ascii="Times New Roman" w:hAnsi="Times New Roman" w:cs="Times New Roman" w:hint="eastAsia"/>
          <w:sz w:val="24"/>
          <w:szCs w:val="24"/>
          <w:lang w:val="en-GB"/>
        </w:rPr>
        <w:t>other than</w:t>
      </w:r>
      <w:r w:rsidR="006B0FDA"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tobacco smoke. </w:t>
      </w:r>
      <w:r w:rsidR="006B0FDA" w:rsidRPr="008404B8">
        <w:rPr>
          <w:rFonts w:ascii="Times New Roman" w:hAnsi="Times New Roman" w:cs="Times New Roman" w:hint="eastAsia"/>
          <w:sz w:val="24"/>
          <w:szCs w:val="24"/>
          <w:lang w:val="en-GB"/>
        </w:rPr>
        <w:t>The second</w:t>
      </w:r>
      <w:r w:rsidR="006B0FDA"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type of negative control outcome </w:t>
      </w:r>
      <w:r w:rsidR="006B0FDA" w:rsidRPr="008404B8">
        <w:rPr>
          <w:rFonts w:ascii="Times New Roman" w:hAnsi="Times New Roman" w:cs="Times New Roman" w:hint="eastAsia"/>
          <w:sz w:val="24"/>
          <w:szCs w:val="24"/>
          <w:lang w:val="en-GB"/>
        </w:rPr>
        <w:t>includes</w:t>
      </w:r>
      <w:r w:rsidR="006B0FDA"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of non-psychiatric, respiratory outcomes that are known to be affected by tobacco smoke, but not </w:t>
      </w:r>
      <w:r w:rsidR="006B0FDA" w:rsidRPr="008404B8">
        <w:rPr>
          <w:rFonts w:ascii="Times New Roman" w:hAnsi="Times New Roman" w:cs="Times New Roman" w:hint="eastAsia"/>
          <w:sz w:val="24"/>
          <w:szCs w:val="24"/>
          <w:lang w:val="en-GB"/>
        </w:rPr>
        <w:t>through</w:t>
      </w:r>
      <w:r w:rsidR="006B0FDA"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a psychiatric pathway. The association with perceived </w:t>
      </w:r>
      <w:proofErr w:type="spellStart"/>
      <w:r w:rsidRPr="008404B8">
        <w:rPr>
          <w:rFonts w:ascii="Times New Roman" w:hAnsi="Times New Roman" w:cs="Times New Roman"/>
          <w:sz w:val="24"/>
          <w:szCs w:val="24"/>
          <w:lang w:val="en-GB"/>
        </w:rPr>
        <w:t>secondhand</w:t>
      </w:r>
      <w:proofErr w:type="spellEnd"/>
      <w:r w:rsidRPr="008404B8">
        <w:rPr>
          <w:rFonts w:ascii="Times New Roman" w:hAnsi="Times New Roman" w:cs="Times New Roman"/>
          <w:sz w:val="24"/>
          <w:szCs w:val="24"/>
          <w:lang w:val="en-GB"/>
        </w:rPr>
        <w:t xml:space="preserve"> smoke was expected to be nonsignificant in both types of negative controls, while biomarker</w:t>
      </w:r>
      <w:r w:rsidR="006B0FDA" w:rsidRPr="008404B8">
        <w:rPr>
          <w:rFonts w:ascii="Times New Roman" w:hAnsi="Times New Roman" w:cs="Times New Roman" w:hint="eastAsia"/>
          <w:sz w:val="24"/>
          <w:szCs w:val="24"/>
          <w:lang w:val="en-GB"/>
        </w:rPr>
        <w:t>-</w:t>
      </w:r>
      <w:r w:rsidRPr="008404B8">
        <w:rPr>
          <w:rFonts w:ascii="Times New Roman" w:hAnsi="Times New Roman" w:cs="Times New Roman"/>
          <w:sz w:val="24"/>
          <w:szCs w:val="24"/>
          <w:lang w:val="en-GB"/>
        </w:rPr>
        <w:t xml:space="preserve">measured exposure to </w:t>
      </w:r>
      <w:proofErr w:type="spellStart"/>
      <w:r w:rsidRPr="008404B8">
        <w:rPr>
          <w:rFonts w:ascii="Times New Roman" w:hAnsi="Times New Roman" w:cs="Times New Roman"/>
          <w:sz w:val="24"/>
          <w:szCs w:val="24"/>
          <w:lang w:val="en-GB"/>
        </w:rPr>
        <w:t>secondhand</w:t>
      </w:r>
      <w:proofErr w:type="spellEnd"/>
      <w:r w:rsidRPr="008404B8">
        <w:rPr>
          <w:rFonts w:ascii="Times New Roman" w:hAnsi="Times New Roman" w:cs="Times New Roman"/>
          <w:sz w:val="24"/>
          <w:szCs w:val="24"/>
          <w:lang w:val="en-GB"/>
        </w:rPr>
        <w:t xml:space="preserve"> smoke was expected to be significant in the non-psychiatric, respiratory negative controls.</w:t>
      </w:r>
    </w:p>
    <w:p w14:paraId="45C85E62" w14:textId="77777777" w:rsidR="00FD75BF" w:rsidRPr="008404B8" w:rsidRDefault="00FD75BF" w:rsidP="00FD75BF">
      <w:pPr>
        <w:widowControl/>
        <w:wordWrap/>
        <w:autoSpaceDE/>
        <w:autoSpaceDN/>
        <w:spacing w:after="0" w:line="480" w:lineRule="auto"/>
        <w:rPr>
          <w:rFonts w:ascii="Times New Roman" w:hAnsi="Times New Roman" w:cs="Times New Roman"/>
          <w:sz w:val="24"/>
          <w:szCs w:val="24"/>
          <w:lang w:val="en-GB"/>
        </w:rPr>
      </w:pPr>
    </w:p>
    <w:p w14:paraId="6F298942" w14:textId="43239E92" w:rsidR="006B0FDA" w:rsidRPr="008404B8" w:rsidRDefault="00FD75BF" w:rsidP="006B0FDA">
      <w:pPr>
        <w:widowControl/>
        <w:wordWrap/>
        <w:autoSpaceDE/>
        <w:autoSpaceDN/>
        <w:spacing w:after="0" w:line="480" w:lineRule="auto"/>
        <w:rPr>
          <w:rFonts w:ascii="Times New Roman" w:hAnsi="Times New Roman" w:cs="Times New Roman"/>
          <w:sz w:val="24"/>
          <w:szCs w:val="24"/>
        </w:rPr>
      </w:pPr>
      <w:r w:rsidRPr="008404B8">
        <w:rPr>
          <w:rFonts w:ascii="Times New Roman" w:hAnsi="Times New Roman" w:cs="Times New Roman"/>
          <w:sz w:val="24"/>
          <w:szCs w:val="24"/>
          <w:lang w:val="en-GB"/>
        </w:rPr>
        <w:t>Cataract and hepatitis B were selected as non-psychiatric, non-respiratory negative control outcomes. Cataract</w:t>
      </w:r>
      <w:r w:rsidR="006B0FDA" w:rsidRPr="008404B8">
        <w:rPr>
          <w:rFonts w:ascii="Times New Roman" w:hAnsi="Times New Roman" w:cs="Times New Roman" w:hint="eastAsia"/>
          <w:sz w:val="24"/>
          <w:szCs w:val="24"/>
          <w:lang w:val="en-GB"/>
        </w:rPr>
        <w:t>s</w:t>
      </w:r>
      <w:r w:rsidRPr="008404B8">
        <w:rPr>
          <w:rFonts w:ascii="Times New Roman" w:hAnsi="Times New Roman" w:cs="Times New Roman"/>
          <w:sz w:val="24"/>
          <w:szCs w:val="24"/>
          <w:lang w:val="en-GB"/>
        </w:rPr>
        <w:t xml:space="preserve"> </w:t>
      </w:r>
      <w:r w:rsidR="006B0FDA" w:rsidRPr="008404B8">
        <w:rPr>
          <w:rFonts w:ascii="Times New Roman" w:hAnsi="Times New Roman" w:cs="Times New Roman" w:hint="eastAsia"/>
          <w:sz w:val="24"/>
          <w:szCs w:val="24"/>
          <w:lang w:val="en-GB"/>
        </w:rPr>
        <w:t>are</w:t>
      </w:r>
      <w:r w:rsidRPr="008404B8">
        <w:rPr>
          <w:rFonts w:ascii="Times New Roman" w:hAnsi="Times New Roman" w:cs="Times New Roman"/>
          <w:sz w:val="24"/>
          <w:szCs w:val="24"/>
          <w:lang w:val="en-GB"/>
        </w:rPr>
        <w:t xml:space="preserve"> caused by aging, while trauma or radiation </w:t>
      </w:r>
      <w:r w:rsidR="006B0FDA" w:rsidRPr="008404B8">
        <w:rPr>
          <w:rFonts w:ascii="Times New Roman" w:hAnsi="Times New Roman" w:cs="Times New Roman" w:hint="eastAsia"/>
          <w:sz w:val="24"/>
          <w:szCs w:val="24"/>
          <w:lang w:val="en-GB"/>
        </w:rPr>
        <w:t>can</w:t>
      </w:r>
      <w:r w:rsidRPr="008404B8">
        <w:rPr>
          <w:rFonts w:ascii="Times New Roman" w:hAnsi="Times New Roman" w:cs="Times New Roman"/>
          <w:sz w:val="24"/>
          <w:szCs w:val="24"/>
          <w:lang w:val="en-GB"/>
        </w:rPr>
        <w:t xml:space="preserve"> also </w:t>
      </w:r>
      <w:r w:rsidR="006B0FDA" w:rsidRPr="008404B8">
        <w:rPr>
          <w:rFonts w:ascii="Times New Roman" w:hAnsi="Times New Roman" w:cs="Times New Roman" w:hint="eastAsia"/>
          <w:sz w:val="24"/>
          <w:szCs w:val="24"/>
          <w:lang w:val="en-GB"/>
        </w:rPr>
        <w:t>be</w:t>
      </w:r>
      <w:r w:rsidRPr="008404B8">
        <w:rPr>
          <w:rFonts w:ascii="Times New Roman" w:hAnsi="Times New Roman" w:cs="Times New Roman"/>
          <w:sz w:val="24"/>
          <w:szCs w:val="24"/>
          <w:lang w:val="en-GB"/>
        </w:rPr>
        <w:t xml:space="preserve"> possible cause</w:t>
      </w:r>
      <w:r w:rsidR="006B0FDA" w:rsidRPr="008404B8">
        <w:rPr>
          <w:rFonts w:ascii="Times New Roman" w:hAnsi="Times New Roman" w:cs="Times New Roman" w:hint="eastAsia"/>
          <w:sz w:val="24"/>
          <w:szCs w:val="24"/>
          <w:lang w:val="en-GB"/>
        </w:rPr>
        <w:t>s</w:t>
      </w:r>
      <w:r w:rsidRPr="008404B8">
        <w:rPr>
          <w:rFonts w:ascii="Times New Roman" w:hAnsi="Times New Roman" w:cs="Times New Roman"/>
          <w:sz w:val="24"/>
          <w:szCs w:val="24"/>
          <w:lang w:val="en-GB"/>
        </w:rPr>
        <w:t xml:space="preserve">. </w:t>
      </w:r>
      <w:r w:rsidR="006B0FDA" w:rsidRPr="008404B8">
        <w:rPr>
          <w:rFonts w:ascii="Consolas" w:eastAsia="굴림체" w:hAnsi="Consolas" w:cs="굴림체"/>
          <w:color w:val="333333"/>
          <w:kern w:val="0"/>
          <w:szCs w:val="20"/>
          <w:shd w:val="clear" w:color="auto" w:fill="A9D0F5"/>
        </w:rPr>
        <w:t xml:space="preserve"> </w:t>
      </w:r>
      <w:r w:rsidR="006B0FDA" w:rsidRPr="008404B8">
        <w:rPr>
          <w:rFonts w:ascii="Times New Roman" w:hAnsi="Times New Roman" w:cs="Times New Roman"/>
          <w:sz w:val="24"/>
          <w:szCs w:val="24"/>
        </w:rPr>
        <w:t>Additionally, hepatitis B is transmitted through direct bloodstream contact with the virus or contact with other body fluids.</w:t>
      </w:r>
      <w:r w:rsidRPr="008404B8">
        <w:rPr>
          <w:rFonts w:ascii="Times New Roman" w:hAnsi="Times New Roman" w:cs="Times New Roman"/>
          <w:sz w:val="24"/>
          <w:szCs w:val="24"/>
          <w:lang w:val="en-GB"/>
        </w:rPr>
        <w:t xml:space="preserve"> Both outcomes have known</w:t>
      </w:r>
      <w:r w:rsidR="006B0FDA" w:rsidRPr="008404B8">
        <w:rPr>
          <w:rFonts w:ascii="Times New Roman" w:hAnsi="Times New Roman" w:cs="Times New Roman" w:hint="eastAsia"/>
          <w:sz w:val="24"/>
          <w:szCs w:val="24"/>
          <w:lang w:val="en-GB"/>
        </w:rPr>
        <w:t>,</w:t>
      </w:r>
      <w:r w:rsidRPr="008404B8">
        <w:rPr>
          <w:rFonts w:ascii="Times New Roman" w:hAnsi="Times New Roman" w:cs="Times New Roman"/>
          <w:sz w:val="24"/>
          <w:szCs w:val="24"/>
          <w:lang w:val="en-GB"/>
        </w:rPr>
        <w:t xml:space="preserve"> clear cause</w:t>
      </w:r>
      <w:r w:rsidR="006B0FDA" w:rsidRPr="008404B8">
        <w:rPr>
          <w:rFonts w:ascii="Times New Roman" w:hAnsi="Times New Roman" w:cs="Times New Roman" w:hint="eastAsia"/>
          <w:sz w:val="24"/>
          <w:szCs w:val="24"/>
          <w:lang w:val="en-GB"/>
        </w:rPr>
        <w:t>s</w:t>
      </w:r>
      <w:r w:rsidRPr="008404B8">
        <w:rPr>
          <w:rFonts w:ascii="Times New Roman" w:hAnsi="Times New Roman" w:cs="Times New Roman"/>
          <w:sz w:val="24"/>
          <w:szCs w:val="24"/>
          <w:lang w:val="en-GB"/>
        </w:rPr>
        <w:t xml:space="preserve"> </w:t>
      </w:r>
      <w:r w:rsidR="006B0FDA" w:rsidRPr="008404B8">
        <w:rPr>
          <w:rFonts w:ascii="Times New Roman" w:hAnsi="Times New Roman" w:cs="Times New Roman"/>
          <w:sz w:val="24"/>
          <w:szCs w:val="24"/>
        </w:rPr>
        <w:t>other than tobacco smoke.</w:t>
      </w:r>
      <w:r w:rsidRPr="008404B8">
        <w:rPr>
          <w:rFonts w:ascii="Times New Roman" w:hAnsi="Times New Roman" w:cs="Times New Roman"/>
          <w:sz w:val="24"/>
          <w:szCs w:val="24"/>
          <w:lang w:val="en-GB"/>
        </w:rPr>
        <w:t xml:space="preserve"> </w:t>
      </w:r>
      <w:r w:rsidR="006B0FDA" w:rsidRPr="008404B8">
        <w:rPr>
          <w:rFonts w:ascii="Times New Roman" w:hAnsi="Times New Roman" w:cs="Times New Roman" w:hint="eastAsia"/>
          <w:sz w:val="24"/>
          <w:szCs w:val="24"/>
          <w:lang w:val="en-GB"/>
        </w:rPr>
        <w:t>Moreover</w:t>
      </w:r>
      <w:r w:rsidRPr="008404B8">
        <w:rPr>
          <w:rFonts w:ascii="Times New Roman" w:hAnsi="Times New Roman" w:cs="Times New Roman"/>
          <w:sz w:val="24"/>
          <w:szCs w:val="24"/>
          <w:lang w:val="en-GB"/>
        </w:rPr>
        <w:t xml:space="preserve">, </w:t>
      </w:r>
      <w:r w:rsidR="006B0FDA" w:rsidRPr="008404B8">
        <w:rPr>
          <w:rFonts w:ascii="Times New Roman" w:hAnsi="Times New Roman" w:cs="Times New Roman"/>
          <w:sz w:val="24"/>
          <w:szCs w:val="24"/>
        </w:rPr>
        <w:t>there is a lack of evidence for an association between the selected negative control outcomes and secondhand smoke.</w:t>
      </w:r>
      <w:r w:rsidRPr="008404B8">
        <w:rPr>
          <w:rFonts w:ascii="Times New Roman" w:hAnsi="Times New Roman" w:cs="Times New Roman"/>
          <w:sz w:val="24"/>
          <w:szCs w:val="24"/>
          <w:lang w:val="en-GB"/>
        </w:rPr>
        <w:t xml:space="preserve"> </w:t>
      </w:r>
      <w:r w:rsidR="006B0FDA" w:rsidRPr="008404B8">
        <w:rPr>
          <w:rFonts w:ascii="Times New Roman" w:hAnsi="Times New Roman" w:cs="Times New Roman"/>
          <w:sz w:val="24"/>
          <w:szCs w:val="24"/>
        </w:rPr>
        <w:t>Participants with a current history of cataracts or positive testing for the hepatitis B surface antigen were classified as having the negative control outcome, while other participants were categorized as the reference group.</w:t>
      </w:r>
    </w:p>
    <w:p w14:paraId="65A4E2C7" w14:textId="77777777" w:rsidR="00FD75BF" w:rsidRPr="008404B8" w:rsidRDefault="00FD75BF" w:rsidP="00FD75BF">
      <w:pPr>
        <w:widowControl/>
        <w:wordWrap/>
        <w:autoSpaceDE/>
        <w:autoSpaceDN/>
        <w:spacing w:after="0" w:line="480" w:lineRule="auto"/>
        <w:rPr>
          <w:rFonts w:ascii="Times New Roman" w:hAnsi="Times New Roman" w:cs="Times New Roman"/>
          <w:sz w:val="24"/>
          <w:szCs w:val="24"/>
          <w:lang w:val="en-GB"/>
        </w:rPr>
      </w:pPr>
    </w:p>
    <w:p w14:paraId="019CE947" w14:textId="38A07C8F" w:rsidR="00FD75BF" w:rsidRPr="008404B8" w:rsidRDefault="006B0FDA" w:rsidP="00FD75BF">
      <w:pPr>
        <w:widowControl/>
        <w:wordWrap/>
        <w:autoSpaceDE/>
        <w:autoSpaceDN/>
        <w:spacing w:after="0" w:line="480" w:lineRule="auto"/>
        <w:rPr>
          <w:rFonts w:ascii="Times New Roman" w:hAnsi="Times New Roman" w:cs="Times New Roman"/>
          <w:sz w:val="24"/>
          <w:szCs w:val="24"/>
        </w:rPr>
      </w:pPr>
      <w:r w:rsidRPr="008404B8">
        <w:rPr>
          <w:rFonts w:ascii="Times New Roman" w:hAnsi="Times New Roman" w:cs="Times New Roman"/>
          <w:sz w:val="24"/>
          <w:szCs w:val="24"/>
        </w:rPr>
        <w:t>Asthma was selected as the non-psychiatric, respiratory negative control outcome. Asthma is caused by hyperreactivity of the airway, with known triggers including allergens, occupational chemicals, respiratory infections, and secondhand smoke</w:t>
      </w:r>
      <w:r w:rsidRPr="008404B8">
        <w:rPr>
          <w:rFonts w:ascii="Times New Roman" w:hAnsi="Times New Roman" w:cs="Times New Roman" w:hint="eastAsia"/>
          <w:sz w:val="24"/>
          <w:szCs w:val="24"/>
        </w:rPr>
        <w:t xml:space="preserve"> </w:t>
      </w:r>
      <w:r w:rsidR="00FD75BF" w:rsidRPr="008404B8">
        <w:rPr>
          <w:rFonts w:ascii="Times New Roman" w:hAnsi="Times New Roman" w:cs="Times New Roman"/>
          <w:sz w:val="24"/>
          <w:szCs w:val="24"/>
          <w:lang w:val="en-GB"/>
        </w:rPr>
        <w:fldChar w:fldCharType="begin"/>
      </w:r>
      <w:r w:rsidR="00C52E9A" w:rsidRPr="008404B8">
        <w:rPr>
          <w:rFonts w:ascii="Times New Roman" w:hAnsi="Times New Roman" w:cs="Times New Roman"/>
          <w:sz w:val="24"/>
          <w:szCs w:val="24"/>
          <w:lang w:val="en-GB"/>
        </w:rPr>
        <w:instrText xml:space="preserve"> ADDIN EN.CITE &lt;EndNote&gt;&lt;Cite&gt;&lt;Author&gt;Gautier&lt;/Author&gt;&lt;Year&gt;2017&lt;/Year&gt;&lt;RecNum&gt;88&lt;/RecNum&gt;&lt;DisplayText&gt;[13]&lt;/DisplayText&gt;&lt;record&gt;&lt;rec-number&gt;88&lt;/rec-number&gt;&lt;foreign-keys&gt;&lt;key app="EN" db-id="f220xfrd0fwav7ezwacvdtdzx992dpe5vsz9" timestamp="1701763183"&gt;88&lt;/key&gt;&lt;/foreign-keys&gt;&lt;ref-type name="Journal Article"&gt;17&lt;/ref-type&gt;&lt;contributors&gt;&lt;authors&gt;&lt;author&gt;Gautier, Clarisse&lt;/author&gt;&lt;author&gt;Charpin, Denis&lt;/author&gt;&lt;/authors&gt;&lt;/contributors&gt;&lt;titles&gt;&lt;title&gt;Environmental triggers and avoidance in the management of asthma&lt;/title&gt;&lt;secondary-title&gt;Journal of asthma and allergy&lt;/secondary-title&gt;&lt;/titles&gt;&lt;periodical&gt;&lt;full-title&gt;Journal of asthma and allergy&lt;/full-title&gt;&lt;/periodical&gt;&lt;pages&gt;47-56&lt;/pages&gt;&lt;dates&gt;&lt;year&gt;2017&lt;/year&gt;&lt;/dates&gt;&lt;isbn&gt;1178-6965&lt;/isbn&gt;&lt;urls&gt;&lt;/urls&gt;&lt;/record&gt;&lt;/Cite&gt;&lt;/EndNote&gt;</w:instrText>
      </w:r>
      <w:r w:rsidR="00FD75BF" w:rsidRPr="008404B8">
        <w:rPr>
          <w:rFonts w:ascii="Times New Roman" w:hAnsi="Times New Roman" w:cs="Times New Roman"/>
          <w:sz w:val="24"/>
          <w:szCs w:val="24"/>
          <w:lang w:val="en-GB"/>
        </w:rPr>
        <w:fldChar w:fldCharType="separate"/>
      </w:r>
      <w:r w:rsidR="00C52E9A" w:rsidRPr="008404B8">
        <w:rPr>
          <w:rFonts w:ascii="Times New Roman" w:hAnsi="Times New Roman" w:cs="Times New Roman"/>
          <w:noProof/>
          <w:sz w:val="24"/>
          <w:szCs w:val="24"/>
          <w:lang w:val="en-GB"/>
        </w:rPr>
        <w:t>[13]</w:t>
      </w:r>
      <w:r w:rsidR="00FD75BF" w:rsidRPr="008404B8">
        <w:rPr>
          <w:rFonts w:ascii="Times New Roman" w:hAnsi="Times New Roman" w:cs="Times New Roman"/>
          <w:sz w:val="24"/>
          <w:szCs w:val="24"/>
          <w:lang w:val="en-GB"/>
        </w:rPr>
        <w:fldChar w:fldCharType="end"/>
      </w:r>
      <w:r w:rsidR="00D61F44" w:rsidRPr="008404B8">
        <w:rPr>
          <w:rFonts w:ascii="Times New Roman" w:hAnsi="Times New Roman" w:cs="Times New Roman" w:hint="eastAsia"/>
          <w:sz w:val="24"/>
          <w:szCs w:val="24"/>
          <w:lang w:val="en-GB"/>
        </w:rPr>
        <w:t>.</w:t>
      </w:r>
      <w:r w:rsidR="00FD75BF" w:rsidRPr="008404B8">
        <w:rPr>
          <w:rFonts w:ascii="Times New Roman" w:hAnsi="Times New Roman" w:cs="Times New Roman"/>
          <w:sz w:val="24"/>
          <w:szCs w:val="24"/>
          <w:lang w:val="en-GB"/>
        </w:rPr>
        <w:t xml:space="preserve"> </w:t>
      </w:r>
      <w:r w:rsidR="00E53DE8" w:rsidRPr="008404B8">
        <w:rPr>
          <w:rFonts w:ascii="Times New Roman" w:hAnsi="Times New Roman" w:cs="Times New Roman" w:hint="eastAsia"/>
          <w:sz w:val="24"/>
          <w:szCs w:val="24"/>
          <w:lang w:val="en-GB"/>
        </w:rPr>
        <w:t xml:space="preserve">Since the association between </w:t>
      </w:r>
      <w:r w:rsidR="00E53DE8" w:rsidRPr="008404B8">
        <w:rPr>
          <w:rFonts w:ascii="Times New Roman" w:hAnsi="Times New Roman" w:cs="Times New Roman" w:hint="eastAsia"/>
          <w:sz w:val="24"/>
          <w:szCs w:val="24"/>
          <w:lang w:val="en-GB"/>
        </w:rPr>
        <w:lastRenderedPageBreak/>
        <w:t xml:space="preserve">exposure to </w:t>
      </w:r>
      <w:proofErr w:type="spellStart"/>
      <w:r w:rsidR="00E53DE8" w:rsidRPr="008404B8">
        <w:rPr>
          <w:rFonts w:ascii="Times New Roman" w:hAnsi="Times New Roman" w:cs="Times New Roman" w:hint="eastAsia"/>
          <w:sz w:val="24"/>
          <w:szCs w:val="24"/>
          <w:lang w:val="en-GB"/>
        </w:rPr>
        <w:t>secondhand</w:t>
      </w:r>
      <w:proofErr w:type="spellEnd"/>
      <w:r w:rsidR="00E53DE8" w:rsidRPr="008404B8">
        <w:rPr>
          <w:rFonts w:ascii="Times New Roman" w:hAnsi="Times New Roman" w:cs="Times New Roman" w:hint="eastAsia"/>
          <w:sz w:val="24"/>
          <w:szCs w:val="24"/>
          <w:lang w:val="en-GB"/>
        </w:rPr>
        <w:t xml:space="preserve"> smoke and asthma may be attributed to the biochemical </w:t>
      </w:r>
      <w:r w:rsidR="00986F01" w:rsidRPr="008404B8">
        <w:rPr>
          <w:rFonts w:ascii="Times New Roman" w:hAnsi="Times New Roman" w:cs="Times New Roman" w:hint="eastAsia"/>
          <w:sz w:val="24"/>
          <w:szCs w:val="24"/>
          <w:lang w:val="en-GB"/>
        </w:rPr>
        <w:t>effects</w:t>
      </w:r>
      <w:r w:rsidR="00E53DE8" w:rsidRPr="008404B8">
        <w:rPr>
          <w:rFonts w:ascii="Times New Roman" w:hAnsi="Times New Roman" w:cs="Times New Roman" w:hint="eastAsia"/>
          <w:sz w:val="24"/>
          <w:szCs w:val="24"/>
          <w:lang w:val="en-GB"/>
        </w:rPr>
        <w:t xml:space="preserve"> of </w:t>
      </w:r>
      <w:proofErr w:type="spellStart"/>
      <w:r w:rsidR="00E53DE8" w:rsidRPr="008404B8">
        <w:rPr>
          <w:rFonts w:ascii="Times New Roman" w:hAnsi="Times New Roman" w:cs="Times New Roman" w:hint="eastAsia"/>
          <w:sz w:val="24"/>
          <w:szCs w:val="24"/>
          <w:lang w:val="en-GB"/>
        </w:rPr>
        <w:t>secondhand</w:t>
      </w:r>
      <w:proofErr w:type="spellEnd"/>
      <w:r w:rsidR="00E53DE8" w:rsidRPr="008404B8">
        <w:rPr>
          <w:rFonts w:ascii="Times New Roman" w:hAnsi="Times New Roman" w:cs="Times New Roman" w:hint="eastAsia"/>
          <w:sz w:val="24"/>
          <w:szCs w:val="24"/>
          <w:lang w:val="en-GB"/>
        </w:rPr>
        <w:t xml:space="preserve"> smoke, biomarker-based </w:t>
      </w:r>
      <w:proofErr w:type="spellStart"/>
      <w:r w:rsidR="00E53DE8" w:rsidRPr="008404B8">
        <w:rPr>
          <w:rFonts w:ascii="Times New Roman" w:hAnsi="Times New Roman" w:cs="Times New Roman" w:hint="eastAsia"/>
          <w:sz w:val="24"/>
          <w:szCs w:val="24"/>
          <w:lang w:val="en-GB"/>
        </w:rPr>
        <w:t>secondhand</w:t>
      </w:r>
      <w:proofErr w:type="spellEnd"/>
      <w:r w:rsidR="00E53DE8" w:rsidRPr="008404B8">
        <w:rPr>
          <w:rFonts w:ascii="Times New Roman" w:hAnsi="Times New Roman" w:cs="Times New Roman" w:hint="eastAsia"/>
          <w:sz w:val="24"/>
          <w:szCs w:val="24"/>
          <w:lang w:val="en-GB"/>
        </w:rPr>
        <w:t xml:space="preserve"> smoke exposure was hypothesized to be associated with asthma, while perceived </w:t>
      </w:r>
      <w:proofErr w:type="spellStart"/>
      <w:r w:rsidR="00E53DE8" w:rsidRPr="008404B8">
        <w:rPr>
          <w:rFonts w:ascii="Times New Roman" w:hAnsi="Times New Roman" w:cs="Times New Roman" w:hint="eastAsia"/>
          <w:sz w:val="24"/>
          <w:szCs w:val="24"/>
          <w:lang w:val="en-GB"/>
        </w:rPr>
        <w:t>secondhand</w:t>
      </w:r>
      <w:proofErr w:type="spellEnd"/>
      <w:r w:rsidR="00E53DE8" w:rsidRPr="008404B8">
        <w:rPr>
          <w:rFonts w:ascii="Times New Roman" w:hAnsi="Times New Roman" w:cs="Times New Roman" w:hint="eastAsia"/>
          <w:sz w:val="24"/>
          <w:szCs w:val="24"/>
          <w:lang w:val="en-GB"/>
        </w:rPr>
        <w:t xml:space="preserve"> smoke exposure was hypothesized to show nonsignificant associations with asthma. </w:t>
      </w:r>
      <w:r w:rsidRPr="008404B8">
        <w:rPr>
          <w:rFonts w:ascii="Times New Roman" w:hAnsi="Times New Roman" w:cs="Times New Roman"/>
          <w:sz w:val="24"/>
          <w:szCs w:val="24"/>
        </w:rPr>
        <w:t>Participants with a current history of asthma were classified as having the negative control outcome, while other participants were categorized as the reference group.</w:t>
      </w:r>
    </w:p>
    <w:p w14:paraId="123294D9" w14:textId="29B329EA" w:rsidR="00DF48B7" w:rsidRPr="008404B8" w:rsidRDefault="00DF48B7">
      <w:pPr>
        <w:widowControl/>
        <w:wordWrap/>
        <w:autoSpaceDE/>
        <w:autoSpaceDN/>
        <w:spacing w:line="259"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br w:type="page"/>
      </w:r>
    </w:p>
    <w:p w14:paraId="595BBD30" w14:textId="2FABB431" w:rsidR="00DF48B7" w:rsidRPr="008404B8" w:rsidRDefault="00DF48B7" w:rsidP="002B71C4">
      <w:pPr>
        <w:widowControl/>
        <w:wordWrap/>
        <w:autoSpaceDE/>
        <w:autoSpaceDN/>
        <w:spacing w:after="0" w:line="480" w:lineRule="auto"/>
        <w:rPr>
          <w:rFonts w:ascii="Times New Roman" w:hAnsi="Times New Roman" w:cs="Times New Roman"/>
          <w:b/>
          <w:bCs/>
          <w:sz w:val="24"/>
          <w:szCs w:val="24"/>
          <w:lang w:val="en-GB"/>
        </w:rPr>
      </w:pPr>
      <w:proofErr w:type="spellStart"/>
      <w:r w:rsidRPr="008404B8">
        <w:rPr>
          <w:rFonts w:ascii="Times New Roman" w:hAnsi="Times New Roman" w:cs="Times New Roman" w:hint="eastAsia"/>
          <w:b/>
          <w:bCs/>
          <w:sz w:val="24"/>
          <w:szCs w:val="24"/>
          <w:lang w:val="en-GB"/>
        </w:rPr>
        <w:lastRenderedPageBreak/>
        <w:t>e</w:t>
      </w:r>
      <w:r w:rsidRPr="008404B8">
        <w:rPr>
          <w:rFonts w:ascii="Times New Roman" w:hAnsi="Times New Roman" w:cs="Times New Roman"/>
          <w:b/>
          <w:bCs/>
          <w:sz w:val="24"/>
          <w:szCs w:val="24"/>
          <w:lang w:val="en-GB"/>
        </w:rPr>
        <w:t>Methods</w:t>
      </w:r>
      <w:proofErr w:type="spellEnd"/>
      <w:r w:rsidRPr="008404B8">
        <w:rPr>
          <w:rFonts w:ascii="Times New Roman" w:hAnsi="Times New Roman" w:cs="Times New Roman"/>
          <w:b/>
          <w:bCs/>
          <w:sz w:val="24"/>
          <w:szCs w:val="24"/>
          <w:lang w:val="en-GB"/>
        </w:rPr>
        <w:t xml:space="preserve"> </w:t>
      </w:r>
      <w:r w:rsidR="00C52E9A" w:rsidRPr="008404B8">
        <w:rPr>
          <w:rFonts w:ascii="Times New Roman" w:hAnsi="Times New Roman" w:cs="Times New Roman" w:hint="eastAsia"/>
          <w:b/>
          <w:bCs/>
          <w:sz w:val="24"/>
          <w:szCs w:val="24"/>
          <w:lang w:val="en-GB"/>
        </w:rPr>
        <w:t>5</w:t>
      </w:r>
      <w:r w:rsidRPr="008404B8">
        <w:rPr>
          <w:rFonts w:ascii="Times New Roman" w:hAnsi="Times New Roman" w:cs="Times New Roman"/>
          <w:b/>
          <w:bCs/>
          <w:sz w:val="24"/>
          <w:szCs w:val="24"/>
          <w:lang w:val="en-GB"/>
        </w:rPr>
        <w:t>. Comparison between complete cases and cases with missing data</w:t>
      </w:r>
    </w:p>
    <w:p w14:paraId="17E3FCCC" w14:textId="220A3B4C" w:rsidR="00DF48B7" w:rsidRPr="008404B8" w:rsidRDefault="00DF48B7" w:rsidP="002B71C4">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t>Both the main analysis (based on maximum likelihood estimation) and the multiple imputation analysis require a 'missing at random' (MAR) condition to obtain unbiased result</w:t>
      </w:r>
      <w:r w:rsidR="00CF5C02" w:rsidRPr="008404B8">
        <w:rPr>
          <w:rFonts w:ascii="Times New Roman" w:hAnsi="Times New Roman" w:cs="Times New Roman" w:hint="eastAsia"/>
          <w:sz w:val="24"/>
          <w:szCs w:val="24"/>
          <w:lang w:val="en-GB"/>
        </w:rPr>
        <w:t>s</w:t>
      </w:r>
      <w:r w:rsidRPr="008404B8">
        <w:rPr>
          <w:rFonts w:ascii="Times New Roman" w:hAnsi="Times New Roman" w:cs="Times New Roman"/>
          <w:sz w:val="24"/>
          <w:szCs w:val="24"/>
          <w:lang w:val="en-GB"/>
        </w:rPr>
        <w:t xml:space="preserve">. Therefore, </w:t>
      </w:r>
      <w:r w:rsidR="00CF5C02" w:rsidRPr="008404B8">
        <w:rPr>
          <w:rFonts w:ascii="Times New Roman" w:hAnsi="Times New Roman" w:cs="Times New Roman" w:hint="eastAsia"/>
          <w:sz w:val="24"/>
          <w:szCs w:val="24"/>
          <w:lang w:val="en-GB"/>
        </w:rPr>
        <w:t xml:space="preserve">the </w:t>
      </w:r>
      <w:r w:rsidRPr="008404B8">
        <w:rPr>
          <w:rFonts w:ascii="Times New Roman" w:hAnsi="Times New Roman" w:cs="Times New Roman"/>
          <w:sz w:val="24"/>
          <w:szCs w:val="24"/>
          <w:lang w:val="en-GB"/>
        </w:rPr>
        <w:t xml:space="preserve">characteristics of the variables included in the study were compared between complete cases and participants with at least one missing variable. The number of participants in the group with missing variables differed for each comparison. For example, a case with any missing variable </w:t>
      </w:r>
      <w:r w:rsidR="00CF5C02" w:rsidRPr="008404B8">
        <w:rPr>
          <w:rFonts w:ascii="Times New Roman" w:hAnsi="Times New Roman" w:cs="Times New Roman" w:hint="eastAsia"/>
          <w:sz w:val="24"/>
          <w:szCs w:val="24"/>
          <w:lang w:val="en-GB"/>
        </w:rPr>
        <w:t>that</w:t>
      </w:r>
      <w:r w:rsidRPr="008404B8">
        <w:rPr>
          <w:rFonts w:ascii="Times New Roman" w:hAnsi="Times New Roman" w:cs="Times New Roman"/>
          <w:sz w:val="24"/>
          <w:szCs w:val="24"/>
          <w:lang w:val="en-GB"/>
        </w:rPr>
        <w:t xml:space="preserve"> also has the variable </w:t>
      </w:r>
      <w:r w:rsidR="00CF5C02" w:rsidRPr="008404B8">
        <w:rPr>
          <w:rFonts w:ascii="Times New Roman" w:hAnsi="Times New Roman" w:cs="Times New Roman"/>
          <w:sz w:val="24"/>
          <w:szCs w:val="24"/>
          <w:lang w:val="en-GB"/>
        </w:rPr>
        <w:t>‘</w:t>
      </w:r>
      <w:r w:rsidRPr="008404B8">
        <w:rPr>
          <w:rFonts w:ascii="Times New Roman" w:hAnsi="Times New Roman" w:cs="Times New Roman"/>
          <w:sz w:val="24"/>
          <w:szCs w:val="24"/>
          <w:lang w:val="en-GB"/>
        </w:rPr>
        <w:t>depression</w:t>
      </w:r>
      <w:r w:rsidR="00CF5C02" w:rsidRPr="008404B8">
        <w:rPr>
          <w:rFonts w:ascii="Times New Roman" w:hAnsi="Times New Roman" w:cs="Times New Roman"/>
          <w:sz w:val="24"/>
          <w:szCs w:val="24"/>
          <w:lang w:val="en-GB"/>
        </w:rPr>
        <w:t>’</w:t>
      </w:r>
      <w:r w:rsidRPr="008404B8">
        <w:rPr>
          <w:rFonts w:ascii="Times New Roman" w:hAnsi="Times New Roman" w:cs="Times New Roman"/>
          <w:sz w:val="24"/>
          <w:szCs w:val="24"/>
          <w:lang w:val="en-GB"/>
        </w:rPr>
        <w:t xml:space="preserve"> missing cannot be used when</w:t>
      </w:r>
      <w:r w:rsidR="00CF5C02" w:rsidRPr="008404B8">
        <w:rPr>
          <w:rFonts w:ascii="Times New Roman" w:hAnsi="Times New Roman" w:cs="Times New Roman" w:hint="eastAsia"/>
          <w:sz w:val="24"/>
          <w:szCs w:val="24"/>
          <w:lang w:val="en-GB"/>
        </w:rPr>
        <w:t xml:space="preserve"> comparing</w:t>
      </w:r>
      <w:r w:rsidRPr="008404B8">
        <w:rPr>
          <w:rFonts w:ascii="Times New Roman" w:hAnsi="Times New Roman" w:cs="Times New Roman"/>
          <w:sz w:val="24"/>
          <w:szCs w:val="24"/>
          <w:lang w:val="en-GB"/>
        </w:rPr>
        <w:t xml:space="preserve"> complete cases and cases with missing variables for </w:t>
      </w:r>
      <w:r w:rsidR="00CF5C02" w:rsidRPr="008404B8">
        <w:rPr>
          <w:rFonts w:ascii="Times New Roman" w:hAnsi="Times New Roman" w:cs="Times New Roman"/>
          <w:sz w:val="24"/>
          <w:szCs w:val="24"/>
          <w:lang w:val="en-GB"/>
        </w:rPr>
        <w:t>‘</w:t>
      </w:r>
      <w:r w:rsidRPr="008404B8">
        <w:rPr>
          <w:rFonts w:ascii="Times New Roman" w:hAnsi="Times New Roman" w:cs="Times New Roman"/>
          <w:sz w:val="24"/>
          <w:szCs w:val="24"/>
          <w:lang w:val="en-GB"/>
        </w:rPr>
        <w:t>depression</w:t>
      </w:r>
      <w:r w:rsidR="00CF5C02" w:rsidRPr="008404B8">
        <w:rPr>
          <w:rFonts w:ascii="Times New Roman" w:hAnsi="Times New Roman" w:cs="Times New Roman"/>
          <w:sz w:val="24"/>
          <w:szCs w:val="24"/>
          <w:lang w:val="en-GB"/>
        </w:rPr>
        <w:t>’</w:t>
      </w:r>
      <w:r w:rsidRPr="008404B8">
        <w:rPr>
          <w:rFonts w:ascii="Times New Roman" w:hAnsi="Times New Roman" w:cs="Times New Roman"/>
          <w:sz w:val="24"/>
          <w:szCs w:val="24"/>
          <w:lang w:val="en-GB"/>
        </w:rPr>
        <w:t>. Such comparison</w:t>
      </w:r>
      <w:r w:rsidR="00CF5C02" w:rsidRPr="008404B8">
        <w:rPr>
          <w:rFonts w:ascii="Times New Roman" w:hAnsi="Times New Roman" w:cs="Times New Roman" w:hint="eastAsia"/>
          <w:sz w:val="24"/>
          <w:szCs w:val="24"/>
          <w:lang w:val="en-GB"/>
        </w:rPr>
        <w:t>s</w:t>
      </w:r>
      <w:r w:rsidRPr="008404B8">
        <w:rPr>
          <w:rFonts w:ascii="Times New Roman" w:hAnsi="Times New Roman" w:cs="Times New Roman"/>
          <w:sz w:val="24"/>
          <w:szCs w:val="24"/>
          <w:lang w:val="en-GB"/>
        </w:rPr>
        <w:t xml:space="preserve"> could </w:t>
      </w:r>
      <w:r w:rsidR="00CF5C02" w:rsidRPr="008404B8">
        <w:rPr>
          <w:rFonts w:ascii="Times New Roman" w:hAnsi="Times New Roman" w:cs="Times New Roman" w:hint="eastAsia"/>
          <w:sz w:val="24"/>
          <w:szCs w:val="24"/>
          <w:lang w:val="en-GB"/>
        </w:rPr>
        <w:t xml:space="preserve">help </w:t>
      </w:r>
      <w:r w:rsidRPr="008404B8">
        <w:rPr>
          <w:rFonts w:ascii="Times New Roman" w:hAnsi="Times New Roman" w:cs="Times New Roman"/>
          <w:sz w:val="24"/>
          <w:szCs w:val="24"/>
          <w:lang w:val="en-GB"/>
        </w:rPr>
        <w:t xml:space="preserve">explain the missingness of variables </w:t>
      </w:r>
      <w:r w:rsidR="00CF5C02" w:rsidRPr="008404B8">
        <w:rPr>
          <w:rFonts w:ascii="Times New Roman" w:hAnsi="Times New Roman" w:cs="Times New Roman" w:hint="eastAsia"/>
          <w:sz w:val="24"/>
          <w:szCs w:val="24"/>
          <w:lang w:val="en-GB"/>
        </w:rPr>
        <w:t>based on</w:t>
      </w:r>
      <w:r w:rsidR="00CF5C02" w:rsidRPr="008404B8">
        <w:rPr>
          <w:rFonts w:ascii="Times New Roman" w:hAnsi="Times New Roman" w:cs="Times New Roman"/>
          <w:sz w:val="24"/>
          <w:szCs w:val="24"/>
          <w:lang w:val="en-GB"/>
        </w:rPr>
        <w:t xml:space="preserve"> </w:t>
      </w:r>
      <w:r w:rsidRPr="008404B8">
        <w:rPr>
          <w:rFonts w:ascii="Times New Roman" w:hAnsi="Times New Roman" w:cs="Times New Roman"/>
          <w:sz w:val="24"/>
          <w:szCs w:val="24"/>
          <w:lang w:val="en-GB"/>
        </w:rPr>
        <w:t xml:space="preserve">other measured variables (e.g., females tend to not report their BMI) and test whether a MAR condition could be plausible. In contrast, a 'not missing at random' condition, which implies that the missingness is a result of the missing variables </w:t>
      </w:r>
      <w:r w:rsidR="00CF5C02" w:rsidRPr="008404B8">
        <w:rPr>
          <w:rFonts w:ascii="Times New Roman" w:hAnsi="Times New Roman" w:cs="Times New Roman" w:hint="eastAsia"/>
          <w:sz w:val="24"/>
          <w:szCs w:val="24"/>
          <w:lang w:val="en-GB"/>
        </w:rPr>
        <w:t>themselves</w:t>
      </w:r>
      <w:r w:rsidRPr="008404B8">
        <w:rPr>
          <w:rFonts w:ascii="Times New Roman" w:hAnsi="Times New Roman" w:cs="Times New Roman"/>
          <w:sz w:val="24"/>
          <w:szCs w:val="24"/>
          <w:lang w:val="en-GB"/>
        </w:rPr>
        <w:t xml:space="preserve"> (e.g., participants with high BMI tend to not report their BMI) cannot be statistically tested.</w:t>
      </w:r>
    </w:p>
    <w:p w14:paraId="3300D738" w14:textId="77777777" w:rsidR="00DF48B7" w:rsidRPr="008404B8" w:rsidRDefault="00DF48B7">
      <w:pPr>
        <w:widowControl/>
        <w:wordWrap/>
        <w:autoSpaceDE/>
        <w:autoSpaceDN/>
        <w:spacing w:line="259" w:lineRule="auto"/>
        <w:rPr>
          <w:rFonts w:ascii="Times New Roman" w:hAnsi="Times New Roman" w:cs="Times New Roman"/>
          <w:sz w:val="24"/>
          <w:szCs w:val="24"/>
          <w:lang w:val="en-GB"/>
        </w:rPr>
        <w:sectPr w:rsidR="00DF48B7" w:rsidRPr="008404B8" w:rsidSect="004855D4">
          <w:pgSz w:w="11906" w:h="16838"/>
          <w:pgMar w:top="1701" w:right="1440" w:bottom="1440" w:left="1440" w:header="851" w:footer="992" w:gutter="0"/>
          <w:cols w:space="425"/>
          <w:docGrid w:linePitch="360"/>
        </w:sectPr>
      </w:pPr>
    </w:p>
    <w:tbl>
      <w:tblPr>
        <w:tblW w:w="11766" w:type="dxa"/>
        <w:tblCellMar>
          <w:left w:w="99" w:type="dxa"/>
          <w:right w:w="99" w:type="dxa"/>
        </w:tblCellMar>
        <w:tblLook w:val="04A0" w:firstRow="1" w:lastRow="0" w:firstColumn="1" w:lastColumn="0" w:noHBand="0" w:noVBand="1"/>
      </w:tblPr>
      <w:tblGrid>
        <w:gridCol w:w="1884"/>
        <w:gridCol w:w="1822"/>
        <w:gridCol w:w="1770"/>
        <w:gridCol w:w="204"/>
        <w:gridCol w:w="1956"/>
        <w:gridCol w:w="1770"/>
        <w:gridCol w:w="2360"/>
      </w:tblGrid>
      <w:tr w:rsidR="007A2703" w:rsidRPr="008404B8" w14:paraId="30FD2977" w14:textId="77777777" w:rsidTr="007A2703">
        <w:trPr>
          <w:trHeight w:val="330"/>
        </w:trPr>
        <w:tc>
          <w:tcPr>
            <w:tcW w:w="11766" w:type="dxa"/>
            <w:gridSpan w:val="7"/>
            <w:tcBorders>
              <w:top w:val="nil"/>
              <w:left w:val="nil"/>
              <w:bottom w:val="double" w:sz="6" w:space="0" w:color="auto"/>
              <w:right w:val="nil"/>
            </w:tcBorders>
            <w:shd w:val="clear" w:color="auto" w:fill="auto"/>
            <w:noWrap/>
            <w:vAlign w:val="center"/>
            <w:hideMark/>
          </w:tcPr>
          <w:p w14:paraId="49ED55B0"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roofErr w:type="spellStart"/>
            <w:r w:rsidRPr="008404B8">
              <w:rPr>
                <w:rFonts w:ascii="Times New Roman" w:eastAsia="맑은 고딕" w:hAnsi="Times New Roman" w:cs="Times New Roman"/>
                <w:b/>
                <w:bCs/>
                <w:color w:val="000000"/>
                <w:kern w:val="0"/>
                <w:sz w:val="24"/>
                <w:szCs w:val="24"/>
              </w:rPr>
              <w:lastRenderedPageBreak/>
              <w:t>eResults</w:t>
            </w:r>
            <w:proofErr w:type="spellEnd"/>
            <w:r w:rsidRPr="008404B8">
              <w:rPr>
                <w:rFonts w:ascii="Times New Roman" w:eastAsia="맑은 고딕" w:hAnsi="Times New Roman" w:cs="Times New Roman"/>
                <w:b/>
                <w:bCs/>
                <w:color w:val="000000"/>
                <w:kern w:val="0"/>
                <w:sz w:val="24"/>
                <w:szCs w:val="24"/>
              </w:rPr>
              <w:t xml:space="preserve"> 1. Odds ratios of depression associated with perceived secondhand smoke across stratification variables</w:t>
            </w:r>
          </w:p>
        </w:tc>
      </w:tr>
      <w:tr w:rsidR="007A2703" w:rsidRPr="008404B8" w14:paraId="45280DFE" w14:textId="77777777" w:rsidTr="007A2703">
        <w:trPr>
          <w:trHeight w:val="360"/>
        </w:trPr>
        <w:tc>
          <w:tcPr>
            <w:tcW w:w="1884" w:type="dxa"/>
            <w:tcBorders>
              <w:top w:val="nil"/>
              <w:left w:val="nil"/>
              <w:bottom w:val="nil"/>
              <w:right w:val="nil"/>
            </w:tcBorders>
            <w:shd w:val="clear" w:color="auto" w:fill="auto"/>
            <w:noWrap/>
            <w:vAlign w:val="center"/>
            <w:hideMark/>
          </w:tcPr>
          <w:p w14:paraId="7B2C7C9D"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3592" w:type="dxa"/>
            <w:gridSpan w:val="2"/>
            <w:tcBorders>
              <w:top w:val="double" w:sz="6" w:space="0" w:color="auto"/>
              <w:left w:val="nil"/>
              <w:bottom w:val="single" w:sz="4" w:space="0" w:color="auto"/>
              <w:right w:val="nil"/>
            </w:tcBorders>
            <w:shd w:val="clear" w:color="auto" w:fill="auto"/>
            <w:noWrap/>
            <w:vAlign w:val="center"/>
            <w:hideMark/>
          </w:tcPr>
          <w:p w14:paraId="74B590B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 perceived SHS (N=12,294)</w:t>
            </w:r>
          </w:p>
        </w:tc>
        <w:tc>
          <w:tcPr>
            <w:tcW w:w="204" w:type="dxa"/>
            <w:tcBorders>
              <w:top w:val="nil"/>
              <w:left w:val="nil"/>
              <w:bottom w:val="nil"/>
              <w:right w:val="nil"/>
            </w:tcBorders>
            <w:shd w:val="clear" w:color="auto" w:fill="auto"/>
            <w:noWrap/>
            <w:vAlign w:val="center"/>
            <w:hideMark/>
          </w:tcPr>
          <w:p w14:paraId="747CA14D"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726" w:type="dxa"/>
            <w:gridSpan w:val="2"/>
            <w:tcBorders>
              <w:top w:val="double" w:sz="6" w:space="0" w:color="auto"/>
              <w:left w:val="nil"/>
              <w:bottom w:val="single" w:sz="4" w:space="0" w:color="auto"/>
              <w:right w:val="nil"/>
            </w:tcBorders>
            <w:shd w:val="clear" w:color="auto" w:fill="auto"/>
            <w:noWrap/>
            <w:vAlign w:val="center"/>
            <w:hideMark/>
          </w:tcPr>
          <w:p w14:paraId="6C45006E"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With perceived SHS (N=4,632)</w:t>
            </w:r>
          </w:p>
        </w:tc>
        <w:tc>
          <w:tcPr>
            <w:tcW w:w="2360" w:type="dxa"/>
            <w:tcBorders>
              <w:top w:val="nil"/>
              <w:left w:val="nil"/>
              <w:bottom w:val="nil"/>
              <w:right w:val="nil"/>
            </w:tcBorders>
            <w:shd w:val="clear" w:color="auto" w:fill="auto"/>
            <w:noWrap/>
            <w:vAlign w:val="center"/>
            <w:hideMark/>
          </w:tcPr>
          <w:p w14:paraId="2E2E66BC"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p-for-interaction</w:t>
            </w:r>
          </w:p>
        </w:tc>
      </w:tr>
      <w:tr w:rsidR="007A2703" w:rsidRPr="008404B8" w14:paraId="2CA65B04" w14:textId="77777777" w:rsidTr="007A2703">
        <w:trPr>
          <w:trHeight w:val="375"/>
        </w:trPr>
        <w:tc>
          <w:tcPr>
            <w:tcW w:w="1884" w:type="dxa"/>
            <w:tcBorders>
              <w:top w:val="nil"/>
              <w:left w:val="nil"/>
              <w:bottom w:val="single" w:sz="4" w:space="0" w:color="auto"/>
              <w:right w:val="nil"/>
            </w:tcBorders>
            <w:shd w:val="clear" w:color="auto" w:fill="auto"/>
            <w:noWrap/>
            <w:vAlign w:val="center"/>
            <w:hideMark/>
          </w:tcPr>
          <w:p w14:paraId="2CAD9EFE"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1822" w:type="dxa"/>
            <w:tcBorders>
              <w:top w:val="nil"/>
              <w:left w:val="nil"/>
              <w:bottom w:val="single" w:sz="4" w:space="0" w:color="auto"/>
              <w:right w:val="nil"/>
            </w:tcBorders>
            <w:shd w:val="clear" w:color="auto" w:fill="auto"/>
            <w:noWrap/>
            <w:vAlign w:val="center"/>
            <w:hideMark/>
          </w:tcPr>
          <w:p w14:paraId="1BB94853"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 (%)</w:t>
            </w:r>
            <w:r w:rsidRPr="008404B8">
              <w:rPr>
                <w:rFonts w:ascii="Times New Roman" w:eastAsia="맑은 고딕" w:hAnsi="Times New Roman" w:cs="Times New Roman"/>
                <w:color w:val="000000"/>
                <w:kern w:val="0"/>
                <w:sz w:val="24"/>
                <w:szCs w:val="24"/>
                <w:vertAlign w:val="superscript"/>
              </w:rPr>
              <w:t>1</w:t>
            </w:r>
          </w:p>
        </w:tc>
        <w:tc>
          <w:tcPr>
            <w:tcW w:w="1770" w:type="dxa"/>
            <w:tcBorders>
              <w:top w:val="nil"/>
              <w:left w:val="nil"/>
              <w:bottom w:val="single" w:sz="4" w:space="0" w:color="auto"/>
              <w:right w:val="nil"/>
            </w:tcBorders>
            <w:shd w:val="clear" w:color="auto" w:fill="auto"/>
            <w:noWrap/>
            <w:vAlign w:val="center"/>
            <w:hideMark/>
          </w:tcPr>
          <w:p w14:paraId="2E1847A9"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8404B8">
              <w:rPr>
                <w:rFonts w:ascii="Times New Roman" w:eastAsia="맑은 고딕" w:hAnsi="Times New Roman" w:cs="Times New Roman"/>
                <w:color w:val="000000"/>
                <w:kern w:val="0"/>
                <w:sz w:val="24"/>
                <w:szCs w:val="24"/>
              </w:rPr>
              <w:t>aOR</w:t>
            </w:r>
            <w:proofErr w:type="spellEnd"/>
            <w:r w:rsidRPr="008404B8">
              <w:rPr>
                <w:rFonts w:ascii="Times New Roman" w:eastAsia="맑은 고딕" w:hAnsi="Times New Roman" w:cs="Times New Roman"/>
                <w:color w:val="000000"/>
                <w:kern w:val="0"/>
                <w:sz w:val="24"/>
                <w:szCs w:val="24"/>
              </w:rPr>
              <w:t xml:space="preserve"> (95% CI)</w:t>
            </w:r>
            <w:r w:rsidRPr="008404B8">
              <w:rPr>
                <w:rFonts w:ascii="Times New Roman" w:eastAsia="맑은 고딕" w:hAnsi="Times New Roman" w:cs="Times New Roman"/>
                <w:color w:val="000000"/>
                <w:kern w:val="0"/>
                <w:sz w:val="24"/>
                <w:szCs w:val="24"/>
                <w:vertAlign w:val="superscript"/>
              </w:rPr>
              <w:t>2</w:t>
            </w:r>
          </w:p>
        </w:tc>
        <w:tc>
          <w:tcPr>
            <w:tcW w:w="204" w:type="dxa"/>
            <w:tcBorders>
              <w:top w:val="nil"/>
              <w:left w:val="nil"/>
              <w:bottom w:val="single" w:sz="4" w:space="0" w:color="auto"/>
              <w:right w:val="nil"/>
            </w:tcBorders>
            <w:shd w:val="clear" w:color="auto" w:fill="auto"/>
            <w:noWrap/>
            <w:vAlign w:val="center"/>
            <w:hideMark/>
          </w:tcPr>
          <w:p w14:paraId="7481D803"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1956" w:type="dxa"/>
            <w:tcBorders>
              <w:top w:val="nil"/>
              <w:left w:val="nil"/>
              <w:bottom w:val="single" w:sz="4" w:space="0" w:color="auto"/>
              <w:right w:val="nil"/>
            </w:tcBorders>
            <w:shd w:val="clear" w:color="auto" w:fill="auto"/>
            <w:noWrap/>
            <w:vAlign w:val="center"/>
            <w:hideMark/>
          </w:tcPr>
          <w:p w14:paraId="3448DF14"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 (%)</w:t>
            </w:r>
            <w:r w:rsidRPr="008404B8">
              <w:rPr>
                <w:rFonts w:ascii="Times New Roman" w:eastAsia="맑은 고딕" w:hAnsi="Times New Roman" w:cs="Times New Roman"/>
                <w:color w:val="000000"/>
                <w:kern w:val="0"/>
                <w:sz w:val="24"/>
                <w:szCs w:val="24"/>
                <w:vertAlign w:val="superscript"/>
              </w:rPr>
              <w:t>1</w:t>
            </w:r>
          </w:p>
        </w:tc>
        <w:tc>
          <w:tcPr>
            <w:tcW w:w="1770" w:type="dxa"/>
            <w:tcBorders>
              <w:top w:val="nil"/>
              <w:left w:val="nil"/>
              <w:bottom w:val="single" w:sz="4" w:space="0" w:color="auto"/>
              <w:right w:val="nil"/>
            </w:tcBorders>
            <w:shd w:val="clear" w:color="auto" w:fill="auto"/>
            <w:noWrap/>
            <w:vAlign w:val="center"/>
            <w:hideMark/>
          </w:tcPr>
          <w:p w14:paraId="6AA2E2F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8404B8">
              <w:rPr>
                <w:rFonts w:ascii="Times New Roman" w:eastAsia="맑은 고딕" w:hAnsi="Times New Roman" w:cs="Times New Roman"/>
                <w:color w:val="000000"/>
                <w:kern w:val="0"/>
                <w:sz w:val="24"/>
                <w:szCs w:val="24"/>
              </w:rPr>
              <w:t>aOR</w:t>
            </w:r>
            <w:proofErr w:type="spellEnd"/>
            <w:r w:rsidRPr="008404B8">
              <w:rPr>
                <w:rFonts w:ascii="Times New Roman" w:eastAsia="맑은 고딕" w:hAnsi="Times New Roman" w:cs="Times New Roman"/>
                <w:color w:val="000000"/>
                <w:kern w:val="0"/>
                <w:sz w:val="24"/>
                <w:szCs w:val="24"/>
              </w:rPr>
              <w:t xml:space="preserve"> (95% CI)</w:t>
            </w:r>
            <w:r w:rsidRPr="008404B8">
              <w:rPr>
                <w:rFonts w:ascii="Times New Roman" w:eastAsia="맑은 고딕" w:hAnsi="Times New Roman" w:cs="Times New Roman"/>
                <w:color w:val="000000"/>
                <w:kern w:val="0"/>
                <w:sz w:val="24"/>
                <w:szCs w:val="24"/>
                <w:vertAlign w:val="superscript"/>
              </w:rPr>
              <w:t>2</w:t>
            </w:r>
          </w:p>
        </w:tc>
        <w:tc>
          <w:tcPr>
            <w:tcW w:w="2360" w:type="dxa"/>
            <w:tcBorders>
              <w:top w:val="nil"/>
              <w:left w:val="nil"/>
              <w:bottom w:val="single" w:sz="4" w:space="0" w:color="auto"/>
              <w:right w:val="nil"/>
            </w:tcBorders>
            <w:shd w:val="clear" w:color="auto" w:fill="auto"/>
            <w:noWrap/>
            <w:vAlign w:val="center"/>
            <w:hideMark/>
          </w:tcPr>
          <w:p w14:paraId="05EB3D9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r>
      <w:tr w:rsidR="007A2703" w:rsidRPr="008404B8" w14:paraId="474BA7D9" w14:textId="77777777" w:rsidTr="007A2703">
        <w:trPr>
          <w:trHeight w:val="315"/>
        </w:trPr>
        <w:tc>
          <w:tcPr>
            <w:tcW w:w="1884" w:type="dxa"/>
            <w:tcBorders>
              <w:top w:val="nil"/>
              <w:left w:val="nil"/>
              <w:bottom w:val="nil"/>
              <w:right w:val="nil"/>
            </w:tcBorders>
            <w:shd w:val="clear" w:color="auto" w:fill="auto"/>
            <w:noWrap/>
            <w:vAlign w:val="center"/>
            <w:hideMark/>
          </w:tcPr>
          <w:p w14:paraId="04FE72C9"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Income</w:t>
            </w:r>
          </w:p>
        </w:tc>
        <w:tc>
          <w:tcPr>
            <w:tcW w:w="1822" w:type="dxa"/>
            <w:tcBorders>
              <w:top w:val="nil"/>
              <w:left w:val="nil"/>
              <w:bottom w:val="nil"/>
              <w:right w:val="nil"/>
            </w:tcBorders>
            <w:shd w:val="clear" w:color="auto" w:fill="auto"/>
            <w:noWrap/>
            <w:vAlign w:val="center"/>
            <w:hideMark/>
          </w:tcPr>
          <w:p w14:paraId="308643B1"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70" w:type="dxa"/>
            <w:tcBorders>
              <w:top w:val="nil"/>
              <w:left w:val="nil"/>
              <w:bottom w:val="nil"/>
              <w:right w:val="nil"/>
            </w:tcBorders>
            <w:shd w:val="clear" w:color="auto" w:fill="auto"/>
            <w:noWrap/>
            <w:vAlign w:val="center"/>
            <w:hideMark/>
          </w:tcPr>
          <w:p w14:paraId="29DF9965"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dxa"/>
            <w:tcBorders>
              <w:top w:val="nil"/>
              <w:left w:val="nil"/>
              <w:bottom w:val="nil"/>
              <w:right w:val="nil"/>
            </w:tcBorders>
            <w:shd w:val="clear" w:color="auto" w:fill="auto"/>
            <w:noWrap/>
            <w:vAlign w:val="center"/>
            <w:hideMark/>
          </w:tcPr>
          <w:p w14:paraId="020C8519"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1956" w:type="dxa"/>
            <w:tcBorders>
              <w:top w:val="nil"/>
              <w:left w:val="nil"/>
              <w:bottom w:val="nil"/>
              <w:right w:val="nil"/>
            </w:tcBorders>
            <w:shd w:val="clear" w:color="auto" w:fill="auto"/>
            <w:noWrap/>
            <w:vAlign w:val="center"/>
            <w:hideMark/>
          </w:tcPr>
          <w:p w14:paraId="355AB58C"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1770" w:type="dxa"/>
            <w:tcBorders>
              <w:top w:val="nil"/>
              <w:left w:val="nil"/>
              <w:bottom w:val="nil"/>
              <w:right w:val="nil"/>
            </w:tcBorders>
            <w:shd w:val="clear" w:color="auto" w:fill="auto"/>
            <w:noWrap/>
            <w:vAlign w:val="center"/>
            <w:hideMark/>
          </w:tcPr>
          <w:p w14:paraId="73F38ECE"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2360" w:type="dxa"/>
            <w:tcBorders>
              <w:top w:val="nil"/>
              <w:left w:val="nil"/>
              <w:bottom w:val="nil"/>
              <w:right w:val="nil"/>
            </w:tcBorders>
            <w:shd w:val="clear" w:color="auto" w:fill="auto"/>
            <w:noWrap/>
            <w:vAlign w:val="center"/>
            <w:hideMark/>
          </w:tcPr>
          <w:p w14:paraId="61BA6899"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0.008 </w:t>
            </w:r>
          </w:p>
        </w:tc>
      </w:tr>
      <w:tr w:rsidR="007A2703" w:rsidRPr="008404B8" w14:paraId="7C6E994E" w14:textId="77777777" w:rsidTr="007A2703">
        <w:trPr>
          <w:trHeight w:val="315"/>
        </w:trPr>
        <w:tc>
          <w:tcPr>
            <w:tcW w:w="1884" w:type="dxa"/>
            <w:tcBorders>
              <w:top w:val="nil"/>
              <w:left w:val="nil"/>
              <w:bottom w:val="nil"/>
              <w:right w:val="nil"/>
            </w:tcBorders>
            <w:shd w:val="clear" w:color="auto" w:fill="auto"/>
            <w:noWrap/>
            <w:vAlign w:val="center"/>
            <w:hideMark/>
          </w:tcPr>
          <w:p w14:paraId="3C7309BF"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Highest</w:t>
            </w:r>
          </w:p>
        </w:tc>
        <w:tc>
          <w:tcPr>
            <w:tcW w:w="1822" w:type="dxa"/>
            <w:tcBorders>
              <w:top w:val="nil"/>
              <w:left w:val="nil"/>
              <w:bottom w:val="nil"/>
              <w:right w:val="nil"/>
            </w:tcBorders>
            <w:shd w:val="clear" w:color="auto" w:fill="auto"/>
            <w:noWrap/>
            <w:vAlign w:val="center"/>
            <w:hideMark/>
          </w:tcPr>
          <w:p w14:paraId="2449BD07"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47/3,136 (1.54)</w:t>
            </w:r>
          </w:p>
        </w:tc>
        <w:tc>
          <w:tcPr>
            <w:tcW w:w="1770" w:type="dxa"/>
            <w:tcBorders>
              <w:top w:val="nil"/>
              <w:left w:val="nil"/>
              <w:bottom w:val="nil"/>
              <w:right w:val="nil"/>
            </w:tcBorders>
            <w:shd w:val="clear" w:color="auto" w:fill="auto"/>
            <w:noWrap/>
            <w:vAlign w:val="center"/>
            <w:hideMark/>
          </w:tcPr>
          <w:p w14:paraId="3BE58AD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1.00 (reference)</w:t>
            </w:r>
          </w:p>
        </w:tc>
        <w:tc>
          <w:tcPr>
            <w:tcW w:w="204" w:type="dxa"/>
            <w:tcBorders>
              <w:top w:val="nil"/>
              <w:left w:val="nil"/>
              <w:bottom w:val="nil"/>
              <w:right w:val="nil"/>
            </w:tcBorders>
            <w:shd w:val="clear" w:color="auto" w:fill="auto"/>
            <w:noWrap/>
            <w:vAlign w:val="center"/>
            <w:hideMark/>
          </w:tcPr>
          <w:p w14:paraId="700B1C29"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56" w:type="dxa"/>
            <w:tcBorders>
              <w:top w:val="nil"/>
              <w:left w:val="nil"/>
              <w:bottom w:val="nil"/>
              <w:right w:val="nil"/>
            </w:tcBorders>
            <w:shd w:val="clear" w:color="auto" w:fill="auto"/>
            <w:noWrap/>
            <w:vAlign w:val="center"/>
            <w:hideMark/>
          </w:tcPr>
          <w:p w14:paraId="75443F7C"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54/1,270 (4.88)</w:t>
            </w:r>
          </w:p>
        </w:tc>
        <w:tc>
          <w:tcPr>
            <w:tcW w:w="1770" w:type="dxa"/>
            <w:tcBorders>
              <w:top w:val="nil"/>
              <w:left w:val="nil"/>
              <w:bottom w:val="nil"/>
              <w:right w:val="nil"/>
            </w:tcBorders>
            <w:shd w:val="clear" w:color="auto" w:fill="auto"/>
            <w:noWrap/>
            <w:vAlign w:val="center"/>
            <w:hideMark/>
          </w:tcPr>
          <w:p w14:paraId="56447C25"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3.31 (2.03-5.39)</w:t>
            </w:r>
          </w:p>
        </w:tc>
        <w:tc>
          <w:tcPr>
            <w:tcW w:w="2360" w:type="dxa"/>
            <w:tcBorders>
              <w:top w:val="nil"/>
              <w:left w:val="nil"/>
              <w:bottom w:val="nil"/>
              <w:right w:val="nil"/>
            </w:tcBorders>
            <w:shd w:val="clear" w:color="auto" w:fill="auto"/>
            <w:noWrap/>
            <w:vAlign w:val="center"/>
            <w:hideMark/>
          </w:tcPr>
          <w:p w14:paraId="1C5B7A4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7A2703" w:rsidRPr="008404B8" w14:paraId="783BFE08" w14:textId="77777777" w:rsidTr="007A2703">
        <w:trPr>
          <w:trHeight w:val="315"/>
        </w:trPr>
        <w:tc>
          <w:tcPr>
            <w:tcW w:w="1884" w:type="dxa"/>
            <w:tcBorders>
              <w:top w:val="nil"/>
              <w:left w:val="nil"/>
              <w:bottom w:val="nil"/>
              <w:right w:val="nil"/>
            </w:tcBorders>
            <w:shd w:val="clear" w:color="auto" w:fill="auto"/>
            <w:noWrap/>
            <w:vAlign w:val="center"/>
            <w:hideMark/>
          </w:tcPr>
          <w:p w14:paraId="39FC4949"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High</w:t>
            </w:r>
          </w:p>
        </w:tc>
        <w:tc>
          <w:tcPr>
            <w:tcW w:w="1822" w:type="dxa"/>
            <w:tcBorders>
              <w:top w:val="nil"/>
              <w:left w:val="nil"/>
              <w:bottom w:val="nil"/>
              <w:right w:val="nil"/>
            </w:tcBorders>
            <w:shd w:val="clear" w:color="auto" w:fill="auto"/>
            <w:noWrap/>
            <w:vAlign w:val="center"/>
            <w:hideMark/>
          </w:tcPr>
          <w:p w14:paraId="1E944A6A"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109/2,726 (3.71)</w:t>
            </w:r>
          </w:p>
        </w:tc>
        <w:tc>
          <w:tcPr>
            <w:tcW w:w="1770" w:type="dxa"/>
            <w:tcBorders>
              <w:top w:val="nil"/>
              <w:left w:val="nil"/>
              <w:bottom w:val="nil"/>
              <w:right w:val="nil"/>
            </w:tcBorders>
            <w:shd w:val="clear" w:color="auto" w:fill="auto"/>
            <w:noWrap/>
            <w:vAlign w:val="center"/>
            <w:hideMark/>
          </w:tcPr>
          <w:p w14:paraId="39F796A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2.35 (1.58-3.49)</w:t>
            </w:r>
          </w:p>
        </w:tc>
        <w:tc>
          <w:tcPr>
            <w:tcW w:w="204" w:type="dxa"/>
            <w:tcBorders>
              <w:top w:val="nil"/>
              <w:left w:val="nil"/>
              <w:bottom w:val="nil"/>
              <w:right w:val="nil"/>
            </w:tcBorders>
            <w:shd w:val="clear" w:color="auto" w:fill="auto"/>
            <w:noWrap/>
            <w:vAlign w:val="center"/>
            <w:hideMark/>
          </w:tcPr>
          <w:p w14:paraId="6A5A7B52"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56" w:type="dxa"/>
            <w:tcBorders>
              <w:top w:val="nil"/>
              <w:left w:val="nil"/>
              <w:bottom w:val="nil"/>
              <w:right w:val="nil"/>
            </w:tcBorders>
            <w:shd w:val="clear" w:color="auto" w:fill="auto"/>
            <w:noWrap/>
            <w:vAlign w:val="center"/>
            <w:hideMark/>
          </w:tcPr>
          <w:p w14:paraId="2C39FB04"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60/1,222 (4.72)</w:t>
            </w:r>
          </w:p>
        </w:tc>
        <w:tc>
          <w:tcPr>
            <w:tcW w:w="1770" w:type="dxa"/>
            <w:tcBorders>
              <w:top w:val="nil"/>
              <w:left w:val="nil"/>
              <w:bottom w:val="nil"/>
              <w:right w:val="nil"/>
            </w:tcBorders>
            <w:shd w:val="clear" w:color="auto" w:fill="auto"/>
            <w:noWrap/>
            <w:vAlign w:val="center"/>
            <w:hideMark/>
          </w:tcPr>
          <w:p w14:paraId="475F9674"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3.05 (1.91-4.88)</w:t>
            </w:r>
          </w:p>
        </w:tc>
        <w:tc>
          <w:tcPr>
            <w:tcW w:w="2360" w:type="dxa"/>
            <w:tcBorders>
              <w:top w:val="nil"/>
              <w:left w:val="nil"/>
              <w:bottom w:val="nil"/>
              <w:right w:val="nil"/>
            </w:tcBorders>
            <w:shd w:val="clear" w:color="auto" w:fill="auto"/>
            <w:noWrap/>
            <w:vAlign w:val="center"/>
            <w:hideMark/>
          </w:tcPr>
          <w:p w14:paraId="391BBD5A"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7A2703" w:rsidRPr="008404B8" w14:paraId="27EA9DF0" w14:textId="77777777" w:rsidTr="007A2703">
        <w:trPr>
          <w:trHeight w:val="315"/>
        </w:trPr>
        <w:tc>
          <w:tcPr>
            <w:tcW w:w="1884" w:type="dxa"/>
            <w:tcBorders>
              <w:top w:val="nil"/>
              <w:left w:val="nil"/>
              <w:bottom w:val="nil"/>
              <w:right w:val="nil"/>
            </w:tcBorders>
            <w:shd w:val="clear" w:color="auto" w:fill="auto"/>
            <w:noWrap/>
            <w:vAlign w:val="center"/>
            <w:hideMark/>
          </w:tcPr>
          <w:p w14:paraId="308D7F07"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Low</w:t>
            </w:r>
          </w:p>
        </w:tc>
        <w:tc>
          <w:tcPr>
            <w:tcW w:w="1822" w:type="dxa"/>
            <w:tcBorders>
              <w:top w:val="nil"/>
              <w:left w:val="nil"/>
              <w:bottom w:val="nil"/>
              <w:right w:val="nil"/>
            </w:tcBorders>
            <w:shd w:val="clear" w:color="auto" w:fill="auto"/>
            <w:noWrap/>
            <w:vAlign w:val="center"/>
            <w:hideMark/>
          </w:tcPr>
          <w:p w14:paraId="3F4F0EC7"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102/2,729 (3.63)</w:t>
            </w:r>
          </w:p>
        </w:tc>
        <w:tc>
          <w:tcPr>
            <w:tcW w:w="1770" w:type="dxa"/>
            <w:tcBorders>
              <w:top w:val="nil"/>
              <w:left w:val="nil"/>
              <w:bottom w:val="nil"/>
              <w:right w:val="nil"/>
            </w:tcBorders>
            <w:shd w:val="clear" w:color="auto" w:fill="auto"/>
            <w:noWrap/>
            <w:vAlign w:val="center"/>
            <w:hideMark/>
          </w:tcPr>
          <w:p w14:paraId="56F6BCF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2.02 (1.34-3.05)</w:t>
            </w:r>
          </w:p>
        </w:tc>
        <w:tc>
          <w:tcPr>
            <w:tcW w:w="204" w:type="dxa"/>
            <w:tcBorders>
              <w:top w:val="nil"/>
              <w:left w:val="nil"/>
              <w:bottom w:val="nil"/>
              <w:right w:val="nil"/>
            </w:tcBorders>
            <w:shd w:val="clear" w:color="auto" w:fill="auto"/>
            <w:noWrap/>
            <w:vAlign w:val="center"/>
            <w:hideMark/>
          </w:tcPr>
          <w:p w14:paraId="52BC0CF2"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56" w:type="dxa"/>
            <w:tcBorders>
              <w:top w:val="nil"/>
              <w:left w:val="nil"/>
              <w:bottom w:val="nil"/>
              <w:right w:val="nil"/>
            </w:tcBorders>
            <w:shd w:val="clear" w:color="auto" w:fill="auto"/>
            <w:noWrap/>
            <w:vAlign w:val="center"/>
            <w:hideMark/>
          </w:tcPr>
          <w:p w14:paraId="1349891E"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68/1,180 (5.51)</w:t>
            </w:r>
          </w:p>
        </w:tc>
        <w:tc>
          <w:tcPr>
            <w:tcW w:w="1770" w:type="dxa"/>
            <w:tcBorders>
              <w:top w:val="nil"/>
              <w:left w:val="nil"/>
              <w:bottom w:val="nil"/>
              <w:right w:val="nil"/>
            </w:tcBorders>
            <w:shd w:val="clear" w:color="auto" w:fill="auto"/>
            <w:noWrap/>
            <w:vAlign w:val="center"/>
            <w:hideMark/>
          </w:tcPr>
          <w:p w14:paraId="071DF847"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3.10 (1.98-4.86)</w:t>
            </w:r>
          </w:p>
        </w:tc>
        <w:tc>
          <w:tcPr>
            <w:tcW w:w="2360" w:type="dxa"/>
            <w:tcBorders>
              <w:top w:val="nil"/>
              <w:left w:val="nil"/>
              <w:bottom w:val="nil"/>
              <w:right w:val="nil"/>
            </w:tcBorders>
            <w:shd w:val="clear" w:color="auto" w:fill="auto"/>
            <w:noWrap/>
            <w:vAlign w:val="center"/>
            <w:hideMark/>
          </w:tcPr>
          <w:p w14:paraId="23CA6DF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7A2703" w:rsidRPr="008404B8" w14:paraId="5B458C74" w14:textId="77777777" w:rsidTr="007A2703">
        <w:trPr>
          <w:trHeight w:val="315"/>
        </w:trPr>
        <w:tc>
          <w:tcPr>
            <w:tcW w:w="1884" w:type="dxa"/>
            <w:tcBorders>
              <w:top w:val="nil"/>
              <w:left w:val="nil"/>
              <w:bottom w:val="nil"/>
              <w:right w:val="nil"/>
            </w:tcBorders>
            <w:shd w:val="clear" w:color="auto" w:fill="auto"/>
            <w:noWrap/>
            <w:vAlign w:val="center"/>
            <w:hideMark/>
          </w:tcPr>
          <w:p w14:paraId="6EB9D2E8"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Lowest</w:t>
            </w:r>
          </w:p>
        </w:tc>
        <w:tc>
          <w:tcPr>
            <w:tcW w:w="1822" w:type="dxa"/>
            <w:tcBorders>
              <w:top w:val="nil"/>
              <w:left w:val="nil"/>
              <w:bottom w:val="nil"/>
              <w:right w:val="nil"/>
            </w:tcBorders>
            <w:shd w:val="clear" w:color="auto" w:fill="auto"/>
            <w:noWrap/>
            <w:vAlign w:val="center"/>
            <w:hideMark/>
          </w:tcPr>
          <w:p w14:paraId="69DCFC8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322/3,703 (8.38)</w:t>
            </w:r>
          </w:p>
        </w:tc>
        <w:tc>
          <w:tcPr>
            <w:tcW w:w="1770" w:type="dxa"/>
            <w:tcBorders>
              <w:top w:val="nil"/>
              <w:left w:val="nil"/>
              <w:bottom w:val="nil"/>
              <w:right w:val="nil"/>
            </w:tcBorders>
            <w:shd w:val="clear" w:color="auto" w:fill="auto"/>
            <w:noWrap/>
            <w:vAlign w:val="center"/>
            <w:hideMark/>
          </w:tcPr>
          <w:p w14:paraId="5DCF9BD5"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3.86 (2.60-5.75)</w:t>
            </w:r>
          </w:p>
        </w:tc>
        <w:tc>
          <w:tcPr>
            <w:tcW w:w="204" w:type="dxa"/>
            <w:tcBorders>
              <w:top w:val="nil"/>
              <w:left w:val="nil"/>
              <w:bottom w:val="nil"/>
              <w:right w:val="nil"/>
            </w:tcBorders>
            <w:shd w:val="clear" w:color="auto" w:fill="auto"/>
            <w:noWrap/>
            <w:vAlign w:val="center"/>
            <w:hideMark/>
          </w:tcPr>
          <w:p w14:paraId="009A1259"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56" w:type="dxa"/>
            <w:tcBorders>
              <w:top w:val="nil"/>
              <w:left w:val="nil"/>
              <w:bottom w:val="nil"/>
              <w:right w:val="nil"/>
            </w:tcBorders>
            <w:shd w:val="clear" w:color="auto" w:fill="auto"/>
            <w:noWrap/>
            <w:vAlign w:val="center"/>
            <w:hideMark/>
          </w:tcPr>
          <w:p w14:paraId="31BE9D4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100/960 (9.46)</w:t>
            </w:r>
          </w:p>
        </w:tc>
        <w:tc>
          <w:tcPr>
            <w:tcW w:w="1770" w:type="dxa"/>
            <w:tcBorders>
              <w:top w:val="nil"/>
              <w:left w:val="nil"/>
              <w:bottom w:val="nil"/>
              <w:right w:val="nil"/>
            </w:tcBorders>
            <w:shd w:val="clear" w:color="auto" w:fill="auto"/>
            <w:noWrap/>
            <w:vAlign w:val="center"/>
            <w:hideMark/>
          </w:tcPr>
          <w:p w14:paraId="78A36D93"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4.99 (3.24-7.69)</w:t>
            </w:r>
          </w:p>
        </w:tc>
        <w:tc>
          <w:tcPr>
            <w:tcW w:w="2360" w:type="dxa"/>
            <w:tcBorders>
              <w:top w:val="nil"/>
              <w:left w:val="nil"/>
              <w:bottom w:val="nil"/>
              <w:right w:val="nil"/>
            </w:tcBorders>
            <w:shd w:val="clear" w:color="auto" w:fill="auto"/>
            <w:noWrap/>
            <w:vAlign w:val="center"/>
            <w:hideMark/>
          </w:tcPr>
          <w:p w14:paraId="30AF972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7A2703" w:rsidRPr="008404B8" w14:paraId="48DFE71F" w14:textId="77777777" w:rsidTr="007A2703">
        <w:trPr>
          <w:trHeight w:val="315"/>
        </w:trPr>
        <w:tc>
          <w:tcPr>
            <w:tcW w:w="1884" w:type="dxa"/>
            <w:tcBorders>
              <w:top w:val="nil"/>
              <w:left w:val="nil"/>
              <w:bottom w:val="nil"/>
              <w:right w:val="nil"/>
            </w:tcBorders>
            <w:shd w:val="clear" w:color="auto" w:fill="auto"/>
            <w:noWrap/>
            <w:vAlign w:val="center"/>
            <w:hideMark/>
          </w:tcPr>
          <w:p w14:paraId="162A1237"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Occupation type</w:t>
            </w:r>
          </w:p>
        </w:tc>
        <w:tc>
          <w:tcPr>
            <w:tcW w:w="1822" w:type="dxa"/>
            <w:tcBorders>
              <w:top w:val="nil"/>
              <w:left w:val="nil"/>
              <w:bottom w:val="nil"/>
              <w:right w:val="nil"/>
            </w:tcBorders>
            <w:shd w:val="clear" w:color="auto" w:fill="auto"/>
            <w:noWrap/>
            <w:vAlign w:val="center"/>
            <w:hideMark/>
          </w:tcPr>
          <w:p w14:paraId="670973D0"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70" w:type="dxa"/>
            <w:tcBorders>
              <w:top w:val="nil"/>
              <w:left w:val="nil"/>
              <w:bottom w:val="nil"/>
              <w:right w:val="nil"/>
            </w:tcBorders>
            <w:shd w:val="clear" w:color="auto" w:fill="auto"/>
            <w:noWrap/>
            <w:vAlign w:val="center"/>
            <w:hideMark/>
          </w:tcPr>
          <w:p w14:paraId="70ACD65D"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dxa"/>
            <w:tcBorders>
              <w:top w:val="nil"/>
              <w:left w:val="nil"/>
              <w:bottom w:val="nil"/>
              <w:right w:val="nil"/>
            </w:tcBorders>
            <w:shd w:val="clear" w:color="auto" w:fill="auto"/>
            <w:noWrap/>
            <w:vAlign w:val="center"/>
            <w:hideMark/>
          </w:tcPr>
          <w:p w14:paraId="31A8ABE4"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1956" w:type="dxa"/>
            <w:tcBorders>
              <w:top w:val="nil"/>
              <w:left w:val="nil"/>
              <w:bottom w:val="nil"/>
              <w:right w:val="nil"/>
            </w:tcBorders>
            <w:shd w:val="clear" w:color="auto" w:fill="auto"/>
            <w:noWrap/>
            <w:vAlign w:val="center"/>
            <w:hideMark/>
          </w:tcPr>
          <w:p w14:paraId="2ED71848"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1770" w:type="dxa"/>
            <w:tcBorders>
              <w:top w:val="nil"/>
              <w:left w:val="nil"/>
              <w:bottom w:val="nil"/>
              <w:right w:val="nil"/>
            </w:tcBorders>
            <w:shd w:val="clear" w:color="auto" w:fill="auto"/>
            <w:noWrap/>
            <w:vAlign w:val="center"/>
            <w:hideMark/>
          </w:tcPr>
          <w:p w14:paraId="0CCB3C74"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2360" w:type="dxa"/>
            <w:tcBorders>
              <w:top w:val="nil"/>
              <w:left w:val="nil"/>
              <w:bottom w:val="nil"/>
              <w:right w:val="nil"/>
            </w:tcBorders>
            <w:shd w:val="clear" w:color="auto" w:fill="auto"/>
            <w:noWrap/>
            <w:vAlign w:val="center"/>
            <w:hideMark/>
          </w:tcPr>
          <w:p w14:paraId="6BDAEDC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0.178 </w:t>
            </w:r>
          </w:p>
        </w:tc>
      </w:tr>
      <w:tr w:rsidR="007A2703" w:rsidRPr="008404B8" w14:paraId="1555B3D8" w14:textId="77777777" w:rsidTr="007A2703">
        <w:trPr>
          <w:trHeight w:val="315"/>
        </w:trPr>
        <w:tc>
          <w:tcPr>
            <w:tcW w:w="1884" w:type="dxa"/>
            <w:tcBorders>
              <w:top w:val="nil"/>
              <w:left w:val="nil"/>
              <w:bottom w:val="nil"/>
              <w:right w:val="nil"/>
            </w:tcBorders>
            <w:shd w:val="clear" w:color="auto" w:fill="auto"/>
            <w:noWrap/>
            <w:vAlign w:val="center"/>
            <w:hideMark/>
          </w:tcPr>
          <w:p w14:paraId="50B25A37"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White-collar</w:t>
            </w:r>
          </w:p>
        </w:tc>
        <w:tc>
          <w:tcPr>
            <w:tcW w:w="1822" w:type="dxa"/>
            <w:tcBorders>
              <w:top w:val="nil"/>
              <w:left w:val="nil"/>
              <w:bottom w:val="nil"/>
              <w:right w:val="nil"/>
            </w:tcBorders>
            <w:shd w:val="clear" w:color="auto" w:fill="auto"/>
            <w:noWrap/>
            <w:vAlign w:val="center"/>
            <w:hideMark/>
          </w:tcPr>
          <w:p w14:paraId="653BD488"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101/4,196 (2.33)</w:t>
            </w:r>
          </w:p>
        </w:tc>
        <w:tc>
          <w:tcPr>
            <w:tcW w:w="1770" w:type="dxa"/>
            <w:tcBorders>
              <w:top w:val="nil"/>
              <w:left w:val="nil"/>
              <w:bottom w:val="nil"/>
              <w:right w:val="nil"/>
            </w:tcBorders>
            <w:shd w:val="clear" w:color="auto" w:fill="auto"/>
            <w:noWrap/>
            <w:vAlign w:val="center"/>
            <w:hideMark/>
          </w:tcPr>
          <w:p w14:paraId="43555C78"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1.00 (reference)</w:t>
            </w:r>
          </w:p>
        </w:tc>
        <w:tc>
          <w:tcPr>
            <w:tcW w:w="204" w:type="dxa"/>
            <w:tcBorders>
              <w:top w:val="nil"/>
              <w:left w:val="nil"/>
              <w:bottom w:val="nil"/>
              <w:right w:val="nil"/>
            </w:tcBorders>
            <w:shd w:val="clear" w:color="auto" w:fill="auto"/>
            <w:noWrap/>
            <w:vAlign w:val="center"/>
            <w:hideMark/>
          </w:tcPr>
          <w:p w14:paraId="3CC9331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56" w:type="dxa"/>
            <w:tcBorders>
              <w:top w:val="nil"/>
              <w:left w:val="nil"/>
              <w:bottom w:val="nil"/>
              <w:right w:val="nil"/>
            </w:tcBorders>
            <w:shd w:val="clear" w:color="auto" w:fill="auto"/>
            <w:noWrap/>
            <w:vAlign w:val="center"/>
            <w:hideMark/>
          </w:tcPr>
          <w:p w14:paraId="0DBB09B3"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102/2,024 (4.26)</w:t>
            </w:r>
          </w:p>
        </w:tc>
        <w:tc>
          <w:tcPr>
            <w:tcW w:w="1770" w:type="dxa"/>
            <w:tcBorders>
              <w:top w:val="nil"/>
              <w:left w:val="nil"/>
              <w:bottom w:val="nil"/>
              <w:right w:val="nil"/>
            </w:tcBorders>
            <w:shd w:val="clear" w:color="auto" w:fill="auto"/>
            <w:noWrap/>
            <w:vAlign w:val="center"/>
            <w:hideMark/>
          </w:tcPr>
          <w:p w14:paraId="5B6FDEE8"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1.65 (1.20-2.28)</w:t>
            </w:r>
          </w:p>
        </w:tc>
        <w:tc>
          <w:tcPr>
            <w:tcW w:w="2360" w:type="dxa"/>
            <w:tcBorders>
              <w:top w:val="nil"/>
              <w:left w:val="nil"/>
              <w:bottom w:val="nil"/>
              <w:right w:val="nil"/>
            </w:tcBorders>
            <w:shd w:val="clear" w:color="auto" w:fill="auto"/>
            <w:noWrap/>
            <w:vAlign w:val="center"/>
            <w:hideMark/>
          </w:tcPr>
          <w:p w14:paraId="6DC7640A"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7A2703" w:rsidRPr="008404B8" w14:paraId="1E7AAC3B" w14:textId="77777777" w:rsidTr="007A2703">
        <w:trPr>
          <w:trHeight w:val="315"/>
        </w:trPr>
        <w:tc>
          <w:tcPr>
            <w:tcW w:w="1884" w:type="dxa"/>
            <w:tcBorders>
              <w:top w:val="nil"/>
              <w:left w:val="nil"/>
              <w:bottom w:val="nil"/>
              <w:right w:val="nil"/>
            </w:tcBorders>
            <w:shd w:val="clear" w:color="auto" w:fill="auto"/>
            <w:noWrap/>
            <w:vAlign w:val="center"/>
            <w:hideMark/>
          </w:tcPr>
          <w:p w14:paraId="13E121A4"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Blue-collar</w:t>
            </w:r>
          </w:p>
        </w:tc>
        <w:tc>
          <w:tcPr>
            <w:tcW w:w="1822" w:type="dxa"/>
            <w:tcBorders>
              <w:top w:val="nil"/>
              <w:left w:val="nil"/>
              <w:bottom w:val="nil"/>
              <w:right w:val="nil"/>
            </w:tcBorders>
            <w:shd w:val="clear" w:color="auto" w:fill="auto"/>
            <w:noWrap/>
            <w:vAlign w:val="center"/>
            <w:hideMark/>
          </w:tcPr>
          <w:p w14:paraId="3ED43E9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79/2,382 (2.73)</w:t>
            </w:r>
          </w:p>
        </w:tc>
        <w:tc>
          <w:tcPr>
            <w:tcW w:w="1770" w:type="dxa"/>
            <w:tcBorders>
              <w:top w:val="nil"/>
              <w:left w:val="nil"/>
              <w:bottom w:val="nil"/>
              <w:right w:val="nil"/>
            </w:tcBorders>
            <w:shd w:val="clear" w:color="auto" w:fill="auto"/>
            <w:noWrap/>
            <w:vAlign w:val="center"/>
            <w:hideMark/>
          </w:tcPr>
          <w:p w14:paraId="6F71C832"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1.00 (0.71-1.43)</w:t>
            </w:r>
          </w:p>
        </w:tc>
        <w:tc>
          <w:tcPr>
            <w:tcW w:w="204" w:type="dxa"/>
            <w:tcBorders>
              <w:top w:val="nil"/>
              <w:left w:val="nil"/>
              <w:bottom w:val="nil"/>
              <w:right w:val="nil"/>
            </w:tcBorders>
            <w:shd w:val="clear" w:color="auto" w:fill="auto"/>
            <w:noWrap/>
            <w:vAlign w:val="center"/>
            <w:hideMark/>
          </w:tcPr>
          <w:p w14:paraId="7B1A1FD8"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56" w:type="dxa"/>
            <w:tcBorders>
              <w:top w:val="nil"/>
              <w:left w:val="nil"/>
              <w:bottom w:val="nil"/>
              <w:right w:val="nil"/>
            </w:tcBorders>
            <w:shd w:val="clear" w:color="auto" w:fill="auto"/>
            <w:noWrap/>
            <w:vAlign w:val="center"/>
            <w:hideMark/>
          </w:tcPr>
          <w:p w14:paraId="3444A113"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36/1,126 (3.00)</w:t>
            </w:r>
          </w:p>
        </w:tc>
        <w:tc>
          <w:tcPr>
            <w:tcW w:w="1770" w:type="dxa"/>
            <w:tcBorders>
              <w:top w:val="nil"/>
              <w:left w:val="nil"/>
              <w:bottom w:val="nil"/>
              <w:right w:val="nil"/>
            </w:tcBorders>
            <w:shd w:val="clear" w:color="auto" w:fill="auto"/>
            <w:noWrap/>
            <w:vAlign w:val="center"/>
            <w:hideMark/>
          </w:tcPr>
          <w:p w14:paraId="47E41644"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1.23 (0.77-1.95)</w:t>
            </w:r>
          </w:p>
        </w:tc>
        <w:tc>
          <w:tcPr>
            <w:tcW w:w="2360" w:type="dxa"/>
            <w:tcBorders>
              <w:top w:val="nil"/>
              <w:left w:val="nil"/>
              <w:bottom w:val="nil"/>
              <w:right w:val="nil"/>
            </w:tcBorders>
            <w:shd w:val="clear" w:color="auto" w:fill="auto"/>
            <w:noWrap/>
            <w:vAlign w:val="center"/>
            <w:hideMark/>
          </w:tcPr>
          <w:p w14:paraId="143709AB"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w:t>
            </w:r>
          </w:p>
        </w:tc>
      </w:tr>
      <w:tr w:rsidR="007A2703" w:rsidRPr="008404B8" w14:paraId="1A6BB26B" w14:textId="77777777" w:rsidTr="007A2703">
        <w:trPr>
          <w:trHeight w:val="315"/>
        </w:trPr>
        <w:tc>
          <w:tcPr>
            <w:tcW w:w="1884" w:type="dxa"/>
            <w:tcBorders>
              <w:top w:val="nil"/>
              <w:left w:val="nil"/>
              <w:bottom w:val="nil"/>
              <w:right w:val="nil"/>
            </w:tcBorders>
            <w:shd w:val="clear" w:color="auto" w:fill="auto"/>
            <w:noWrap/>
            <w:vAlign w:val="center"/>
            <w:hideMark/>
          </w:tcPr>
          <w:p w14:paraId="632E155E"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Unoccupied</w:t>
            </w:r>
          </w:p>
        </w:tc>
        <w:tc>
          <w:tcPr>
            <w:tcW w:w="1822" w:type="dxa"/>
            <w:tcBorders>
              <w:top w:val="nil"/>
              <w:left w:val="nil"/>
              <w:bottom w:val="nil"/>
              <w:right w:val="nil"/>
            </w:tcBorders>
            <w:shd w:val="clear" w:color="auto" w:fill="auto"/>
            <w:noWrap/>
            <w:vAlign w:val="center"/>
            <w:hideMark/>
          </w:tcPr>
          <w:p w14:paraId="79F6B15A"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400/5,716 (6.56)</w:t>
            </w:r>
          </w:p>
        </w:tc>
        <w:tc>
          <w:tcPr>
            <w:tcW w:w="1770" w:type="dxa"/>
            <w:tcBorders>
              <w:top w:val="nil"/>
              <w:left w:val="nil"/>
              <w:bottom w:val="nil"/>
              <w:right w:val="nil"/>
            </w:tcBorders>
            <w:shd w:val="clear" w:color="auto" w:fill="auto"/>
            <w:noWrap/>
            <w:vAlign w:val="center"/>
            <w:hideMark/>
          </w:tcPr>
          <w:p w14:paraId="07FED3B8"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1.96 (1.50-2.57)</w:t>
            </w:r>
          </w:p>
        </w:tc>
        <w:tc>
          <w:tcPr>
            <w:tcW w:w="204" w:type="dxa"/>
            <w:tcBorders>
              <w:top w:val="nil"/>
              <w:left w:val="nil"/>
              <w:bottom w:val="nil"/>
              <w:right w:val="nil"/>
            </w:tcBorders>
            <w:shd w:val="clear" w:color="auto" w:fill="auto"/>
            <w:noWrap/>
            <w:vAlign w:val="center"/>
            <w:hideMark/>
          </w:tcPr>
          <w:p w14:paraId="560CDD6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56" w:type="dxa"/>
            <w:tcBorders>
              <w:top w:val="nil"/>
              <w:left w:val="nil"/>
              <w:bottom w:val="nil"/>
              <w:right w:val="nil"/>
            </w:tcBorders>
            <w:shd w:val="clear" w:color="auto" w:fill="auto"/>
            <w:noWrap/>
            <w:vAlign w:val="center"/>
            <w:hideMark/>
          </w:tcPr>
          <w:p w14:paraId="4697CFE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144/1,482 (10.31)</w:t>
            </w:r>
          </w:p>
        </w:tc>
        <w:tc>
          <w:tcPr>
            <w:tcW w:w="1770" w:type="dxa"/>
            <w:tcBorders>
              <w:top w:val="nil"/>
              <w:left w:val="nil"/>
              <w:bottom w:val="nil"/>
              <w:right w:val="nil"/>
            </w:tcBorders>
            <w:shd w:val="clear" w:color="auto" w:fill="auto"/>
            <w:noWrap/>
            <w:vAlign w:val="center"/>
            <w:hideMark/>
          </w:tcPr>
          <w:p w14:paraId="490EBB7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3.28 (2.37-4.54)</w:t>
            </w:r>
          </w:p>
        </w:tc>
        <w:tc>
          <w:tcPr>
            <w:tcW w:w="2360" w:type="dxa"/>
            <w:tcBorders>
              <w:top w:val="nil"/>
              <w:left w:val="nil"/>
              <w:bottom w:val="nil"/>
              <w:right w:val="nil"/>
            </w:tcBorders>
            <w:shd w:val="clear" w:color="auto" w:fill="auto"/>
            <w:noWrap/>
            <w:vAlign w:val="center"/>
            <w:hideMark/>
          </w:tcPr>
          <w:p w14:paraId="55398337"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w:t>
            </w:r>
          </w:p>
        </w:tc>
      </w:tr>
      <w:tr w:rsidR="007A2703" w:rsidRPr="008404B8" w14:paraId="2DB1FCCB" w14:textId="77777777" w:rsidTr="007A2703">
        <w:trPr>
          <w:trHeight w:val="315"/>
        </w:trPr>
        <w:tc>
          <w:tcPr>
            <w:tcW w:w="1884" w:type="dxa"/>
            <w:tcBorders>
              <w:top w:val="nil"/>
              <w:left w:val="nil"/>
              <w:bottom w:val="nil"/>
              <w:right w:val="nil"/>
            </w:tcBorders>
            <w:shd w:val="clear" w:color="auto" w:fill="auto"/>
            <w:noWrap/>
            <w:vAlign w:val="center"/>
            <w:hideMark/>
          </w:tcPr>
          <w:p w14:paraId="30A879C1"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Sex</w:t>
            </w:r>
          </w:p>
        </w:tc>
        <w:tc>
          <w:tcPr>
            <w:tcW w:w="1822" w:type="dxa"/>
            <w:tcBorders>
              <w:top w:val="nil"/>
              <w:left w:val="nil"/>
              <w:bottom w:val="nil"/>
              <w:right w:val="nil"/>
            </w:tcBorders>
            <w:shd w:val="clear" w:color="auto" w:fill="auto"/>
            <w:noWrap/>
            <w:vAlign w:val="center"/>
            <w:hideMark/>
          </w:tcPr>
          <w:p w14:paraId="4A53B482"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70" w:type="dxa"/>
            <w:tcBorders>
              <w:top w:val="nil"/>
              <w:left w:val="nil"/>
              <w:bottom w:val="nil"/>
              <w:right w:val="nil"/>
            </w:tcBorders>
            <w:shd w:val="clear" w:color="auto" w:fill="auto"/>
            <w:noWrap/>
            <w:vAlign w:val="center"/>
            <w:hideMark/>
          </w:tcPr>
          <w:p w14:paraId="0840BF70"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dxa"/>
            <w:tcBorders>
              <w:top w:val="nil"/>
              <w:left w:val="nil"/>
              <w:bottom w:val="nil"/>
              <w:right w:val="nil"/>
            </w:tcBorders>
            <w:shd w:val="clear" w:color="auto" w:fill="auto"/>
            <w:noWrap/>
            <w:vAlign w:val="center"/>
            <w:hideMark/>
          </w:tcPr>
          <w:p w14:paraId="36FCE7DB"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1956" w:type="dxa"/>
            <w:tcBorders>
              <w:top w:val="nil"/>
              <w:left w:val="nil"/>
              <w:bottom w:val="nil"/>
              <w:right w:val="nil"/>
            </w:tcBorders>
            <w:shd w:val="clear" w:color="auto" w:fill="auto"/>
            <w:noWrap/>
            <w:vAlign w:val="center"/>
            <w:hideMark/>
          </w:tcPr>
          <w:p w14:paraId="1F5790EE"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1770" w:type="dxa"/>
            <w:tcBorders>
              <w:top w:val="nil"/>
              <w:left w:val="nil"/>
              <w:bottom w:val="nil"/>
              <w:right w:val="nil"/>
            </w:tcBorders>
            <w:shd w:val="clear" w:color="auto" w:fill="auto"/>
            <w:noWrap/>
            <w:vAlign w:val="center"/>
            <w:hideMark/>
          </w:tcPr>
          <w:p w14:paraId="7D5FC22A"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2360" w:type="dxa"/>
            <w:tcBorders>
              <w:top w:val="nil"/>
              <w:left w:val="nil"/>
              <w:bottom w:val="nil"/>
              <w:right w:val="nil"/>
            </w:tcBorders>
            <w:shd w:val="clear" w:color="auto" w:fill="auto"/>
            <w:noWrap/>
            <w:vAlign w:val="center"/>
            <w:hideMark/>
          </w:tcPr>
          <w:p w14:paraId="5DA8BEF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0.613 </w:t>
            </w:r>
          </w:p>
        </w:tc>
      </w:tr>
      <w:tr w:rsidR="007A2703" w:rsidRPr="008404B8" w14:paraId="49A451EF" w14:textId="77777777" w:rsidTr="007A2703">
        <w:trPr>
          <w:trHeight w:val="315"/>
        </w:trPr>
        <w:tc>
          <w:tcPr>
            <w:tcW w:w="1884" w:type="dxa"/>
            <w:tcBorders>
              <w:top w:val="nil"/>
              <w:left w:val="nil"/>
              <w:bottom w:val="nil"/>
              <w:right w:val="nil"/>
            </w:tcBorders>
            <w:shd w:val="clear" w:color="auto" w:fill="auto"/>
            <w:noWrap/>
            <w:vAlign w:val="center"/>
            <w:hideMark/>
          </w:tcPr>
          <w:p w14:paraId="203BB809"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Male</w:t>
            </w:r>
          </w:p>
        </w:tc>
        <w:tc>
          <w:tcPr>
            <w:tcW w:w="1822" w:type="dxa"/>
            <w:tcBorders>
              <w:top w:val="nil"/>
              <w:left w:val="nil"/>
              <w:bottom w:val="nil"/>
              <w:right w:val="nil"/>
            </w:tcBorders>
            <w:shd w:val="clear" w:color="auto" w:fill="auto"/>
            <w:noWrap/>
            <w:vAlign w:val="center"/>
            <w:hideMark/>
          </w:tcPr>
          <w:p w14:paraId="2E100544"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113/4,099 (2.29)</w:t>
            </w:r>
          </w:p>
        </w:tc>
        <w:tc>
          <w:tcPr>
            <w:tcW w:w="1770" w:type="dxa"/>
            <w:tcBorders>
              <w:top w:val="nil"/>
              <w:left w:val="nil"/>
              <w:bottom w:val="nil"/>
              <w:right w:val="nil"/>
            </w:tcBorders>
            <w:shd w:val="clear" w:color="auto" w:fill="auto"/>
            <w:noWrap/>
            <w:vAlign w:val="center"/>
            <w:hideMark/>
          </w:tcPr>
          <w:p w14:paraId="37A6CCE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1.00 (reference)</w:t>
            </w:r>
          </w:p>
        </w:tc>
        <w:tc>
          <w:tcPr>
            <w:tcW w:w="204" w:type="dxa"/>
            <w:tcBorders>
              <w:top w:val="nil"/>
              <w:left w:val="nil"/>
              <w:bottom w:val="nil"/>
              <w:right w:val="nil"/>
            </w:tcBorders>
            <w:shd w:val="clear" w:color="auto" w:fill="auto"/>
            <w:noWrap/>
            <w:vAlign w:val="center"/>
            <w:hideMark/>
          </w:tcPr>
          <w:p w14:paraId="1510AE64"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56" w:type="dxa"/>
            <w:tcBorders>
              <w:top w:val="nil"/>
              <w:left w:val="nil"/>
              <w:bottom w:val="nil"/>
              <w:right w:val="nil"/>
            </w:tcBorders>
            <w:shd w:val="clear" w:color="auto" w:fill="auto"/>
            <w:noWrap/>
            <w:vAlign w:val="center"/>
            <w:hideMark/>
          </w:tcPr>
          <w:p w14:paraId="3BFEE355"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57/1,880 (3.25)</w:t>
            </w:r>
          </w:p>
        </w:tc>
        <w:tc>
          <w:tcPr>
            <w:tcW w:w="1770" w:type="dxa"/>
            <w:tcBorders>
              <w:top w:val="nil"/>
              <w:left w:val="nil"/>
              <w:bottom w:val="nil"/>
              <w:right w:val="nil"/>
            </w:tcBorders>
            <w:shd w:val="clear" w:color="auto" w:fill="auto"/>
            <w:noWrap/>
            <w:vAlign w:val="center"/>
            <w:hideMark/>
          </w:tcPr>
          <w:p w14:paraId="3C6405C7"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1.51 (1.00-2.27)</w:t>
            </w:r>
          </w:p>
        </w:tc>
        <w:tc>
          <w:tcPr>
            <w:tcW w:w="2360" w:type="dxa"/>
            <w:tcBorders>
              <w:top w:val="nil"/>
              <w:left w:val="nil"/>
              <w:bottom w:val="nil"/>
              <w:right w:val="nil"/>
            </w:tcBorders>
            <w:shd w:val="clear" w:color="auto" w:fill="auto"/>
            <w:noWrap/>
            <w:vAlign w:val="center"/>
            <w:hideMark/>
          </w:tcPr>
          <w:p w14:paraId="643E6B39"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7A2703" w:rsidRPr="008404B8" w14:paraId="0CB29887" w14:textId="77777777" w:rsidTr="007A2703">
        <w:trPr>
          <w:trHeight w:val="315"/>
        </w:trPr>
        <w:tc>
          <w:tcPr>
            <w:tcW w:w="1884" w:type="dxa"/>
            <w:tcBorders>
              <w:top w:val="nil"/>
              <w:left w:val="nil"/>
              <w:bottom w:val="single" w:sz="4" w:space="0" w:color="auto"/>
              <w:right w:val="nil"/>
            </w:tcBorders>
            <w:shd w:val="clear" w:color="auto" w:fill="auto"/>
            <w:noWrap/>
            <w:vAlign w:val="center"/>
            <w:hideMark/>
          </w:tcPr>
          <w:p w14:paraId="3FE80AB3"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Female</w:t>
            </w:r>
          </w:p>
        </w:tc>
        <w:tc>
          <w:tcPr>
            <w:tcW w:w="1822" w:type="dxa"/>
            <w:tcBorders>
              <w:top w:val="nil"/>
              <w:left w:val="nil"/>
              <w:bottom w:val="single" w:sz="4" w:space="0" w:color="auto"/>
              <w:right w:val="nil"/>
            </w:tcBorders>
            <w:shd w:val="clear" w:color="auto" w:fill="auto"/>
            <w:noWrap/>
            <w:vAlign w:val="center"/>
            <w:hideMark/>
          </w:tcPr>
          <w:p w14:paraId="43EF5CCE"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467/8,195 (5.38)</w:t>
            </w:r>
          </w:p>
        </w:tc>
        <w:tc>
          <w:tcPr>
            <w:tcW w:w="1770" w:type="dxa"/>
            <w:tcBorders>
              <w:top w:val="nil"/>
              <w:left w:val="nil"/>
              <w:bottom w:val="single" w:sz="4" w:space="0" w:color="auto"/>
              <w:right w:val="nil"/>
            </w:tcBorders>
            <w:shd w:val="clear" w:color="auto" w:fill="auto"/>
            <w:noWrap/>
            <w:vAlign w:val="center"/>
            <w:hideMark/>
          </w:tcPr>
          <w:p w14:paraId="50C81444"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2.30 (1.77-2.98)</w:t>
            </w:r>
          </w:p>
        </w:tc>
        <w:tc>
          <w:tcPr>
            <w:tcW w:w="204" w:type="dxa"/>
            <w:tcBorders>
              <w:top w:val="nil"/>
              <w:left w:val="nil"/>
              <w:bottom w:val="single" w:sz="4" w:space="0" w:color="auto"/>
              <w:right w:val="nil"/>
            </w:tcBorders>
            <w:shd w:val="clear" w:color="auto" w:fill="auto"/>
            <w:noWrap/>
            <w:vAlign w:val="center"/>
            <w:hideMark/>
          </w:tcPr>
          <w:p w14:paraId="26BE4ED8"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1956" w:type="dxa"/>
            <w:tcBorders>
              <w:top w:val="nil"/>
              <w:left w:val="nil"/>
              <w:bottom w:val="single" w:sz="4" w:space="0" w:color="auto"/>
              <w:right w:val="nil"/>
            </w:tcBorders>
            <w:shd w:val="clear" w:color="auto" w:fill="auto"/>
            <w:noWrap/>
            <w:vAlign w:val="center"/>
            <w:hideMark/>
          </w:tcPr>
          <w:p w14:paraId="6DE37BA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225/2,752 (8.08)</w:t>
            </w:r>
          </w:p>
        </w:tc>
        <w:tc>
          <w:tcPr>
            <w:tcW w:w="1770" w:type="dxa"/>
            <w:tcBorders>
              <w:top w:val="nil"/>
              <w:left w:val="nil"/>
              <w:bottom w:val="single" w:sz="4" w:space="0" w:color="auto"/>
              <w:right w:val="nil"/>
            </w:tcBorders>
            <w:shd w:val="clear" w:color="auto" w:fill="auto"/>
            <w:noWrap/>
            <w:vAlign w:val="center"/>
            <w:hideMark/>
          </w:tcPr>
          <w:p w14:paraId="4B0B7E93"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3.75 (2.82-4.98)</w:t>
            </w:r>
          </w:p>
        </w:tc>
        <w:tc>
          <w:tcPr>
            <w:tcW w:w="2360" w:type="dxa"/>
            <w:tcBorders>
              <w:top w:val="nil"/>
              <w:left w:val="nil"/>
              <w:bottom w:val="single" w:sz="4" w:space="0" w:color="auto"/>
              <w:right w:val="nil"/>
            </w:tcBorders>
            <w:shd w:val="clear" w:color="auto" w:fill="auto"/>
            <w:noWrap/>
            <w:vAlign w:val="center"/>
            <w:hideMark/>
          </w:tcPr>
          <w:p w14:paraId="13039D34"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r>
      <w:tr w:rsidR="007A2703" w:rsidRPr="008404B8" w14:paraId="160FF4A5" w14:textId="77777777" w:rsidTr="007A2703">
        <w:trPr>
          <w:trHeight w:val="315"/>
        </w:trPr>
        <w:tc>
          <w:tcPr>
            <w:tcW w:w="11766" w:type="dxa"/>
            <w:gridSpan w:val="7"/>
            <w:tcBorders>
              <w:top w:val="nil"/>
              <w:left w:val="nil"/>
              <w:bottom w:val="nil"/>
              <w:right w:val="nil"/>
            </w:tcBorders>
            <w:shd w:val="clear" w:color="auto" w:fill="auto"/>
            <w:vAlign w:val="center"/>
            <w:hideMark/>
          </w:tcPr>
          <w:p w14:paraId="3A923535"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i/>
                <w:iCs/>
                <w:color w:val="000000"/>
                <w:kern w:val="0"/>
                <w:sz w:val="24"/>
                <w:szCs w:val="24"/>
              </w:rPr>
              <w:t>Abbreviations</w:t>
            </w:r>
            <w:r w:rsidRPr="008404B8">
              <w:rPr>
                <w:rFonts w:ascii="Times New Roman" w:eastAsia="맑은 고딕" w:hAnsi="Times New Roman" w:cs="Times New Roman"/>
                <w:color w:val="000000"/>
                <w:kern w:val="0"/>
                <w:sz w:val="24"/>
                <w:szCs w:val="24"/>
              </w:rPr>
              <w:t xml:space="preserve">. SHS, secondhand smoke; </w:t>
            </w:r>
            <w:proofErr w:type="spellStart"/>
            <w:r w:rsidRPr="008404B8">
              <w:rPr>
                <w:rFonts w:ascii="Times New Roman" w:eastAsia="맑은 고딕" w:hAnsi="Times New Roman" w:cs="Times New Roman"/>
                <w:color w:val="000000"/>
                <w:kern w:val="0"/>
                <w:sz w:val="24"/>
                <w:szCs w:val="24"/>
              </w:rPr>
              <w:t>aOR</w:t>
            </w:r>
            <w:proofErr w:type="spellEnd"/>
            <w:r w:rsidRPr="008404B8">
              <w:rPr>
                <w:rFonts w:ascii="Times New Roman" w:eastAsia="맑은 고딕" w:hAnsi="Times New Roman" w:cs="Times New Roman"/>
                <w:color w:val="000000"/>
                <w:kern w:val="0"/>
                <w:sz w:val="24"/>
                <w:szCs w:val="24"/>
              </w:rPr>
              <w:t>, adjusted odds ratio; CI, confidence interval; RERI, relative excess risk due to interaction.</w:t>
            </w:r>
          </w:p>
        </w:tc>
      </w:tr>
      <w:tr w:rsidR="007A2703" w:rsidRPr="008404B8" w14:paraId="2B2C4BF1" w14:textId="77777777" w:rsidTr="007A2703">
        <w:trPr>
          <w:trHeight w:val="315"/>
        </w:trPr>
        <w:tc>
          <w:tcPr>
            <w:tcW w:w="11766" w:type="dxa"/>
            <w:gridSpan w:val="7"/>
            <w:tcBorders>
              <w:top w:val="nil"/>
              <w:left w:val="nil"/>
              <w:bottom w:val="nil"/>
              <w:right w:val="nil"/>
            </w:tcBorders>
            <w:shd w:val="clear" w:color="auto" w:fill="auto"/>
            <w:vAlign w:val="center"/>
            <w:hideMark/>
          </w:tcPr>
          <w:p w14:paraId="7D290EDE"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vertAlign w:val="superscript"/>
              </w:rPr>
              <w:t>1</w:t>
            </w:r>
            <w:r w:rsidRPr="008404B8">
              <w:rPr>
                <w:rFonts w:ascii="Times New Roman" w:eastAsia="맑은 고딕" w:hAnsi="Times New Roman" w:cs="Times New Roman"/>
                <w:color w:val="000000"/>
                <w:kern w:val="0"/>
                <w:sz w:val="24"/>
                <w:szCs w:val="24"/>
              </w:rPr>
              <w:t>N (%) displays the strata-specific depressed N/total N (weighted %).</w:t>
            </w:r>
          </w:p>
        </w:tc>
      </w:tr>
      <w:tr w:rsidR="007A2703" w:rsidRPr="008404B8" w14:paraId="4CA483CC" w14:textId="77777777" w:rsidTr="007A2703">
        <w:trPr>
          <w:trHeight w:val="930"/>
        </w:trPr>
        <w:tc>
          <w:tcPr>
            <w:tcW w:w="11766" w:type="dxa"/>
            <w:gridSpan w:val="7"/>
            <w:tcBorders>
              <w:top w:val="nil"/>
              <w:left w:val="nil"/>
              <w:bottom w:val="nil"/>
              <w:right w:val="nil"/>
            </w:tcBorders>
            <w:shd w:val="clear" w:color="auto" w:fill="auto"/>
            <w:vAlign w:val="center"/>
            <w:hideMark/>
          </w:tcPr>
          <w:p w14:paraId="5D6A289A"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vertAlign w:val="superscript"/>
              </w:rPr>
              <w:t>2</w:t>
            </w:r>
            <w:r w:rsidRPr="008404B8">
              <w:rPr>
                <w:rFonts w:ascii="Times New Roman" w:eastAsia="맑은 고딕" w:hAnsi="Times New Roman" w:cs="Times New Roman"/>
                <w:color w:val="000000"/>
                <w:kern w:val="0"/>
                <w:sz w:val="24"/>
                <w:szCs w:val="24"/>
              </w:rPr>
              <w:t>All models were adjusted for cotinine, age, sex, socioeconomic status (income, education, marital status, number of cohabitants, and occupation type) and comorbidities (history of metabolic, cardiovascular, thyroid, and neoplastic diseases), except for the stratification variable.</w:t>
            </w:r>
          </w:p>
        </w:tc>
      </w:tr>
    </w:tbl>
    <w:p w14:paraId="1236C5CE" w14:textId="126D7B98" w:rsidR="007A2703" w:rsidRPr="008404B8" w:rsidRDefault="007A2703">
      <w:pPr>
        <w:widowControl/>
        <w:wordWrap/>
        <w:autoSpaceDE/>
        <w:autoSpaceDN/>
        <w:spacing w:line="259" w:lineRule="auto"/>
        <w:rPr>
          <w:rFonts w:ascii="Times New Roman" w:hAnsi="Times New Roman" w:cs="Times New Roman"/>
          <w:sz w:val="24"/>
          <w:szCs w:val="24"/>
        </w:rPr>
      </w:pPr>
    </w:p>
    <w:p w14:paraId="0D2B35C3" w14:textId="77777777" w:rsidR="007A2703" w:rsidRPr="008404B8" w:rsidRDefault="007A2703">
      <w:pPr>
        <w:widowControl/>
        <w:wordWrap/>
        <w:autoSpaceDE/>
        <w:autoSpaceDN/>
        <w:spacing w:line="259" w:lineRule="auto"/>
        <w:rPr>
          <w:rFonts w:ascii="Times New Roman" w:hAnsi="Times New Roman" w:cs="Times New Roman"/>
          <w:sz w:val="24"/>
          <w:szCs w:val="24"/>
        </w:rPr>
      </w:pPr>
      <w:r w:rsidRPr="008404B8">
        <w:rPr>
          <w:rFonts w:ascii="Times New Roman" w:hAnsi="Times New Roman" w:cs="Times New Roman"/>
          <w:sz w:val="24"/>
          <w:szCs w:val="24"/>
        </w:rPr>
        <w:br w:type="page"/>
      </w:r>
    </w:p>
    <w:p w14:paraId="2B19A8CD" w14:textId="71DB624C" w:rsidR="007A2703" w:rsidRPr="008404B8" w:rsidRDefault="00F212A3">
      <w:pPr>
        <w:widowControl/>
        <w:wordWrap/>
        <w:autoSpaceDE/>
        <w:autoSpaceDN/>
        <w:spacing w:line="259" w:lineRule="auto"/>
        <w:rPr>
          <w:rFonts w:ascii="Times New Roman" w:hAnsi="Times New Roman" w:cs="Times New Roman"/>
          <w:sz w:val="24"/>
          <w:szCs w:val="24"/>
        </w:rPr>
      </w:pPr>
      <w:r w:rsidRPr="008404B8">
        <w:rPr>
          <w:noProof/>
        </w:rPr>
        <w:lastRenderedPageBreak/>
        <w:drawing>
          <wp:inline distT="0" distB="0" distL="0" distR="0" wp14:anchorId="64AEB48A" wp14:editId="033396F1">
            <wp:extent cx="8697595" cy="4949190"/>
            <wp:effectExtent l="0" t="0" r="8255" b="3810"/>
            <wp:docPr id="1285761827" name="그림 1" descr="텍스트, 스크린샷, 폰트, 번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761827" name="그림 1" descr="텍스트, 스크린샷, 폰트, 번호이(가) 표시된 사진&#10;&#10;자동 생성된 설명"/>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97595" cy="4949190"/>
                    </a:xfrm>
                    <a:prstGeom prst="rect">
                      <a:avLst/>
                    </a:prstGeom>
                    <a:noFill/>
                    <a:ln>
                      <a:noFill/>
                    </a:ln>
                  </pic:spPr>
                </pic:pic>
              </a:graphicData>
            </a:graphic>
          </wp:inline>
        </w:drawing>
      </w:r>
    </w:p>
    <w:p w14:paraId="26EDEA51" w14:textId="7637BA59" w:rsidR="007A2703" w:rsidRPr="008404B8" w:rsidRDefault="007A2703">
      <w:pPr>
        <w:widowControl/>
        <w:wordWrap/>
        <w:autoSpaceDE/>
        <w:autoSpaceDN/>
        <w:spacing w:line="259" w:lineRule="auto"/>
        <w:rPr>
          <w:rFonts w:ascii="Times New Roman" w:hAnsi="Times New Roman" w:cs="Times New Roman"/>
          <w:b/>
          <w:bCs/>
          <w:sz w:val="24"/>
          <w:szCs w:val="24"/>
        </w:rPr>
      </w:pPr>
      <w:proofErr w:type="spellStart"/>
      <w:r w:rsidRPr="008404B8">
        <w:rPr>
          <w:rFonts w:ascii="Times New Roman" w:hAnsi="Times New Roman" w:cs="Times New Roman"/>
          <w:b/>
          <w:bCs/>
          <w:sz w:val="24"/>
          <w:szCs w:val="24"/>
        </w:rPr>
        <w:t>eResults</w:t>
      </w:r>
      <w:proofErr w:type="spellEnd"/>
      <w:r w:rsidRPr="008404B8">
        <w:rPr>
          <w:rFonts w:ascii="Times New Roman" w:hAnsi="Times New Roman" w:cs="Times New Roman"/>
          <w:b/>
          <w:bCs/>
          <w:sz w:val="24"/>
          <w:szCs w:val="24"/>
        </w:rPr>
        <w:t xml:space="preserve"> 2. Summary of sensitivity analyses</w:t>
      </w:r>
    </w:p>
    <w:p w14:paraId="7A974C06" w14:textId="3520F592" w:rsidR="007A2703" w:rsidRPr="008404B8" w:rsidRDefault="007A2703">
      <w:pPr>
        <w:widowControl/>
        <w:wordWrap/>
        <w:autoSpaceDE/>
        <w:autoSpaceDN/>
        <w:spacing w:line="259" w:lineRule="auto"/>
        <w:rPr>
          <w:rFonts w:ascii="Times New Roman" w:hAnsi="Times New Roman" w:cs="Times New Roman"/>
          <w:sz w:val="24"/>
          <w:szCs w:val="24"/>
        </w:rPr>
      </w:pPr>
      <w:r w:rsidRPr="008404B8">
        <w:rPr>
          <w:rFonts w:ascii="Times New Roman" w:hAnsi="Times New Roman" w:cs="Times New Roman"/>
          <w:sz w:val="24"/>
          <w:szCs w:val="24"/>
        </w:rPr>
        <w:br w:type="page"/>
      </w:r>
    </w:p>
    <w:tbl>
      <w:tblPr>
        <w:tblW w:w="12580" w:type="dxa"/>
        <w:tblCellMar>
          <w:left w:w="99" w:type="dxa"/>
          <w:right w:w="99" w:type="dxa"/>
        </w:tblCellMar>
        <w:tblLook w:val="04A0" w:firstRow="1" w:lastRow="0" w:firstColumn="1" w:lastColumn="0" w:noHBand="0" w:noVBand="1"/>
      </w:tblPr>
      <w:tblGrid>
        <w:gridCol w:w="1765"/>
        <w:gridCol w:w="1233"/>
        <w:gridCol w:w="1042"/>
        <w:gridCol w:w="1196"/>
        <w:gridCol w:w="204"/>
        <w:gridCol w:w="1233"/>
        <w:gridCol w:w="974"/>
        <w:gridCol w:w="1196"/>
        <w:gridCol w:w="204"/>
        <w:gridCol w:w="1909"/>
        <w:gridCol w:w="204"/>
        <w:gridCol w:w="1909"/>
      </w:tblGrid>
      <w:tr w:rsidR="007A2703" w:rsidRPr="008404B8" w14:paraId="641D1179" w14:textId="77777777" w:rsidTr="007A2703">
        <w:trPr>
          <w:trHeight w:val="345"/>
        </w:trPr>
        <w:tc>
          <w:tcPr>
            <w:tcW w:w="12580" w:type="dxa"/>
            <w:gridSpan w:val="12"/>
            <w:tcBorders>
              <w:top w:val="nil"/>
              <w:left w:val="nil"/>
              <w:bottom w:val="double" w:sz="6" w:space="0" w:color="auto"/>
              <w:right w:val="nil"/>
            </w:tcBorders>
            <w:shd w:val="clear" w:color="auto" w:fill="auto"/>
            <w:noWrap/>
            <w:vAlign w:val="center"/>
            <w:hideMark/>
          </w:tcPr>
          <w:p w14:paraId="05C14FBF" w14:textId="1DEA36BB" w:rsidR="007A2703" w:rsidRPr="008404B8" w:rsidRDefault="007A2703" w:rsidP="007A2703">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roofErr w:type="spellStart"/>
            <w:r w:rsidRPr="008404B8">
              <w:rPr>
                <w:rFonts w:ascii="Times New Roman" w:eastAsia="맑은 고딕" w:hAnsi="Times New Roman" w:cs="Times New Roman"/>
                <w:b/>
                <w:bCs/>
                <w:color w:val="000000"/>
                <w:kern w:val="0"/>
                <w:sz w:val="24"/>
                <w:szCs w:val="24"/>
              </w:rPr>
              <w:lastRenderedPageBreak/>
              <w:t>eResults</w:t>
            </w:r>
            <w:proofErr w:type="spellEnd"/>
            <w:r w:rsidRPr="008404B8">
              <w:rPr>
                <w:rFonts w:ascii="Times New Roman" w:eastAsia="맑은 고딕" w:hAnsi="Times New Roman" w:cs="Times New Roman"/>
                <w:b/>
                <w:bCs/>
                <w:color w:val="000000"/>
                <w:kern w:val="0"/>
                <w:sz w:val="24"/>
                <w:szCs w:val="24"/>
              </w:rPr>
              <w:t xml:space="preserve"> 3. Odds ratios of negative control outcomes associated with perceived secondhand smoke</w:t>
            </w:r>
          </w:p>
        </w:tc>
      </w:tr>
      <w:tr w:rsidR="007A2703" w:rsidRPr="008404B8" w14:paraId="6065877A" w14:textId="77777777" w:rsidTr="007A2703">
        <w:trPr>
          <w:trHeight w:val="619"/>
        </w:trPr>
        <w:tc>
          <w:tcPr>
            <w:tcW w:w="1765" w:type="dxa"/>
            <w:tcBorders>
              <w:top w:val="nil"/>
              <w:left w:val="nil"/>
              <w:bottom w:val="nil"/>
              <w:right w:val="nil"/>
            </w:tcBorders>
            <w:shd w:val="clear" w:color="auto" w:fill="auto"/>
            <w:noWrap/>
            <w:vAlign w:val="center"/>
            <w:hideMark/>
          </w:tcPr>
          <w:p w14:paraId="4A344CE9"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3471" w:type="dxa"/>
            <w:gridSpan w:val="3"/>
            <w:vMerge w:val="restart"/>
            <w:tcBorders>
              <w:top w:val="double" w:sz="6" w:space="0" w:color="auto"/>
              <w:left w:val="nil"/>
              <w:bottom w:val="single" w:sz="4" w:space="0" w:color="auto"/>
              <w:right w:val="nil"/>
            </w:tcBorders>
            <w:shd w:val="clear" w:color="auto" w:fill="auto"/>
            <w:noWrap/>
            <w:vAlign w:val="center"/>
            <w:hideMark/>
          </w:tcPr>
          <w:p w14:paraId="53776D72"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 perceived SHS</w:t>
            </w:r>
          </w:p>
        </w:tc>
        <w:tc>
          <w:tcPr>
            <w:tcW w:w="41" w:type="dxa"/>
            <w:tcBorders>
              <w:top w:val="nil"/>
              <w:left w:val="nil"/>
              <w:bottom w:val="nil"/>
              <w:right w:val="nil"/>
            </w:tcBorders>
            <w:shd w:val="clear" w:color="auto" w:fill="auto"/>
            <w:noWrap/>
            <w:vAlign w:val="center"/>
            <w:hideMark/>
          </w:tcPr>
          <w:p w14:paraId="27AE9059"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403" w:type="dxa"/>
            <w:gridSpan w:val="3"/>
            <w:vMerge w:val="restart"/>
            <w:tcBorders>
              <w:top w:val="double" w:sz="6" w:space="0" w:color="auto"/>
              <w:left w:val="nil"/>
              <w:bottom w:val="single" w:sz="4" w:space="0" w:color="auto"/>
              <w:right w:val="nil"/>
            </w:tcBorders>
            <w:shd w:val="clear" w:color="auto" w:fill="auto"/>
            <w:noWrap/>
            <w:vAlign w:val="center"/>
            <w:hideMark/>
          </w:tcPr>
          <w:p w14:paraId="6EE4695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With perceived SHS</w:t>
            </w:r>
          </w:p>
        </w:tc>
        <w:tc>
          <w:tcPr>
            <w:tcW w:w="41" w:type="dxa"/>
            <w:tcBorders>
              <w:top w:val="nil"/>
              <w:left w:val="nil"/>
              <w:bottom w:val="nil"/>
              <w:right w:val="nil"/>
            </w:tcBorders>
            <w:shd w:val="clear" w:color="auto" w:fill="auto"/>
            <w:noWrap/>
            <w:vAlign w:val="center"/>
            <w:hideMark/>
          </w:tcPr>
          <w:p w14:paraId="4BA9311A"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09" w:type="dxa"/>
            <w:vMerge w:val="restart"/>
            <w:tcBorders>
              <w:top w:val="nil"/>
              <w:left w:val="nil"/>
              <w:bottom w:val="single" w:sz="4" w:space="0" w:color="000000"/>
              <w:right w:val="nil"/>
            </w:tcBorders>
            <w:shd w:val="clear" w:color="auto" w:fill="auto"/>
            <w:vAlign w:val="center"/>
            <w:hideMark/>
          </w:tcPr>
          <w:p w14:paraId="34CD82D8"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Perceived</w:t>
            </w:r>
            <w:r w:rsidRPr="008404B8">
              <w:rPr>
                <w:rFonts w:ascii="Times New Roman" w:eastAsia="맑은 고딕" w:hAnsi="Times New Roman" w:cs="Times New Roman"/>
                <w:color w:val="000000"/>
                <w:kern w:val="0"/>
                <w:sz w:val="24"/>
                <w:szCs w:val="24"/>
              </w:rPr>
              <w:br/>
              <w:t>SHS</w:t>
            </w:r>
          </w:p>
        </w:tc>
        <w:tc>
          <w:tcPr>
            <w:tcW w:w="41" w:type="dxa"/>
            <w:tcBorders>
              <w:top w:val="nil"/>
              <w:left w:val="nil"/>
              <w:bottom w:val="nil"/>
              <w:right w:val="nil"/>
            </w:tcBorders>
            <w:shd w:val="clear" w:color="auto" w:fill="auto"/>
            <w:noWrap/>
            <w:vAlign w:val="center"/>
            <w:hideMark/>
          </w:tcPr>
          <w:p w14:paraId="4B216E7C"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09" w:type="dxa"/>
            <w:vMerge w:val="restart"/>
            <w:tcBorders>
              <w:top w:val="nil"/>
              <w:left w:val="nil"/>
              <w:bottom w:val="single" w:sz="4" w:space="0" w:color="000000"/>
              <w:right w:val="nil"/>
            </w:tcBorders>
            <w:shd w:val="clear" w:color="auto" w:fill="auto"/>
            <w:vAlign w:val="center"/>
            <w:hideMark/>
          </w:tcPr>
          <w:p w14:paraId="5C9878F7"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Biomarker</w:t>
            </w:r>
            <w:r w:rsidRPr="008404B8">
              <w:rPr>
                <w:rFonts w:ascii="Times New Roman" w:eastAsia="맑은 고딕" w:hAnsi="Times New Roman" w:cs="Times New Roman"/>
                <w:color w:val="000000"/>
                <w:kern w:val="0"/>
                <w:sz w:val="24"/>
                <w:szCs w:val="24"/>
              </w:rPr>
              <w:br/>
              <w:t>measured</w:t>
            </w:r>
            <w:r w:rsidRPr="008404B8">
              <w:rPr>
                <w:rFonts w:ascii="Times New Roman" w:eastAsia="맑은 고딕" w:hAnsi="Times New Roman" w:cs="Times New Roman"/>
                <w:color w:val="000000"/>
                <w:kern w:val="0"/>
                <w:sz w:val="24"/>
                <w:szCs w:val="24"/>
              </w:rPr>
              <w:br/>
              <w:t>SHS</w:t>
            </w:r>
            <w:r w:rsidRPr="008404B8">
              <w:rPr>
                <w:rFonts w:ascii="Times New Roman" w:eastAsia="맑은 고딕" w:hAnsi="Times New Roman" w:cs="Times New Roman"/>
                <w:color w:val="000000"/>
                <w:kern w:val="0"/>
                <w:sz w:val="24"/>
                <w:szCs w:val="24"/>
                <w:vertAlign w:val="superscript"/>
              </w:rPr>
              <w:t>1</w:t>
            </w:r>
          </w:p>
        </w:tc>
      </w:tr>
      <w:tr w:rsidR="007A2703" w:rsidRPr="008404B8" w14:paraId="1C0EA3C7" w14:textId="77777777" w:rsidTr="007A2703">
        <w:trPr>
          <w:trHeight w:val="330"/>
        </w:trPr>
        <w:tc>
          <w:tcPr>
            <w:tcW w:w="1765" w:type="dxa"/>
            <w:tcBorders>
              <w:top w:val="nil"/>
              <w:left w:val="nil"/>
              <w:bottom w:val="nil"/>
              <w:right w:val="nil"/>
            </w:tcBorders>
            <w:shd w:val="clear" w:color="auto" w:fill="auto"/>
            <w:noWrap/>
            <w:vAlign w:val="center"/>
            <w:hideMark/>
          </w:tcPr>
          <w:p w14:paraId="320B34CE"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471" w:type="dxa"/>
            <w:gridSpan w:val="3"/>
            <w:vMerge/>
            <w:tcBorders>
              <w:top w:val="single" w:sz="4" w:space="0" w:color="000000"/>
              <w:left w:val="nil"/>
              <w:bottom w:val="single" w:sz="4" w:space="0" w:color="auto"/>
              <w:right w:val="nil"/>
            </w:tcBorders>
            <w:vAlign w:val="center"/>
            <w:hideMark/>
          </w:tcPr>
          <w:p w14:paraId="72F5825F"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41" w:type="dxa"/>
            <w:tcBorders>
              <w:top w:val="nil"/>
              <w:left w:val="nil"/>
              <w:bottom w:val="nil"/>
              <w:right w:val="nil"/>
            </w:tcBorders>
            <w:shd w:val="clear" w:color="auto" w:fill="auto"/>
            <w:noWrap/>
            <w:vAlign w:val="center"/>
            <w:hideMark/>
          </w:tcPr>
          <w:p w14:paraId="4F9777EA" w14:textId="77777777" w:rsidR="007A2703" w:rsidRPr="008404B8" w:rsidRDefault="007A2703" w:rsidP="007A2703">
            <w:pPr>
              <w:widowControl/>
              <w:wordWrap/>
              <w:autoSpaceDE/>
              <w:autoSpaceDN/>
              <w:spacing w:after="0" w:line="240" w:lineRule="auto"/>
              <w:jc w:val="left"/>
              <w:rPr>
                <w:rFonts w:ascii="Times New Roman" w:eastAsia="Times New Roman" w:hAnsi="Times New Roman" w:cs="Times New Roman"/>
                <w:kern w:val="0"/>
                <w:szCs w:val="20"/>
              </w:rPr>
            </w:pPr>
          </w:p>
        </w:tc>
        <w:tc>
          <w:tcPr>
            <w:tcW w:w="3403" w:type="dxa"/>
            <w:gridSpan w:val="3"/>
            <w:vMerge/>
            <w:tcBorders>
              <w:top w:val="single" w:sz="4" w:space="0" w:color="000000"/>
              <w:left w:val="nil"/>
              <w:bottom w:val="single" w:sz="4" w:space="0" w:color="auto"/>
              <w:right w:val="nil"/>
            </w:tcBorders>
            <w:vAlign w:val="center"/>
            <w:hideMark/>
          </w:tcPr>
          <w:p w14:paraId="00E01A2A"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41" w:type="dxa"/>
            <w:tcBorders>
              <w:top w:val="nil"/>
              <w:left w:val="nil"/>
              <w:bottom w:val="nil"/>
              <w:right w:val="nil"/>
            </w:tcBorders>
            <w:shd w:val="clear" w:color="auto" w:fill="auto"/>
            <w:noWrap/>
            <w:vAlign w:val="center"/>
            <w:hideMark/>
          </w:tcPr>
          <w:p w14:paraId="30585BAE"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1909" w:type="dxa"/>
            <w:vMerge/>
            <w:tcBorders>
              <w:top w:val="nil"/>
              <w:left w:val="nil"/>
              <w:bottom w:val="single" w:sz="4" w:space="0" w:color="000000"/>
              <w:right w:val="nil"/>
            </w:tcBorders>
            <w:vAlign w:val="center"/>
            <w:hideMark/>
          </w:tcPr>
          <w:p w14:paraId="48C1F24F"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41" w:type="dxa"/>
            <w:tcBorders>
              <w:top w:val="nil"/>
              <w:left w:val="nil"/>
              <w:bottom w:val="nil"/>
              <w:right w:val="nil"/>
            </w:tcBorders>
            <w:shd w:val="clear" w:color="auto" w:fill="auto"/>
            <w:noWrap/>
            <w:vAlign w:val="center"/>
            <w:hideMark/>
          </w:tcPr>
          <w:p w14:paraId="5379ACB5"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1909" w:type="dxa"/>
            <w:vMerge/>
            <w:tcBorders>
              <w:top w:val="nil"/>
              <w:left w:val="nil"/>
              <w:bottom w:val="single" w:sz="4" w:space="0" w:color="000000"/>
              <w:right w:val="nil"/>
            </w:tcBorders>
            <w:vAlign w:val="center"/>
            <w:hideMark/>
          </w:tcPr>
          <w:p w14:paraId="7DE38267"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r>
      <w:tr w:rsidR="007A2703" w:rsidRPr="008404B8" w14:paraId="632196CB" w14:textId="77777777" w:rsidTr="007A2703">
        <w:trPr>
          <w:trHeight w:val="360"/>
        </w:trPr>
        <w:tc>
          <w:tcPr>
            <w:tcW w:w="1765" w:type="dxa"/>
            <w:tcBorders>
              <w:top w:val="nil"/>
              <w:left w:val="nil"/>
              <w:bottom w:val="nil"/>
              <w:right w:val="nil"/>
            </w:tcBorders>
            <w:shd w:val="clear" w:color="auto" w:fill="auto"/>
            <w:noWrap/>
            <w:vAlign w:val="center"/>
            <w:hideMark/>
          </w:tcPr>
          <w:p w14:paraId="78ADD498" w14:textId="77777777" w:rsidR="007A2703" w:rsidRPr="008404B8" w:rsidRDefault="007A2703" w:rsidP="007A2703">
            <w:pPr>
              <w:widowControl/>
              <w:wordWrap/>
              <w:autoSpaceDE/>
              <w:autoSpaceDN/>
              <w:spacing w:after="0" w:line="240" w:lineRule="auto"/>
              <w:jc w:val="center"/>
              <w:rPr>
                <w:rFonts w:ascii="Times New Roman" w:eastAsia="Times New Roman" w:hAnsi="Times New Roman" w:cs="Times New Roman"/>
                <w:kern w:val="0"/>
                <w:szCs w:val="20"/>
              </w:rPr>
            </w:pPr>
          </w:p>
        </w:tc>
        <w:tc>
          <w:tcPr>
            <w:tcW w:w="1233" w:type="dxa"/>
            <w:vMerge w:val="restart"/>
            <w:tcBorders>
              <w:top w:val="single" w:sz="4" w:space="0" w:color="auto"/>
              <w:left w:val="nil"/>
              <w:bottom w:val="single" w:sz="4" w:space="0" w:color="000000"/>
              <w:right w:val="nil"/>
            </w:tcBorders>
            <w:shd w:val="clear" w:color="auto" w:fill="auto"/>
            <w:vAlign w:val="center"/>
            <w:hideMark/>
          </w:tcPr>
          <w:p w14:paraId="3FC1BA1D"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Depressed</w:t>
            </w:r>
            <w:r w:rsidRPr="008404B8">
              <w:rPr>
                <w:rFonts w:ascii="Times New Roman" w:eastAsia="맑은 고딕" w:hAnsi="Times New Roman" w:cs="Times New Roman"/>
                <w:color w:val="000000"/>
                <w:kern w:val="0"/>
                <w:sz w:val="24"/>
                <w:szCs w:val="24"/>
              </w:rPr>
              <w:br/>
              <w:t>N</w:t>
            </w:r>
          </w:p>
        </w:tc>
        <w:tc>
          <w:tcPr>
            <w:tcW w:w="1042" w:type="dxa"/>
            <w:vMerge w:val="restart"/>
            <w:tcBorders>
              <w:top w:val="single" w:sz="4" w:space="0" w:color="auto"/>
              <w:left w:val="nil"/>
              <w:bottom w:val="single" w:sz="4" w:space="0" w:color="000000"/>
              <w:right w:val="nil"/>
            </w:tcBorders>
            <w:shd w:val="clear" w:color="auto" w:fill="auto"/>
            <w:vAlign w:val="center"/>
            <w:hideMark/>
          </w:tcPr>
          <w:p w14:paraId="060DBDC9"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Total</w:t>
            </w:r>
            <w:r w:rsidRPr="008404B8">
              <w:rPr>
                <w:rFonts w:ascii="Times New Roman" w:eastAsia="맑은 고딕" w:hAnsi="Times New Roman" w:cs="Times New Roman"/>
                <w:color w:val="000000"/>
                <w:kern w:val="0"/>
                <w:sz w:val="24"/>
                <w:szCs w:val="24"/>
              </w:rPr>
              <w:br/>
              <w:t>N</w:t>
            </w:r>
          </w:p>
        </w:tc>
        <w:tc>
          <w:tcPr>
            <w:tcW w:w="1196" w:type="dxa"/>
            <w:vMerge w:val="restart"/>
            <w:tcBorders>
              <w:top w:val="single" w:sz="4" w:space="0" w:color="auto"/>
              <w:left w:val="nil"/>
              <w:bottom w:val="single" w:sz="4" w:space="0" w:color="000000"/>
              <w:right w:val="nil"/>
            </w:tcBorders>
            <w:shd w:val="clear" w:color="auto" w:fill="auto"/>
            <w:vAlign w:val="center"/>
            <w:hideMark/>
          </w:tcPr>
          <w:p w14:paraId="583673ED"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Weighted</w:t>
            </w:r>
            <w:r w:rsidRPr="008404B8">
              <w:rPr>
                <w:rFonts w:ascii="Times New Roman" w:eastAsia="맑은 고딕" w:hAnsi="Times New Roman" w:cs="Times New Roman"/>
                <w:color w:val="000000"/>
                <w:kern w:val="0"/>
                <w:sz w:val="24"/>
                <w:szCs w:val="24"/>
              </w:rPr>
              <w:br/>
              <w:t>%</w:t>
            </w:r>
          </w:p>
        </w:tc>
        <w:tc>
          <w:tcPr>
            <w:tcW w:w="41" w:type="dxa"/>
            <w:tcBorders>
              <w:top w:val="nil"/>
              <w:left w:val="nil"/>
              <w:bottom w:val="nil"/>
              <w:right w:val="nil"/>
            </w:tcBorders>
            <w:shd w:val="clear" w:color="auto" w:fill="auto"/>
            <w:noWrap/>
            <w:vAlign w:val="center"/>
            <w:hideMark/>
          </w:tcPr>
          <w:p w14:paraId="3C0A35D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233" w:type="dxa"/>
            <w:vMerge w:val="restart"/>
            <w:tcBorders>
              <w:top w:val="single" w:sz="4" w:space="0" w:color="auto"/>
              <w:left w:val="nil"/>
              <w:bottom w:val="single" w:sz="4" w:space="0" w:color="000000"/>
              <w:right w:val="nil"/>
            </w:tcBorders>
            <w:shd w:val="clear" w:color="auto" w:fill="auto"/>
            <w:vAlign w:val="center"/>
            <w:hideMark/>
          </w:tcPr>
          <w:p w14:paraId="6EC17FA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Depressed</w:t>
            </w:r>
            <w:r w:rsidRPr="008404B8">
              <w:rPr>
                <w:rFonts w:ascii="Times New Roman" w:eastAsia="맑은 고딕" w:hAnsi="Times New Roman" w:cs="Times New Roman"/>
                <w:color w:val="000000"/>
                <w:kern w:val="0"/>
                <w:sz w:val="24"/>
                <w:szCs w:val="24"/>
              </w:rPr>
              <w:br/>
              <w:t>N</w:t>
            </w:r>
          </w:p>
        </w:tc>
        <w:tc>
          <w:tcPr>
            <w:tcW w:w="974" w:type="dxa"/>
            <w:vMerge w:val="restart"/>
            <w:tcBorders>
              <w:top w:val="single" w:sz="4" w:space="0" w:color="auto"/>
              <w:left w:val="nil"/>
              <w:bottom w:val="single" w:sz="4" w:space="0" w:color="000000"/>
              <w:right w:val="nil"/>
            </w:tcBorders>
            <w:shd w:val="clear" w:color="auto" w:fill="auto"/>
            <w:vAlign w:val="center"/>
            <w:hideMark/>
          </w:tcPr>
          <w:p w14:paraId="104A389B"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Total</w:t>
            </w:r>
            <w:r w:rsidRPr="008404B8">
              <w:rPr>
                <w:rFonts w:ascii="Times New Roman" w:eastAsia="맑은 고딕" w:hAnsi="Times New Roman" w:cs="Times New Roman"/>
                <w:color w:val="000000"/>
                <w:kern w:val="0"/>
                <w:sz w:val="24"/>
                <w:szCs w:val="24"/>
              </w:rPr>
              <w:br/>
              <w:t>N</w:t>
            </w:r>
          </w:p>
        </w:tc>
        <w:tc>
          <w:tcPr>
            <w:tcW w:w="1196" w:type="dxa"/>
            <w:vMerge w:val="restart"/>
            <w:tcBorders>
              <w:top w:val="single" w:sz="4" w:space="0" w:color="auto"/>
              <w:left w:val="nil"/>
              <w:bottom w:val="single" w:sz="4" w:space="0" w:color="000000"/>
              <w:right w:val="nil"/>
            </w:tcBorders>
            <w:shd w:val="clear" w:color="auto" w:fill="auto"/>
            <w:vAlign w:val="center"/>
            <w:hideMark/>
          </w:tcPr>
          <w:p w14:paraId="0A6A423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Weighted</w:t>
            </w:r>
            <w:r w:rsidRPr="008404B8">
              <w:rPr>
                <w:rFonts w:ascii="Times New Roman" w:eastAsia="맑은 고딕" w:hAnsi="Times New Roman" w:cs="Times New Roman"/>
                <w:color w:val="000000"/>
                <w:kern w:val="0"/>
                <w:sz w:val="24"/>
                <w:szCs w:val="24"/>
              </w:rPr>
              <w:br/>
              <w:t>%</w:t>
            </w:r>
          </w:p>
        </w:tc>
        <w:tc>
          <w:tcPr>
            <w:tcW w:w="41" w:type="dxa"/>
            <w:tcBorders>
              <w:top w:val="nil"/>
              <w:left w:val="nil"/>
              <w:bottom w:val="nil"/>
              <w:right w:val="nil"/>
            </w:tcBorders>
            <w:shd w:val="clear" w:color="auto" w:fill="auto"/>
            <w:noWrap/>
            <w:vAlign w:val="center"/>
            <w:hideMark/>
          </w:tcPr>
          <w:p w14:paraId="297A07E7"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859" w:type="dxa"/>
            <w:gridSpan w:val="3"/>
            <w:vMerge w:val="restart"/>
            <w:tcBorders>
              <w:top w:val="nil"/>
              <w:left w:val="nil"/>
              <w:bottom w:val="single" w:sz="4" w:space="0" w:color="000000"/>
              <w:right w:val="nil"/>
            </w:tcBorders>
            <w:shd w:val="clear" w:color="auto" w:fill="auto"/>
            <w:vAlign w:val="center"/>
            <w:hideMark/>
          </w:tcPr>
          <w:p w14:paraId="498DE1F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8404B8">
              <w:rPr>
                <w:rFonts w:ascii="Times New Roman" w:eastAsia="맑은 고딕" w:hAnsi="Times New Roman" w:cs="Times New Roman"/>
                <w:color w:val="000000"/>
                <w:kern w:val="0"/>
                <w:sz w:val="24"/>
                <w:szCs w:val="24"/>
              </w:rPr>
              <w:t>aOR</w:t>
            </w:r>
            <w:proofErr w:type="spellEnd"/>
            <w:r w:rsidRPr="008404B8">
              <w:rPr>
                <w:rFonts w:ascii="Times New Roman" w:eastAsia="맑은 고딕" w:hAnsi="Times New Roman" w:cs="Times New Roman"/>
                <w:color w:val="000000"/>
                <w:kern w:val="0"/>
                <w:sz w:val="24"/>
                <w:szCs w:val="24"/>
              </w:rPr>
              <w:br/>
              <w:t>(95% CI)</w:t>
            </w:r>
            <w:r w:rsidRPr="008404B8">
              <w:rPr>
                <w:rFonts w:ascii="Times New Roman" w:eastAsia="맑은 고딕" w:hAnsi="Times New Roman" w:cs="Times New Roman"/>
                <w:color w:val="000000"/>
                <w:kern w:val="0"/>
                <w:sz w:val="24"/>
                <w:szCs w:val="24"/>
                <w:vertAlign w:val="superscript"/>
              </w:rPr>
              <w:t>2</w:t>
            </w:r>
          </w:p>
        </w:tc>
      </w:tr>
      <w:tr w:rsidR="007A2703" w:rsidRPr="008404B8" w14:paraId="7214AC8E" w14:textId="77777777" w:rsidTr="007A2703">
        <w:trPr>
          <w:trHeight w:val="330"/>
        </w:trPr>
        <w:tc>
          <w:tcPr>
            <w:tcW w:w="1765" w:type="dxa"/>
            <w:tcBorders>
              <w:top w:val="nil"/>
              <w:left w:val="nil"/>
              <w:bottom w:val="single" w:sz="4" w:space="0" w:color="auto"/>
              <w:right w:val="nil"/>
            </w:tcBorders>
            <w:shd w:val="clear" w:color="auto" w:fill="auto"/>
            <w:noWrap/>
            <w:vAlign w:val="center"/>
            <w:hideMark/>
          </w:tcPr>
          <w:p w14:paraId="1AA2C516"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1233" w:type="dxa"/>
            <w:vMerge/>
            <w:tcBorders>
              <w:top w:val="nil"/>
              <w:left w:val="nil"/>
              <w:bottom w:val="single" w:sz="4" w:space="0" w:color="000000"/>
              <w:right w:val="nil"/>
            </w:tcBorders>
            <w:vAlign w:val="center"/>
            <w:hideMark/>
          </w:tcPr>
          <w:p w14:paraId="716FA093"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042" w:type="dxa"/>
            <w:vMerge/>
            <w:tcBorders>
              <w:top w:val="nil"/>
              <w:left w:val="nil"/>
              <w:bottom w:val="single" w:sz="4" w:space="0" w:color="000000"/>
              <w:right w:val="nil"/>
            </w:tcBorders>
            <w:vAlign w:val="center"/>
            <w:hideMark/>
          </w:tcPr>
          <w:p w14:paraId="62702175"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196" w:type="dxa"/>
            <w:vMerge/>
            <w:tcBorders>
              <w:top w:val="nil"/>
              <w:left w:val="nil"/>
              <w:bottom w:val="single" w:sz="4" w:space="0" w:color="000000"/>
              <w:right w:val="nil"/>
            </w:tcBorders>
            <w:vAlign w:val="center"/>
            <w:hideMark/>
          </w:tcPr>
          <w:p w14:paraId="02C081AA"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41" w:type="dxa"/>
            <w:tcBorders>
              <w:top w:val="nil"/>
              <w:left w:val="nil"/>
              <w:bottom w:val="single" w:sz="4" w:space="0" w:color="auto"/>
              <w:right w:val="nil"/>
            </w:tcBorders>
            <w:shd w:val="clear" w:color="auto" w:fill="auto"/>
            <w:noWrap/>
            <w:vAlign w:val="center"/>
            <w:hideMark/>
          </w:tcPr>
          <w:p w14:paraId="2E3B0969"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1233" w:type="dxa"/>
            <w:vMerge/>
            <w:tcBorders>
              <w:top w:val="nil"/>
              <w:left w:val="nil"/>
              <w:bottom w:val="single" w:sz="4" w:space="0" w:color="000000"/>
              <w:right w:val="nil"/>
            </w:tcBorders>
            <w:vAlign w:val="center"/>
            <w:hideMark/>
          </w:tcPr>
          <w:p w14:paraId="29E4D2E5"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974" w:type="dxa"/>
            <w:vMerge/>
            <w:tcBorders>
              <w:top w:val="nil"/>
              <w:left w:val="nil"/>
              <w:bottom w:val="single" w:sz="4" w:space="0" w:color="000000"/>
              <w:right w:val="nil"/>
            </w:tcBorders>
            <w:vAlign w:val="center"/>
            <w:hideMark/>
          </w:tcPr>
          <w:p w14:paraId="4A7B6C30"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196" w:type="dxa"/>
            <w:vMerge/>
            <w:tcBorders>
              <w:top w:val="nil"/>
              <w:left w:val="nil"/>
              <w:bottom w:val="single" w:sz="4" w:space="0" w:color="000000"/>
              <w:right w:val="nil"/>
            </w:tcBorders>
            <w:vAlign w:val="center"/>
            <w:hideMark/>
          </w:tcPr>
          <w:p w14:paraId="7BF254D6"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41" w:type="dxa"/>
            <w:tcBorders>
              <w:top w:val="nil"/>
              <w:left w:val="nil"/>
              <w:bottom w:val="single" w:sz="4" w:space="0" w:color="auto"/>
              <w:right w:val="nil"/>
            </w:tcBorders>
            <w:shd w:val="clear" w:color="auto" w:fill="auto"/>
            <w:noWrap/>
            <w:vAlign w:val="center"/>
            <w:hideMark/>
          </w:tcPr>
          <w:p w14:paraId="1AAD890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3859" w:type="dxa"/>
            <w:gridSpan w:val="3"/>
            <w:vMerge/>
            <w:tcBorders>
              <w:top w:val="nil"/>
              <w:left w:val="nil"/>
              <w:bottom w:val="single" w:sz="4" w:space="0" w:color="auto"/>
              <w:right w:val="nil"/>
            </w:tcBorders>
            <w:vAlign w:val="center"/>
            <w:hideMark/>
          </w:tcPr>
          <w:p w14:paraId="0E6FCCE9"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r>
      <w:tr w:rsidR="007A2703" w:rsidRPr="008404B8" w14:paraId="35DBB414" w14:textId="77777777" w:rsidTr="007A2703">
        <w:trPr>
          <w:trHeight w:val="330"/>
        </w:trPr>
        <w:tc>
          <w:tcPr>
            <w:tcW w:w="12580" w:type="dxa"/>
            <w:gridSpan w:val="12"/>
            <w:tcBorders>
              <w:top w:val="single" w:sz="4" w:space="0" w:color="auto"/>
              <w:left w:val="nil"/>
              <w:bottom w:val="nil"/>
              <w:right w:val="nil"/>
            </w:tcBorders>
            <w:shd w:val="clear" w:color="auto" w:fill="auto"/>
            <w:noWrap/>
            <w:vAlign w:val="center"/>
            <w:hideMark/>
          </w:tcPr>
          <w:p w14:paraId="1E2CC058"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Non-psychiatric, non-respiratory negative control outcome</w:t>
            </w:r>
          </w:p>
        </w:tc>
      </w:tr>
      <w:tr w:rsidR="007A2703" w:rsidRPr="008404B8" w14:paraId="704F987A" w14:textId="77777777" w:rsidTr="007A2703">
        <w:trPr>
          <w:trHeight w:val="330"/>
        </w:trPr>
        <w:tc>
          <w:tcPr>
            <w:tcW w:w="1765" w:type="dxa"/>
            <w:tcBorders>
              <w:top w:val="nil"/>
              <w:left w:val="nil"/>
              <w:bottom w:val="nil"/>
              <w:right w:val="nil"/>
            </w:tcBorders>
            <w:shd w:val="clear" w:color="auto" w:fill="auto"/>
            <w:noWrap/>
            <w:vAlign w:val="center"/>
            <w:hideMark/>
          </w:tcPr>
          <w:p w14:paraId="48984160"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Cataract</w:t>
            </w:r>
          </w:p>
        </w:tc>
        <w:tc>
          <w:tcPr>
            <w:tcW w:w="1233" w:type="dxa"/>
            <w:tcBorders>
              <w:top w:val="nil"/>
              <w:left w:val="nil"/>
              <w:bottom w:val="nil"/>
              <w:right w:val="nil"/>
            </w:tcBorders>
            <w:shd w:val="clear" w:color="auto" w:fill="auto"/>
            <w:noWrap/>
            <w:vAlign w:val="center"/>
            <w:hideMark/>
          </w:tcPr>
          <w:p w14:paraId="1410DF1D"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520</w:t>
            </w:r>
          </w:p>
        </w:tc>
        <w:tc>
          <w:tcPr>
            <w:tcW w:w="1042" w:type="dxa"/>
            <w:tcBorders>
              <w:top w:val="nil"/>
              <w:left w:val="nil"/>
              <w:bottom w:val="nil"/>
              <w:right w:val="nil"/>
            </w:tcBorders>
            <w:shd w:val="clear" w:color="auto" w:fill="auto"/>
            <w:noWrap/>
            <w:vAlign w:val="center"/>
            <w:hideMark/>
          </w:tcPr>
          <w:p w14:paraId="664C09D7"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12,294</w:t>
            </w:r>
          </w:p>
        </w:tc>
        <w:tc>
          <w:tcPr>
            <w:tcW w:w="1196" w:type="dxa"/>
            <w:tcBorders>
              <w:top w:val="nil"/>
              <w:left w:val="nil"/>
              <w:bottom w:val="nil"/>
              <w:right w:val="nil"/>
            </w:tcBorders>
            <w:shd w:val="clear" w:color="auto" w:fill="auto"/>
            <w:noWrap/>
            <w:vAlign w:val="center"/>
            <w:hideMark/>
          </w:tcPr>
          <w:p w14:paraId="0E2260B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2.93</w:t>
            </w:r>
          </w:p>
        </w:tc>
        <w:tc>
          <w:tcPr>
            <w:tcW w:w="41" w:type="dxa"/>
            <w:tcBorders>
              <w:top w:val="nil"/>
              <w:left w:val="nil"/>
              <w:bottom w:val="nil"/>
              <w:right w:val="nil"/>
            </w:tcBorders>
            <w:shd w:val="clear" w:color="auto" w:fill="auto"/>
            <w:noWrap/>
            <w:vAlign w:val="center"/>
            <w:hideMark/>
          </w:tcPr>
          <w:p w14:paraId="57E402C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233" w:type="dxa"/>
            <w:tcBorders>
              <w:top w:val="nil"/>
              <w:left w:val="nil"/>
              <w:bottom w:val="nil"/>
              <w:right w:val="nil"/>
            </w:tcBorders>
            <w:shd w:val="clear" w:color="auto" w:fill="auto"/>
            <w:noWrap/>
            <w:vAlign w:val="center"/>
            <w:hideMark/>
          </w:tcPr>
          <w:p w14:paraId="614B40AB"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96</w:t>
            </w:r>
          </w:p>
        </w:tc>
        <w:tc>
          <w:tcPr>
            <w:tcW w:w="974" w:type="dxa"/>
            <w:tcBorders>
              <w:top w:val="nil"/>
              <w:left w:val="nil"/>
              <w:bottom w:val="nil"/>
              <w:right w:val="nil"/>
            </w:tcBorders>
            <w:shd w:val="clear" w:color="auto" w:fill="auto"/>
            <w:noWrap/>
            <w:vAlign w:val="center"/>
            <w:hideMark/>
          </w:tcPr>
          <w:p w14:paraId="1EFCB8B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4,632</w:t>
            </w:r>
          </w:p>
        </w:tc>
        <w:tc>
          <w:tcPr>
            <w:tcW w:w="1196" w:type="dxa"/>
            <w:tcBorders>
              <w:top w:val="nil"/>
              <w:left w:val="nil"/>
              <w:bottom w:val="nil"/>
              <w:right w:val="nil"/>
            </w:tcBorders>
            <w:shd w:val="clear" w:color="auto" w:fill="auto"/>
            <w:noWrap/>
            <w:vAlign w:val="center"/>
            <w:hideMark/>
          </w:tcPr>
          <w:p w14:paraId="6046063C"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1.48</w:t>
            </w:r>
          </w:p>
        </w:tc>
        <w:tc>
          <w:tcPr>
            <w:tcW w:w="41" w:type="dxa"/>
            <w:tcBorders>
              <w:top w:val="nil"/>
              <w:left w:val="nil"/>
              <w:bottom w:val="nil"/>
              <w:right w:val="nil"/>
            </w:tcBorders>
            <w:shd w:val="clear" w:color="auto" w:fill="auto"/>
            <w:noWrap/>
            <w:vAlign w:val="center"/>
            <w:hideMark/>
          </w:tcPr>
          <w:p w14:paraId="796A24E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09" w:type="dxa"/>
            <w:tcBorders>
              <w:top w:val="nil"/>
              <w:left w:val="nil"/>
              <w:bottom w:val="nil"/>
              <w:right w:val="nil"/>
            </w:tcBorders>
            <w:shd w:val="clear" w:color="auto" w:fill="auto"/>
            <w:noWrap/>
            <w:vAlign w:val="center"/>
            <w:hideMark/>
          </w:tcPr>
          <w:p w14:paraId="7815B9F4"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1.07 (0.78-1.47)</w:t>
            </w:r>
          </w:p>
        </w:tc>
        <w:tc>
          <w:tcPr>
            <w:tcW w:w="41" w:type="dxa"/>
            <w:tcBorders>
              <w:top w:val="nil"/>
              <w:left w:val="nil"/>
              <w:bottom w:val="nil"/>
              <w:right w:val="nil"/>
            </w:tcBorders>
            <w:shd w:val="clear" w:color="auto" w:fill="auto"/>
            <w:noWrap/>
            <w:vAlign w:val="center"/>
            <w:hideMark/>
          </w:tcPr>
          <w:p w14:paraId="748BCD55"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09" w:type="dxa"/>
            <w:tcBorders>
              <w:top w:val="nil"/>
              <w:left w:val="nil"/>
              <w:bottom w:val="nil"/>
              <w:right w:val="nil"/>
            </w:tcBorders>
            <w:shd w:val="clear" w:color="auto" w:fill="auto"/>
            <w:noWrap/>
            <w:vAlign w:val="center"/>
            <w:hideMark/>
          </w:tcPr>
          <w:p w14:paraId="32513449"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0.95 (0.86-1.05)</w:t>
            </w:r>
          </w:p>
        </w:tc>
      </w:tr>
      <w:tr w:rsidR="007A2703" w:rsidRPr="008404B8" w14:paraId="1263EC80" w14:textId="77777777" w:rsidTr="007A2703">
        <w:trPr>
          <w:trHeight w:val="330"/>
        </w:trPr>
        <w:tc>
          <w:tcPr>
            <w:tcW w:w="1765" w:type="dxa"/>
            <w:tcBorders>
              <w:top w:val="nil"/>
              <w:left w:val="nil"/>
              <w:bottom w:val="nil"/>
              <w:right w:val="nil"/>
            </w:tcBorders>
            <w:shd w:val="clear" w:color="auto" w:fill="auto"/>
            <w:noWrap/>
            <w:vAlign w:val="center"/>
            <w:hideMark/>
          </w:tcPr>
          <w:p w14:paraId="389976DC"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Hepatitis B</w:t>
            </w:r>
          </w:p>
        </w:tc>
        <w:tc>
          <w:tcPr>
            <w:tcW w:w="1233" w:type="dxa"/>
            <w:tcBorders>
              <w:top w:val="nil"/>
              <w:left w:val="nil"/>
              <w:bottom w:val="nil"/>
              <w:right w:val="nil"/>
            </w:tcBorders>
            <w:shd w:val="clear" w:color="auto" w:fill="auto"/>
            <w:noWrap/>
            <w:vAlign w:val="center"/>
            <w:hideMark/>
          </w:tcPr>
          <w:p w14:paraId="7271972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348</w:t>
            </w:r>
          </w:p>
        </w:tc>
        <w:tc>
          <w:tcPr>
            <w:tcW w:w="1042" w:type="dxa"/>
            <w:tcBorders>
              <w:top w:val="nil"/>
              <w:left w:val="nil"/>
              <w:bottom w:val="nil"/>
              <w:right w:val="nil"/>
            </w:tcBorders>
            <w:shd w:val="clear" w:color="auto" w:fill="auto"/>
            <w:noWrap/>
            <w:vAlign w:val="center"/>
            <w:hideMark/>
          </w:tcPr>
          <w:p w14:paraId="0AC1C7E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12,294</w:t>
            </w:r>
          </w:p>
        </w:tc>
        <w:tc>
          <w:tcPr>
            <w:tcW w:w="1196" w:type="dxa"/>
            <w:tcBorders>
              <w:top w:val="nil"/>
              <w:left w:val="nil"/>
              <w:bottom w:val="nil"/>
              <w:right w:val="nil"/>
            </w:tcBorders>
            <w:shd w:val="clear" w:color="auto" w:fill="auto"/>
            <w:noWrap/>
            <w:vAlign w:val="center"/>
            <w:hideMark/>
          </w:tcPr>
          <w:p w14:paraId="471FD7FE"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2.91</w:t>
            </w:r>
          </w:p>
        </w:tc>
        <w:tc>
          <w:tcPr>
            <w:tcW w:w="41" w:type="dxa"/>
            <w:tcBorders>
              <w:top w:val="nil"/>
              <w:left w:val="nil"/>
              <w:bottom w:val="nil"/>
              <w:right w:val="nil"/>
            </w:tcBorders>
            <w:shd w:val="clear" w:color="auto" w:fill="auto"/>
            <w:noWrap/>
            <w:vAlign w:val="center"/>
            <w:hideMark/>
          </w:tcPr>
          <w:p w14:paraId="2BADFFA5"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233" w:type="dxa"/>
            <w:tcBorders>
              <w:top w:val="nil"/>
              <w:left w:val="nil"/>
              <w:bottom w:val="nil"/>
              <w:right w:val="nil"/>
            </w:tcBorders>
            <w:shd w:val="clear" w:color="auto" w:fill="auto"/>
            <w:noWrap/>
            <w:vAlign w:val="center"/>
            <w:hideMark/>
          </w:tcPr>
          <w:p w14:paraId="4D3524A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153</w:t>
            </w:r>
          </w:p>
        </w:tc>
        <w:tc>
          <w:tcPr>
            <w:tcW w:w="974" w:type="dxa"/>
            <w:tcBorders>
              <w:top w:val="nil"/>
              <w:left w:val="nil"/>
              <w:bottom w:val="nil"/>
              <w:right w:val="nil"/>
            </w:tcBorders>
            <w:shd w:val="clear" w:color="auto" w:fill="auto"/>
            <w:noWrap/>
            <w:vAlign w:val="center"/>
            <w:hideMark/>
          </w:tcPr>
          <w:p w14:paraId="0ACBC7A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4,632</w:t>
            </w:r>
          </w:p>
        </w:tc>
        <w:tc>
          <w:tcPr>
            <w:tcW w:w="1196" w:type="dxa"/>
            <w:tcBorders>
              <w:top w:val="nil"/>
              <w:left w:val="nil"/>
              <w:bottom w:val="nil"/>
              <w:right w:val="nil"/>
            </w:tcBorders>
            <w:shd w:val="clear" w:color="auto" w:fill="auto"/>
            <w:noWrap/>
            <w:vAlign w:val="center"/>
            <w:hideMark/>
          </w:tcPr>
          <w:p w14:paraId="46B61E5D"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3.39</w:t>
            </w:r>
          </w:p>
        </w:tc>
        <w:tc>
          <w:tcPr>
            <w:tcW w:w="41" w:type="dxa"/>
            <w:tcBorders>
              <w:top w:val="nil"/>
              <w:left w:val="nil"/>
              <w:bottom w:val="nil"/>
              <w:right w:val="nil"/>
            </w:tcBorders>
            <w:shd w:val="clear" w:color="auto" w:fill="auto"/>
            <w:noWrap/>
            <w:vAlign w:val="center"/>
            <w:hideMark/>
          </w:tcPr>
          <w:p w14:paraId="53B7BC7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09" w:type="dxa"/>
            <w:tcBorders>
              <w:top w:val="nil"/>
              <w:left w:val="nil"/>
              <w:bottom w:val="nil"/>
              <w:right w:val="nil"/>
            </w:tcBorders>
            <w:shd w:val="clear" w:color="auto" w:fill="auto"/>
            <w:noWrap/>
            <w:vAlign w:val="center"/>
            <w:hideMark/>
          </w:tcPr>
          <w:p w14:paraId="4AC4E8AF"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1.16 (0.91-1.47)</w:t>
            </w:r>
          </w:p>
        </w:tc>
        <w:tc>
          <w:tcPr>
            <w:tcW w:w="41" w:type="dxa"/>
            <w:tcBorders>
              <w:top w:val="nil"/>
              <w:left w:val="nil"/>
              <w:bottom w:val="nil"/>
              <w:right w:val="nil"/>
            </w:tcBorders>
            <w:shd w:val="clear" w:color="auto" w:fill="auto"/>
            <w:noWrap/>
            <w:vAlign w:val="center"/>
            <w:hideMark/>
          </w:tcPr>
          <w:p w14:paraId="7F1F4CCC"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909" w:type="dxa"/>
            <w:tcBorders>
              <w:top w:val="nil"/>
              <w:left w:val="nil"/>
              <w:bottom w:val="nil"/>
              <w:right w:val="nil"/>
            </w:tcBorders>
            <w:shd w:val="clear" w:color="auto" w:fill="auto"/>
            <w:noWrap/>
            <w:vAlign w:val="center"/>
            <w:hideMark/>
          </w:tcPr>
          <w:p w14:paraId="6ED23C65"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1.00 (0.94-1.06)</w:t>
            </w:r>
          </w:p>
        </w:tc>
      </w:tr>
      <w:tr w:rsidR="007A2703" w:rsidRPr="008404B8" w14:paraId="7ABAD30A" w14:textId="77777777" w:rsidTr="007A2703">
        <w:trPr>
          <w:trHeight w:val="330"/>
        </w:trPr>
        <w:tc>
          <w:tcPr>
            <w:tcW w:w="12580" w:type="dxa"/>
            <w:gridSpan w:val="12"/>
            <w:tcBorders>
              <w:top w:val="nil"/>
              <w:left w:val="nil"/>
              <w:bottom w:val="nil"/>
              <w:right w:val="nil"/>
            </w:tcBorders>
            <w:shd w:val="clear" w:color="auto" w:fill="auto"/>
            <w:noWrap/>
            <w:vAlign w:val="center"/>
            <w:hideMark/>
          </w:tcPr>
          <w:p w14:paraId="1E749D14"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Non-psychiatric, respiratory negative control outcome</w:t>
            </w:r>
          </w:p>
        </w:tc>
      </w:tr>
      <w:tr w:rsidR="007A2703" w:rsidRPr="008404B8" w14:paraId="0852922C" w14:textId="77777777" w:rsidTr="007A2703">
        <w:trPr>
          <w:trHeight w:val="330"/>
        </w:trPr>
        <w:tc>
          <w:tcPr>
            <w:tcW w:w="1765" w:type="dxa"/>
            <w:tcBorders>
              <w:top w:val="nil"/>
              <w:left w:val="nil"/>
              <w:bottom w:val="single" w:sz="4" w:space="0" w:color="auto"/>
              <w:right w:val="nil"/>
            </w:tcBorders>
            <w:shd w:val="clear" w:color="auto" w:fill="auto"/>
            <w:noWrap/>
            <w:vAlign w:val="center"/>
            <w:hideMark/>
          </w:tcPr>
          <w:p w14:paraId="6C3F3179" w14:textId="77777777" w:rsidR="007A2703" w:rsidRPr="008404B8" w:rsidRDefault="007A2703" w:rsidP="007A2703">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Asthma</w:t>
            </w:r>
          </w:p>
        </w:tc>
        <w:tc>
          <w:tcPr>
            <w:tcW w:w="1233" w:type="dxa"/>
            <w:tcBorders>
              <w:top w:val="nil"/>
              <w:left w:val="nil"/>
              <w:bottom w:val="single" w:sz="4" w:space="0" w:color="auto"/>
              <w:right w:val="nil"/>
            </w:tcBorders>
            <w:shd w:val="clear" w:color="auto" w:fill="auto"/>
            <w:noWrap/>
            <w:vAlign w:val="center"/>
            <w:hideMark/>
          </w:tcPr>
          <w:p w14:paraId="4F59DF2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243</w:t>
            </w:r>
          </w:p>
        </w:tc>
        <w:tc>
          <w:tcPr>
            <w:tcW w:w="1042" w:type="dxa"/>
            <w:tcBorders>
              <w:top w:val="nil"/>
              <w:left w:val="nil"/>
              <w:bottom w:val="single" w:sz="4" w:space="0" w:color="auto"/>
              <w:right w:val="nil"/>
            </w:tcBorders>
            <w:shd w:val="clear" w:color="auto" w:fill="auto"/>
            <w:noWrap/>
            <w:vAlign w:val="center"/>
            <w:hideMark/>
          </w:tcPr>
          <w:p w14:paraId="45D1A551"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12,294</w:t>
            </w:r>
          </w:p>
        </w:tc>
        <w:tc>
          <w:tcPr>
            <w:tcW w:w="1196" w:type="dxa"/>
            <w:tcBorders>
              <w:top w:val="nil"/>
              <w:left w:val="nil"/>
              <w:bottom w:val="single" w:sz="4" w:space="0" w:color="auto"/>
              <w:right w:val="nil"/>
            </w:tcBorders>
            <w:shd w:val="clear" w:color="auto" w:fill="auto"/>
            <w:noWrap/>
            <w:vAlign w:val="center"/>
            <w:hideMark/>
          </w:tcPr>
          <w:p w14:paraId="16BFF45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1.74</w:t>
            </w:r>
          </w:p>
        </w:tc>
        <w:tc>
          <w:tcPr>
            <w:tcW w:w="41" w:type="dxa"/>
            <w:tcBorders>
              <w:top w:val="nil"/>
              <w:left w:val="nil"/>
              <w:bottom w:val="single" w:sz="4" w:space="0" w:color="auto"/>
              <w:right w:val="nil"/>
            </w:tcBorders>
            <w:shd w:val="clear" w:color="auto" w:fill="auto"/>
            <w:noWrap/>
            <w:vAlign w:val="center"/>
            <w:hideMark/>
          </w:tcPr>
          <w:p w14:paraId="5D0D4DE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1233" w:type="dxa"/>
            <w:tcBorders>
              <w:top w:val="nil"/>
              <w:left w:val="nil"/>
              <w:bottom w:val="single" w:sz="4" w:space="0" w:color="auto"/>
              <w:right w:val="nil"/>
            </w:tcBorders>
            <w:shd w:val="clear" w:color="auto" w:fill="auto"/>
            <w:noWrap/>
            <w:vAlign w:val="center"/>
            <w:hideMark/>
          </w:tcPr>
          <w:p w14:paraId="62725568"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71</w:t>
            </w:r>
          </w:p>
        </w:tc>
        <w:tc>
          <w:tcPr>
            <w:tcW w:w="974" w:type="dxa"/>
            <w:tcBorders>
              <w:top w:val="nil"/>
              <w:left w:val="nil"/>
              <w:bottom w:val="single" w:sz="4" w:space="0" w:color="auto"/>
              <w:right w:val="nil"/>
            </w:tcBorders>
            <w:shd w:val="clear" w:color="auto" w:fill="auto"/>
            <w:noWrap/>
            <w:vAlign w:val="center"/>
            <w:hideMark/>
          </w:tcPr>
          <w:p w14:paraId="5743635A"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4,632</w:t>
            </w:r>
          </w:p>
        </w:tc>
        <w:tc>
          <w:tcPr>
            <w:tcW w:w="1196" w:type="dxa"/>
            <w:tcBorders>
              <w:top w:val="nil"/>
              <w:left w:val="nil"/>
              <w:bottom w:val="single" w:sz="4" w:space="0" w:color="auto"/>
              <w:right w:val="nil"/>
            </w:tcBorders>
            <w:shd w:val="clear" w:color="auto" w:fill="auto"/>
            <w:noWrap/>
            <w:vAlign w:val="center"/>
            <w:hideMark/>
          </w:tcPr>
          <w:p w14:paraId="4F47551A"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1.42</w:t>
            </w:r>
          </w:p>
        </w:tc>
        <w:tc>
          <w:tcPr>
            <w:tcW w:w="41" w:type="dxa"/>
            <w:tcBorders>
              <w:top w:val="nil"/>
              <w:left w:val="nil"/>
              <w:bottom w:val="single" w:sz="4" w:space="0" w:color="auto"/>
              <w:right w:val="nil"/>
            </w:tcBorders>
            <w:shd w:val="clear" w:color="auto" w:fill="auto"/>
            <w:noWrap/>
            <w:vAlign w:val="center"/>
            <w:hideMark/>
          </w:tcPr>
          <w:p w14:paraId="7E98A560"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1909" w:type="dxa"/>
            <w:tcBorders>
              <w:top w:val="nil"/>
              <w:left w:val="nil"/>
              <w:bottom w:val="single" w:sz="4" w:space="0" w:color="auto"/>
              <w:right w:val="nil"/>
            </w:tcBorders>
            <w:shd w:val="clear" w:color="auto" w:fill="auto"/>
            <w:noWrap/>
            <w:vAlign w:val="center"/>
            <w:hideMark/>
          </w:tcPr>
          <w:p w14:paraId="410D5966"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0.97 (0.69-1.35)</w:t>
            </w:r>
          </w:p>
        </w:tc>
        <w:tc>
          <w:tcPr>
            <w:tcW w:w="41" w:type="dxa"/>
            <w:tcBorders>
              <w:top w:val="nil"/>
              <w:left w:val="nil"/>
              <w:bottom w:val="single" w:sz="4" w:space="0" w:color="auto"/>
              <w:right w:val="nil"/>
            </w:tcBorders>
            <w:shd w:val="clear" w:color="auto" w:fill="auto"/>
            <w:noWrap/>
            <w:vAlign w:val="center"/>
            <w:hideMark/>
          </w:tcPr>
          <w:p w14:paraId="382B6BE8"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1909" w:type="dxa"/>
            <w:tcBorders>
              <w:top w:val="nil"/>
              <w:left w:val="nil"/>
              <w:bottom w:val="single" w:sz="4" w:space="0" w:color="auto"/>
              <w:right w:val="nil"/>
            </w:tcBorders>
            <w:shd w:val="clear" w:color="auto" w:fill="auto"/>
            <w:noWrap/>
            <w:vAlign w:val="center"/>
            <w:hideMark/>
          </w:tcPr>
          <w:p w14:paraId="74D7728D" w14:textId="77777777" w:rsidR="007A2703" w:rsidRPr="008404B8" w:rsidRDefault="007A2703" w:rsidP="007A2703">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1.09 (1.01-1.18)</w:t>
            </w:r>
          </w:p>
        </w:tc>
      </w:tr>
      <w:tr w:rsidR="007A2703" w:rsidRPr="008404B8" w14:paraId="3BAA987D" w14:textId="77777777" w:rsidTr="007A2703">
        <w:trPr>
          <w:trHeight w:val="330"/>
        </w:trPr>
        <w:tc>
          <w:tcPr>
            <w:tcW w:w="12580" w:type="dxa"/>
            <w:gridSpan w:val="12"/>
            <w:tcBorders>
              <w:top w:val="nil"/>
              <w:left w:val="nil"/>
              <w:bottom w:val="nil"/>
              <w:right w:val="nil"/>
            </w:tcBorders>
            <w:shd w:val="clear" w:color="auto" w:fill="auto"/>
            <w:noWrap/>
            <w:vAlign w:val="center"/>
            <w:hideMark/>
          </w:tcPr>
          <w:p w14:paraId="62BE5AB4"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i/>
                <w:iCs/>
                <w:color w:val="000000"/>
                <w:kern w:val="0"/>
                <w:sz w:val="24"/>
                <w:szCs w:val="24"/>
              </w:rPr>
              <w:t>Abbreviations.</w:t>
            </w:r>
            <w:r w:rsidRPr="008404B8">
              <w:rPr>
                <w:rFonts w:ascii="Times New Roman" w:eastAsia="맑은 고딕" w:hAnsi="Times New Roman" w:cs="Times New Roman"/>
                <w:color w:val="000000"/>
                <w:kern w:val="0"/>
                <w:sz w:val="24"/>
                <w:szCs w:val="24"/>
              </w:rPr>
              <w:t xml:space="preserve"> SHS, secondhand smoke; </w:t>
            </w:r>
            <w:proofErr w:type="spellStart"/>
            <w:r w:rsidRPr="008404B8">
              <w:rPr>
                <w:rFonts w:ascii="Times New Roman" w:eastAsia="맑은 고딕" w:hAnsi="Times New Roman" w:cs="Times New Roman"/>
                <w:color w:val="000000"/>
                <w:kern w:val="0"/>
                <w:sz w:val="24"/>
                <w:szCs w:val="24"/>
              </w:rPr>
              <w:t>aOR</w:t>
            </w:r>
            <w:proofErr w:type="spellEnd"/>
            <w:r w:rsidRPr="008404B8">
              <w:rPr>
                <w:rFonts w:ascii="Times New Roman" w:eastAsia="맑은 고딕" w:hAnsi="Times New Roman" w:cs="Times New Roman"/>
                <w:color w:val="000000"/>
                <w:kern w:val="0"/>
                <w:sz w:val="24"/>
                <w:szCs w:val="24"/>
              </w:rPr>
              <w:t>, adjusted odds ratio; CI, confidence interval.</w:t>
            </w:r>
          </w:p>
        </w:tc>
      </w:tr>
      <w:tr w:rsidR="007A2703" w:rsidRPr="008404B8" w14:paraId="55C90519" w14:textId="77777777" w:rsidTr="007A2703">
        <w:trPr>
          <w:trHeight w:val="330"/>
        </w:trPr>
        <w:tc>
          <w:tcPr>
            <w:tcW w:w="12580" w:type="dxa"/>
            <w:gridSpan w:val="12"/>
            <w:tcBorders>
              <w:top w:val="nil"/>
              <w:left w:val="nil"/>
              <w:bottom w:val="nil"/>
              <w:right w:val="nil"/>
            </w:tcBorders>
            <w:shd w:val="clear" w:color="auto" w:fill="auto"/>
            <w:vAlign w:val="center"/>
            <w:hideMark/>
          </w:tcPr>
          <w:p w14:paraId="1AA8B8DF"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vertAlign w:val="superscript"/>
              </w:rPr>
              <w:t>1</w:t>
            </w:r>
            <w:r w:rsidRPr="008404B8">
              <w:rPr>
                <w:rFonts w:ascii="Times New Roman" w:eastAsia="맑은 고딕" w:hAnsi="Times New Roman" w:cs="Times New Roman"/>
                <w:color w:val="000000"/>
                <w:kern w:val="0"/>
                <w:sz w:val="24"/>
                <w:szCs w:val="24"/>
              </w:rPr>
              <w:t>The OR was obtained for 1 unit of increase in log-transformed cotinine.</w:t>
            </w:r>
          </w:p>
        </w:tc>
      </w:tr>
      <w:tr w:rsidR="007A2703" w:rsidRPr="008404B8" w14:paraId="667E06B2" w14:textId="77777777" w:rsidTr="007A2703">
        <w:trPr>
          <w:trHeight w:val="619"/>
        </w:trPr>
        <w:tc>
          <w:tcPr>
            <w:tcW w:w="12580" w:type="dxa"/>
            <w:gridSpan w:val="12"/>
            <w:tcBorders>
              <w:top w:val="nil"/>
              <w:left w:val="nil"/>
              <w:bottom w:val="nil"/>
              <w:right w:val="nil"/>
            </w:tcBorders>
            <w:shd w:val="clear" w:color="auto" w:fill="auto"/>
            <w:vAlign w:val="center"/>
            <w:hideMark/>
          </w:tcPr>
          <w:p w14:paraId="1BD571DE" w14:textId="77777777" w:rsidR="007A2703" w:rsidRPr="008404B8" w:rsidRDefault="007A2703" w:rsidP="007A2703">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vertAlign w:val="superscript"/>
              </w:rPr>
              <w:t>2</w:t>
            </w:r>
            <w:r w:rsidRPr="008404B8">
              <w:rPr>
                <w:rFonts w:ascii="Times New Roman" w:eastAsia="맑은 고딕" w:hAnsi="Times New Roman" w:cs="Times New Roman"/>
                <w:color w:val="000000"/>
                <w:kern w:val="0"/>
                <w:sz w:val="24"/>
                <w:szCs w:val="24"/>
              </w:rPr>
              <w:t>All models were adjusted for cotinine, age, sex, socioeconomic status (income, education, marital status, number of cohabitants, and occupation type) and comorbidities (history of metabolic, cardiovascular, thyroid, and neoplastic diseases).</w:t>
            </w:r>
          </w:p>
        </w:tc>
      </w:tr>
    </w:tbl>
    <w:p w14:paraId="6D4AFEA2" w14:textId="77777777" w:rsidR="007A2703" w:rsidRPr="008404B8" w:rsidRDefault="007A2703">
      <w:pPr>
        <w:widowControl/>
        <w:wordWrap/>
        <w:autoSpaceDE/>
        <w:autoSpaceDN/>
        <w:spacing w:line="259" w:lineRule="auto"/>
        <w:rPr>
          <w:rFonts w:ascii="Times New Roman" w:hAnsi="Times New Roman" w:cs="Times New Roman"/>
          <w:sz w:val="24"/>
          <w:szCs w:val="24"/>
        </w:rPr>
        <w:sectPr w:rsidR="007A2703" w:rsidRPr="008404B8" w:rsidSect="004855D4">
          <w:pgSz w:w="16838" w:h="11906" w:orient="landscape"/>
          <w:pgMar w:top="1440" w:right="1701" w:bottom="1440" w:left="1440" w:header="851" w:footer="992" w:gutter="0"/>
          <w:cols w:space="425"/>
          <w:docGrid w:linePitch="360"/>
        </w:sectPr>
      </w:pPr>
    </w:p>
    <w:tbl>
      <w:tblPr>
        <w:tblW w:w="8740" w:type="dxa"/>
        <w:tblCellMar>
          <w:left w:w="99" w:type="dxa"/>
          <w:right w:w="99" w:type="dxa"/>
        </w:tblCellMar>
        <w:tblLook w:val="04A0" w:firstRow="1" w:lastRow="0" w:firstColumn="1" w:lastColumn="0" w:noHBand="0" w:noVBand="1"/>
      </w:tblPr>
      <w:tblGrid>
        <w:gridCol w:w="3736"/>
        <w:gridCol w:w="1821"/>
        <w:gridCol w:w="2140"/>
        <w:gridCol w:w="1043"/>
      </w:tblGrid>
      <w:tr w:rsidR="00A17E89" w:rsidRPr="008404B8" w14:paraId="17E8F0B9" w14:textId="77777777" w:rsidTr="00A17E89">
        <w:trPr>
          <w:trHeight w:val="345"/>
        </w:trPr>
        <w:tc>
          <w:tcPr>
            <w:tcW w:w="8740" w:type="dxa"/>
            <w:gridSpan w:val="4"/>
            <w:tcBorders>
              <w:top w:val="nil"/>
              <w:left w:val="nil"/>
              <w:bottom w:val="double" w:sz="6" w:space="0" w:color="auto"/>
              <w:right w:val="nil"/>
            </w:tcBorders>
            <w:shd w:val="clear" w:color="auto" w:fill="auto"/>
            <w:noWrap/>
            <w:vAlign w:val="center"/>
            <w:hideMark/>
          </w:tcPr>
          <w:p w14:paraId="3B827C57"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roofErr w:type="spellStart"/>
            <w:r w:rsidRPr="008404B8">
              <w:rPr>
                <w:rFonts w:ascii="Times New Roman" w:eastAsia="맑은 고딕" w:hAnsi="Times New Roman" w:cs="Times New Roman"/>
                <w:b/>
                <w:bCs/>
                <w:color w:val="000000"/>
                <w:kern w:val="0"/>
                <w:sz w:val="24"/>
                <w:szCs w:val="24"/>
              </w:rPr>
              <w:lastRenderedPageBreak/>
              <w:t>eResults</w:t>
            </w:r>
            <w:proofErr w:type="spellEnd"/>
            <w:r w:rsidRPr="008404B8">
              <w:rPr>
                <w:rFonts w:ascii="Times New Roman" w:eastAsia="맑은 고딕" w:hAnsi="Times New Roman" w:cs="Times New Roman"/>
                <w:b/>
                <w:bCs/>
                <w:color w:val="000000"/>
                <w:kern w:val="0"/>
                <w:sz w:val="24"/>
                <w:szCs w:val="24"/>
              </w:rPr>
              <w:t xml:space="preserve"> 4. Comparison between complete cases and cases with missing variables</w:t>
            </w:r>
          </w:p>
        </w:tc>
      </w:tr>
      <w:tr w:rsidR="00A17E89" w:rsidRPr="008404B8" w14:paraId="101FCAF5" w14:textId="77777777" w:rsidTr="00A17E89">
        <w:trPr>
          <w:trHeight w:val="390"/>
        </w:trPr>
        <w:tc>
          <w:tcPr>
            <w:tcW w:w="3736" w:type="dxa"/>
            <w:tcBorders>
              <w:top w:val="nil"/>
              <w:left w:val="nil"/>
              <w:bottom w:val="nil"/>
              <w:right w:val="nil"/>
            </w:tcBorders>
            <w:shd w:val="clear" w:color="auto" w:fill="auto"/>
            <w:noWrap/>
            <w:vAlign w:val="center"/>
            <w:hideMark/>
          </w:tcPr>
          <w:p w14:paraId="5E6797E3"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821" w:type="dxa"/>
            <w:tcBorders>
              <w:top w:val="nil"/>
              <w:left w:val="nil"/>
              <w:bottom w:val="nil"/>
              <w:right w:val="nil"/>
            </w:tcBorders>
            <w:shd w:val="clear" w:color="auto" w:fill="auto"/>
            <w:noWrap/>
            <w:vAlign w:val="center"/>
            <w:hideMark/>
          </w:tcPr>
          <w:p w14:paraId="473ABF86"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Complete</w:t>
            </w:r>
          </w:p>
        </w:tc>
        <w:tc>
          <w:tcPr>
            <w:tcW w:w="2140" w:type="dxa"/>
            <w:tcBorders>
              <w:top w:val="nil"/>
              <w:left w:val="nil"/>
              <w:bottom w:val="nil"/>
              <w:right w:val="nil"/>
            </w:tcBorders>
            <w:shd w:val="clear" w:color="auto" w:fill="auto"/>
            <w:noWrap/>
            <w:vAlign w:val="center"/>
            <w:hideMark/>
          </w:tcPr>
          <w:p w14:paraId="33D24C46"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Cases with </w:t>
            </w:r>
          </w:p>
        </w:tc>
        <w:tc>
          <w:tcPr>
            <w:tcW w:w="1043" w:type="dxa"/>
            <w:tcBorders>
              <w:top w:val="nil"/>
              <w:left w:val="nil"/>
              <w:bottom w:val="nil"/>
              <w:right w:val="nil"/>
            </w:tcBorders>
            <w:shd w:val="clear" w:color="auto" w:fill="auto"/>
            <w:noWrap/>
            <w:vAlign w:val="center"/>
            <w:hideMark/>
          </w:tcPr>
          <w:p w14:paraId="25C4F60B"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p-value</w:t>
            </w:r>
            <w:r w:rsidRPr="008404B8">
              <w:rPr>
                <w:rFonts w:ascii="Times New Roman" w:eastAsia="맑은 고딕" w:hAnsi="Times New Roman" w:cs="Times New Roman"/>
                <w:color w:val="000000"/>
                <w:kern w:val="0"/>
                <w:sz w:val="24"/>
                <w:szCs w:val="24"/>
                <w:vertAlign w:val="superscript"/>
              </w:rPr>
              <w:t>1</w:t>
            </w:r>
          </w:p>
        </w:tc>
      </w:tr>
      <w:tr w:rsidR="00A17E89" w:rsidRPr="008404B8" w14:paraId="0A8F9FB4" w14:textId="77777777" w:rsidTr="00A17E89">
        <w:trPr>
          <w:trHeight w:val="315"/>
        </w:trPr>
        <w:tc>
          <w:tcPr>
            <w:tcW w:w="3736" w:type="dxa"/>
            <w:tcBorders>
              <w:top w:val="nil"/>
              <w:left w:val="nil"/>
              <w:bottom w:val="single" w:sz="4" w:space="0" w:color="auto"/>
              <w:right w:val="nil"/>
            </w:tcBorders>
            <w:shd w:val="clear" w:color="auto" w:fill="auto"/>
            <w:noWrap/>
            <w:vAlign w:val="center"/>
            <w:hideMark/>
          </w:tcPr>
          <w:p w14:paraId="2EB9CD01"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c>
          <w:tcPr>
            <w:tcW w:w="1821" w:type="dxa"/>
            <w:tcBorders>
              <w:top w:val="nil"/>
              <w:left w:val="nil"/>
              <w:bottom w:val="single" w:sz="4" w:space="0" w:color="auto"/>
              <w:right w:val="nil"/>
            </w:tcBorders>
            <w:shd w:val="clear" w:color="auto" w:fill="auto"/>
            <w:noWrap/>
            <w:vAlign w:val="center"/>
            <w:hideMark/>
          </w:tcPr>
          <w:p w14:paraId="28FA7B74"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cases</w:t>
            </w:r>
          </w:p>
        </w:tc>
        <w:tc>
          <w:tcPr>
            <w:tcW w:w="2140" w:type="dxa"/>
            <w:tcBorders>
              <w:top w:val="nil"/>
              <w:left w:val="nil"/>
              <w:bottom w:val="single" w:sz="4" w:space="0" w:color="auto"/>
              <w:right w:val="nil"/>
            </w:tcBorders>
            <w:shd w:val="clear" w:color="auto" w:fill="auto"/>
            <w:noWrap/>
            <w:vAlign w:val="center"/>
            <w:hideMark/>
          </w:tcPr>
          <w:p w14:paraId="2C5ECDA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missing variables</w:t>
            </w:r>
          </w:p>
        </w:tc>
        <w:tc>
          <w:tcPr>
            <w:tcW w:w="1043" w:type="dxa"/>
            <w:tcBorders>
              <w:top w:val="nil"/>
              <w:left w:val="nil"/>
              <w:bottom w:val="single" w:sz="4" w:space="0" w:color="auto"/>
              <w:right w:val="nil"/>
            </w:tcBorders>
            <w:shd w:val="clear" w:color="auto" w:fill="auto"/>
            <w:noWrap/>
            <w:vAlign w:val="center"/>
            <w:hideMark/>
          </w:tcPr>
          <w:p w14:paraId="4C05836C"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r>
      <w:tr w:rsidR="00A17E89" w:rsidRPr="008404B8" w14:paraId="53CBCC10" w14:textId="77777777" w:rsidTr="00A17E89">
        <w:trPr>
          <w:trHeight w:val="315"/>
        </w:trPr>
        <w:tc>
          <w:tcPr>
            <w:tcW w:w="3736" w:type="dxa"/>
            <w:tcBorders>
              <w:top w:val="nil"/>
              <w:left w:val="nil"/>
              <w:bottom w:val="nil"/>
              <w:right w:val="nil"/>
            </w:tcBorders>
            <w:shd w:val="clear" w:color="auto" w:fill="auto"/>
            <w:noWrap/>
            <w:vAlign w:val="center"/>
            <w:hideMark/>
          </w:tcPr>
          <w:p w14:paraId="42EE6B39"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r w:rsidRPr="008404B8">
              <w:rPr>
                <w:rFonts w:ascii="Times New Roman" w:eastAsia="맑은 고딕" w:hAnsi="Times New Roman" w:cs="Times New Roman"/>
                <w:i/>
                <w:iCs/>
                <w:color w:val="000000"/>
                <w:kern w:val="0"/>
                <w:sz w:val="24"/>
                <w:szCs w:val="24"/>
              </w:rPr>
              <w:t>Outcome variable</w:t>
            </w:r>
          </w:p>
        </w:tc>
        <w:tc>
          <w:tcPr>
            <w:tcW w:w="1821" w:type="dxa"/>
            <w:tcBorders>
              <w:top w:val="nil"/>
              <w:left w:val="nil"/>
              <w:bottom w:val="nil"/>
              <w:right w:val="nil"/>
            </w:tcBorders>
            <w:shd w:val="clear" w:color="auto" w:fill="auto"/>
            <w:noWrap/>
            <w:vAlign w:val="center"/>
            <w:hideMark/>
          </w:tcPr>
          <w:p w14:paraId="4F943156"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p>
        </w:tc>
        <w:tc>
          <w:tcPr>
            <w:tcW w:w="2140" w:type="dxa"/>
            <w:tcBorders>
              <w:top w:val="nil"/>
              <w:left w:val="nil"/>
              <w:bottom w:val="nil"/>
              <w:right w:val="nil"/>
            </w:tcBorders>
            <w:shd w:val="clear" w:color="auto" w:fill="auto"/>
            <w:noWrap/>
            <w:vAlign w:val="center"/>
            <w:hideMark/>
          </w:tcPr>
          <w:p w14:paraId="0335A2F6"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3BB96E5D"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r>
      <w:tr w:rsidR="00A17E89" w:rsidRPr="008404B8" w14:paraId="55A784E1" w14:textId="77777777" w:rsidTr="00A17E89">
        <w:trPr>
          <w:trHeight w:val="375"/>
        </w:trPr>
        <w:tc>
          <w:tcPr>
            <w:tcW w:w="3736" w:type="dxa"/>
            <w:tcBorders>
              <w:top w:val="nil"/>
              <w:left w:val="nil"/>
              <w:bottom w:val="nil"/>
              <w:right w:val="nil"/>
            </w:tcBorders>
            <w:shd w:val="clear" w:color="auto" w:fill="auto"/>
            <w:noWrap/>
            <w:vAlign w:val="center"/>
            <w:hideMark/>
          </w:tcPr>
          <w:p w14:paraId="4C607055"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Depression</w:t>
            </w:r>
          </w:p>
        </w:tc>
        <w:tc>
          <w:tcPr>
            <w:tcW w:w="1821" w:type="dxa"/>
            <w:tcBorders>
              <w:top w:val="nil"/>
              <w:left w:val="nil"/>
              <w:bottom w:val="nil"/>
              <w:right w:val="nil"/>
            </w:tcBorders>
            <w:shd w:val="clear" w:color="auto" w:fill="auto"/>
            <w:noWrap/>
            <w:vAlign w:val="center"/>
            <w:hideMark/>
          </w:tcPr>
          <w:p w14:paraId="2AC243A6"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79A9F7D1"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0894F5D4"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0.045</w:t>
            </w:r>
          </w:p>
        </w:tc>
      </w:tr>
      <w:tr w:rsidR="00A17E89" w:rsidRPr="008404B8" w14:paraId="34FBB06F" w14:textId="77777777" w:rsidTr="00A17E89">
        <w:trPr>
          <w:trHeight w:val="315"/>
        </w:trPr>
        <w:tc>
          <w:tcPr>
            <w:tcW w:w="3736" w:type="dxa"/>
            <w:tcBorders>
              <w:top w:val="nil"/>
              <w:left w:val="nil"/>
              <w:bottom w:val="nil"/>
              <w:right w:val="nil"/>
            </w:tcBorders>
            <w:shd w:val="clear" w:color="auto" w:fill="auto"/>
            <w:noWrap/>
            <w:vAlign w:val="center"/>
            <w:hideMark/>
          </w:tcPr>
          <w:p w14:paraId="16A194CA"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 (PHQ-9&lt;10)</w:t>
            </w:r>
          </w:p>
        </w:tc>
        <w:tc>
          <w:tcPr>
            <w:tcW w:w="1821" w:type="dxa"/>
            <w:tcBorders>
              <w:top w:val="nil"/>
              <w:left w:val="nil"/>
              <w:bottom w:val="nil"/>
              <w:right w:val="nil"/>
            </w:tcBorders>
            <w:shd w:val="clear" w:color="auto" w:fill="auto"/>
            <w:noWrap/>
            <w:vAlign w:val="center"/>
            <w:hideMark/>
          </w:tcPr>
          <w:p w14:paraId="4FD5D62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16,064 (95.31)</w:t>
            </w:r>
          </w:p>
        </w:tc>
        <w:tc>
          <w:tcPr>
            <w:tcW w:w="2140" w:type="dxa"/>
            <w:tcBorders>
              <w:top w:val="nil"/>
              <w:left w:val="nil"/>
              <w:bottom w:val="nil"/>
              <w:right w:val="nil"/>
            </w:tcBorders>
            <w:shd w:val="clear" w:color="auto" w:fill="auto"/>
            <w:noWrap/>
            <w:vAlign w:val="center"/>
            <w:hideMark/>
          </w:tcPr>
          <w:p w14:paraId="5986A9E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954 (93.71)</w:t>
            </w:r>
          </w:p>
        </w:tc>
        <w:tc>
          <w:tcPr>
            <w:tcW w:w="1043" w:type="dxa"/>
            <w:tcBorders>
              <w:top w:val="nil"/>
              <w:left w:val="nil"/>
              <w:bottom w:val="nil"/>
              <w:right w:val="nil"/>
            </w:tcBorders>
            <w:shd w:val="clear" w:color="auto" w:fill="auto"/>
            <w:noWrap/>
            <w:vAlign w:val="center"/>
            <w:hideMark/>
          </w:tcPr>
          <w:p w14:paraId="1E3010A8"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71F39272" w14:textId="77777777" w:rsidTr="00A17E89">
        <w:trPr>
          <w:trHeight w:val="315"/>
        </w:trPr>
        <w:tc>
          <w:tcPr>
            <w:tcW w:w="3736" w:type="dxa"/>
            <w:tcBorders>
              <w:top w:val="nil"/>
              <w:left w:val="nil"/>
              <w:bottom w:val="nil"/>
              <w:right w:val="nil"/>
            </w:tcBorders>
            <w:shd w:val="clear" w:color="auto" w:fill="auto"/>
            <w:noWrap/>
            <w:vAlign w:val="center"/>
            <w:hideMark/>
          </w:tcPr>
          <w:p w14:paraId="36AC5D07"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Yes (PHQ-9</w:t>
            </w:r>
            <w:r w:rsidRPr="008404B8">
              <w:rPr>
                <w:rFonts w:ascii="바탕" w:eastAsia="바탕" w:hAnsi="바탕" w:cs="Times New Roman" w:hint="eastAsia"/>
                <w:color w:val="000000"/>
                <w:kern w:val="0"/>
                <w:sz w:val="24"/>
                <w:szCs w:val="24"/>
              </w:rPr>
              <w:t>≥</w:t>
            </w:r>
            <w:r w:rsidRPr="008404B8">
              <w:rPr>
                <w:rFonts w:ascii="Times New Roman" w:eastAsia="맑은 고딕" w:hAnsi="Times New Roman" w:cs="Times New Roman"/>
                <w:color w:val="000000"/>
                <w:kern w:val="0"/>
                <w:sz w:val="24"/>
                <w:szCs w:val="24"/>
              </w:rPr>
              <w:t>10)</w:t>
            </w:r>
          </w:p>
        </w:tc>
        <w:tc>
          <w:tcPr>
            <w:tcW w:w="1821" w:type="dxa"/>
            <w:tcBorders>
              <w:top w:val="nil"/>
              <w:left w:val="nil"/>
              <w:bottom w:val="nil"/>
              <w:right w:val="nil"/>
            </w:tcBorders>
            <w:shd w:val="clear" w:color="auto" w:fill="auto"/>
            <w:noWrap/>
            <w:vAlign w:val="center"/>
            <w:hideMark/>
          </w:tcPr>
          <w:p w14:paraId="0D79B30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862 (4.69)</w:t>
            </w:r>
          </w:p>
        </w:tc>
        <w:tc>
          <w:tcPr>
            <w:tcW w:w="2140" w:type="dxa"/>
            <w:tcBorders>
              <w:top w:val="nil"/>
              <w:left w:val="nil"/>
              <w:bottom w:val="nil"/>
              <w:right w:val="nil"/>
            </w:tcBorders>
            <w:shd w:val="clear" w:color="auto" w:fill="auto"/>
            <w:noWrap/>
            <w:vAlign w:val="center"/>
            <w:hideMark/>
          </w:tcPr>
          <w:p w14:paraId="10D6EDF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64 (6.29)</w:t>
            </w:r>
          </w:p>
        </w:tc>
        <w:tc>
          <w:tcPr>
            <w:tcW w:w="1043" w:type="dxa"/>
            <w:tcBorders>
              <w:top w:val="nil"/>
              <w:left w:val="nil"/>
              <w:bottom w:val="nil"/>
              <w:right w:val="nil"/>
            </w:tcBorders>
            <w:shd w:val="clear" w:color="auto" w:fill="auto"/>
            <w:noWrap/>
            <w:vAlign w:val="center"/>
            <w:hideMark/>
          </w:tcPr>
          <w:p w14:paraId="2072DF7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1466BD27" w14:textId="77777777" w:rsidTr="00A17E89">
        <w:trPr>
          <w:trHeight w:val="315"/>
        </w:trPr>
        <w:tc>
          <w:tcPr>
            <w:tcW w:w="3736" w:type="dxa"/>
            <w:tcBorders>
              <w:top w:val="nil"/>
              <w:left w:val="nil"/>
              <w:bottom w:val="nil"/>
              <w:right w:val="nil"/>
            </w:tcBorders>
            <w:shd w:val="clear" w:color="auto" w:fill="auto"/>
            <w:noWrap/>
            <w:vAlign w:val="center"/>
            <w:hideMark/>
          </w:tcPr>
          <w:p w14:paraId="284624CA"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r w:rsidRPr="008404B8">
              <w:rPr>
                <w:rFonts w:ascii="Times New Roman" w:eastAsia="맑은 고딕" w:hAnsi="Times New Roman" w:cs="Times New Roman"/>
                <w:i/>
                <w:iCs/>
                <w:color w:val="000000"/>
                <w:kern w:val="0"/>
                <w:sz w:val="24"/>
                <w:szCs w:val="24"/>
              </w:rPr>
              <w:t>Secondhand smoke exposure</w:t>
            </w:r>
          </w:p>
        </w:tc>
        <w:tc>
          <w:tcPr>
            <w:tcW w:w="1821" w:type="dxa"/>
            <w:tcBorders>
              <w:top w:val="nil"/>
              <w:left w:val="nil"/>
              <w:bottom w:val="nil"/>
              <w:right w:val="nil"/>
            </w:tcBorders>
            <w:shd w:val="clear" w:color="auto" w:fill="auto"/>
            <w:noWrap/>
            <w:vAlign w:val="center"/>
            <w:hideMark/>
          </w:tcPr>
          <w:p w14:paraId="25FE1926"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p>
        </w:tc>
        <w:tc>
          <w:tcPr>
            <w:tcW w:w="2140" w:type="dxa"/>
            <w:tcBorders>
              <w:top w:val="nil"/>
              <w:left w:val="nil"/>
              <w:bottom w:val="nil"/>
              <w:right w:val="nil"/>
            </w:tcBorders>
            <w:shd w:val="clear" w:color="auto" w:fill="auto"/>
            <w:noWrap/>
            <w:vAlign w:val="center"/>
            <w:hideMark/>
          </w:tcPr>
          <w:p w14:paraId="20179063"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430AE7AD"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r>
      <w:tr w:rsidR="00A17E89" w:rsidRPr="008404B8" w14:paraId="1DC9E6D8" w14:textId="77777777" w:rsidTr="00A17E89">
        <w:trPr>
          <w:trHeight w:val="315"/>
        </w:trPr>
        <w:tc>
          <w:tcPr>
            <w:tcW w:w="5557" w:type="dxa"/>
            <w:gridSpan w:val="2"/>
            <w:tcBorders>
              <w:top w:val="nil"/>
              <w:left w:val="nil"/>
              <w:bottom w:val="nil"/>
              <w:right w:val="nil"/>
            </w:tcBorders>
            <w:shd w:val="clear" w:color="auto" w:fill="auto"/>
            <w:noWrap/>
            <w:vAlign w:val="center"/>
            <w:hideMark/>
          </w:tcPr>
          <w:p w14:paraId="44734AD3"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Perceived secondhand smoke exposure</w:t>
            </w:r>
          </w:p>
        </w:tc>
        <w:tc>
          <w:tcPr>
            <w:tcW w:w="2140" w:type="dxa"/>
            <w:tcBorders>
              <w:top w:val="nil"/>
              <w:left w:val="nil"/>
              <w:bottom w:val="nil"/>
              <w:right w:val="nil"/>
            </w:tcBorders>
            <w:shd w:val="clear" w:color="auto" w:fill="auto"/>
            <w:noWrap/>
            <w:vAlign w:val="center"/>
            <w:hideMark/>
          </w:tcPr>
          <w:p w14:paraId="160A4956"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1043" w:type="dxa"/>
            <w:tcBorders>
              <w:top w:val="nil"/>
              <w:left w:val="nil"/>
              <w:bottom w:val="nil"/>
              <w:right w:val="nil"/>
            </w:tcBorders>
            <w:shd w:val="clear" w:color="auto" w:fill="auto"/>
            <w:noWrap/>
            <w:vAlign w:val="center"/>
            <w:hideMark/>
          </w:tcPr>
          <w:p w14:paraId="23AC231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0.335</w:t>
            </w:r>
          </w:p>
        </w:tc>
      </w:tr>
      <w:tr w:rsidR="00A17E89" w:rsidRPr="008404B8" w14:paraId="22B0CC5A" w14:textId="77777777" w:rsidTr="00A17E89">
        <w:trPr>
          <w:trHeight w:val="315"/>
        </w:trPr>
        <w:tc>
          <w:tcPr>
            <w:tcW w:w="3736" w:type="dxa"/>
            <w:tcBorders>
              <w:top w:val="nil"/>
              <w:left w:val="nil"/>
              <w:bottom w:val="nil"/>
              <w:right w:val="nil"/>
            </w:tcBorders>
            <w:shd w:val="clear" w:color="auto" w:fill="auto"/>
            <w:noWrap/>
            <w:vAlign w:val="center"/>
            <w:hideMark/>
          </w:tcPr>
          <w:p w14:paraId="65A9B1A0"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w:t>
            </w:r>
          </w:p>
        </w:tc>
        <w:tc>
          <w:tcPr>
            <w:tcW w:w="1821" w:type="dxa"/>
            <w:tcBorders>
              <w:top w:val="nil"/>
              <w:left w:val="nil"/>
              <w:bottom w:val="nil"/>
              <w:right w:val="nil"/>
            </w:tcBorders>
            <w:shd w:val="clear" w:color="auto" w:fill="auto"/>
            <w:noWrap/>
            <w:vAlign w:val="center"/>
            <w:hideMark/>
          </w:tcPr>
          <w:p w14:paraId="3A103A1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12,294 (69.76)</w:t>
            </w:r>
          </w:p>
        </w:tc>
        <w:tc>
          <w:tcPr>
            <w:tcW w:w="2140" w:type="dxa"/>
            <w:tcBorders>
              <w:top w:val="nil"/>
              <w:left w:val="nil"/>
              <w:bottom w:val="nil"/>
              <w:right w:val="nil"/>
            </w:tcBorders>
            <w:shd w:val="clear" w:color="auto" w:fill="auto"/>
            <w:noWrap/>
            <w:vAlign w:val="center"/>
            <w:hideMark/>
          </w:tcPr>
          <w:p w14:paraId="1B906A15"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1,530 (68.47)</w:t>
            </w:r>
          </w:p>
        </w:tc>
        <w:tc>
          <w:tcPr>
            <w:tcW w:w="1043" w:type="dxa"/>
            <w:tcBorders>
              <w:top w:val="nil"/>
              <w:left w:val="nil"/>
              <w:bottom w:val="nil"/>
              <w:right w:val="nil"/>
            </w:tcBorders>
            <w:shd w:val="clear" w:color="auto" w:fill="auto"/>
            <w:noWrap/>
            <w:vAlign w:val="center"/>
            <w:hideMark/>
          </w:tcPr>
          <w:p w14:paraId="0E425B2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CB607EE" w14:textId="77777777" w:rsidTr="00A17E89">
        <w:trPr>
          <w:trHeight w:val="315"/>
        </w:trPr>
        <w:tc>
          <w:tcPr>
            <w:tcW w:w="3736" w:type="dxa"/>
            <w:tcBorders>
              <w:top w:val="nil"/>
              <w:left w:val="nil"/>
              <w:bottom w:val="nil"/>
              <w:right w:val="nil"/>
            </w:tcBorders>
            <w:shd w:val="clear" w:color="auto" w:fill="auto"/>
            <w:noWrap/>
            <w:vAlign w:val="center"/>
            <w:hideMark/>
          </w:tcPr>
          <w:p w14:paraId="739C6DF6"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kern w:val="0"/>
                <w:sz w:val="24"/>
                <w:szCs w:val="24"/>
              </w:rPr>
            </w:pPr>
            <w:r w:rsidRPr="008404B8">
              <w:rPr>
                <w:rFonts w:ascii="Times New Roman" w:eastAsia="맑은 고딕" w:hAnsi="Times New Roman" w:cs="Times New Roman"/>
                <w:kern w:val="0"/>
                <w:sz w:val="24"/>
                <w:szCs w:val="24"/>
              </w:rPr>
              <w:t>Yes</w:t>
            </w:r>
          </w:p>
        </w:tc>
        <w:tc>
          <w:tcPr>
            <w:tcW w:w="1821" w:type="dxa"/>
            <w:tcBorders>
              <w:top w:val="nil"/>
              <w:left w:val="nil"/>
              <w:bottom w:val="nil"/>
              <w:right w:val="nil"/>
            </w:tcBorders>
            <w:shd w:val="clear" w:color="auto" w:fill="auto"/>
            <w:noWrap/>
            <w:vAlign w:val="center"/>
            <w:hideMark/>
          </w:tcPr>
          <w:p w14:paraId="53336B54"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4,632 (30.24)</w:t>
            </w:r>
          </w:p>
        </w:tc>
        <w:tc>
          <w:tcPr>
            <w:tcW w:w="2140" w:type="dxa"/>
            <w:tcBorders>
              <w:top w:val="nil"/>
              <w:left w:val="nil"/>
              <w:bottom w:val="nil"/>
              <w:right w:val="nil"/>
            </w:tcBorders>
            <w:shd w:val="clear" w:color="auto" w:fill="auto"/>
            <w:noWrap/>
            <w:vAlign w:val="center"/>
            <w:hideMark/>
          </w:tcPr>
          <w:p w14:paraId="76A9642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584 (31.53)</w:t>
            </w:r>
          </w:p>
        </w:tc>
        <w:tc>
          <w:tcPr>
            <w:tcW w:w="1043" w:type="dxa"/>
            <w:tcBorders>
              <w:top w:val="nil"/>
              <w:left w:val="nil"/>
              <w:bottom w:val="nil"/>
              <w:right w:val="nil"/>
            </w:tcBorders>
            <w:shd w:val="clear" w:color="auto" w:fill="auto"/>
            <w:noWrap/>
            <w:vAlign w:val="center"/>
            <w:hideMark/>
          </w:tcPr>
          <w:p w14:paraId="5B7543C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18D68D7F" w14:textId="77777777" w:rsidTr="00A17E89">
        <w:trPr>
          <w:trHeight w:val="375"/>
        </w:trPr>
        <w:tc>
          <w:tcPr>
            <w:tcW w:w="3736" w:type="dxa"/>
            <w:tcBorders>
              <w:top w:val="nil"/>
              <w:left w:val="nil"/>
              <w:bottom w:val="nil"/>
              <w:right w:val="nil"/>
            </w:tcBorders>
            <w:shd w:val="clear" w:color="auto" w:fill="auto"/>
            <w:noWrap/>
            <w:vAlign w:val="center"/>
            <w:hideMark/>
          </w:tcPr>
          <w:p w14:paraId="2E5AF8BF"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Cotinine (ng/mL)</w:t>
            </w:r>
            <w:r w:rsidRPr="008404B8">
              <w:rPr>
                <w:rFonts w:ascii="Times New Roman" w:eastAsia="맑은 고딕" w:hAnsi="Times New Roman" w:cs="Times New Roman"/>
                <w:color w:val="000000"/>
                <w:kern w:val="0"/>
                <w:sz w:val="24"/>
                <w:szCs w:val="24"/>
                <w:vertAlign w:val="superscript"/>
              </w:rPr>
              <w:t>2</w:t>
            </w:r>
          </w:p>
        </w:tc>
        <w:tc>
          <w:tcPr>
            <w:tcW w:w="1821" w:type="dxa"/>
            <w:tcBorders>
              <w:top w:val="nil"/>
              <w:left w:val="nil"/>
              <w:bottom w:val="nil"/>
              <w:right w:val="nil"/>
            </w:tcBorders>
            <w:shd w:val="clear" w:color="auto" w:fill="auto"/>
            <w:noWrap/>
            <w:vAlign w:val="center"/>
            <w:hideMark/>
          </w:tcPr>
          <w:p w14:paraId="73059592"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kern w:val="0"/>
                <w:sz w:val="24"/>
                <w:szCs w:val="24"/>
              </w:rPr>
            </w:pPr>
            <w:r w:rsidRPr="008404B8">
              <w:rPr>
                <w:rFonts w:ascii="Times New Roman" w:eastAsia="맑은 고딕" w:hAnsi="Times New Roman" w:cs="Times New Roman"/>
                <w:kern w:val="0"/>
                <w:sz w:val="24"/>
                <w:szCs w:val="24"/>
              </w:rPr>
              <w:t>0.48 (0.71)</w:t>
            </w:r>
          </w:p>
        </w:tc>
        <w:tc>
          <w:tcPr>
            <w:tcW w:w="2140" w:type="dxa"/>
            <w:tcBorders>
              <w:top w:val="nil"/>
              <w:left w:val="nil"/>
              <w:bottom w:val="nil"/>
              <w:right w:val="nil"/>
            </w:tcBorders>
            <w:shd w:val="clear" w:color="auto" w:fill="auto"/>
            <w:noWrap/>
            <w:vAlign w:val="center"/>
            <w:hideMark/>
          </w:tcPr>
          <w:p w14:paraId="3847E83E"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0.39 (0.65)</w:t>
            </w:r>
          </w:p>
        </w:tc>
        <w:tc>
          <w:tcPr>
            <w:tcW w:w="1043" w:type="dxa"/>
            <w:tcBorders>
              <w:top w:val="nil"/>
              <w:left w:val="nil"/>
              <w:bottom w:val="nil"/>
              <w:right w:val="nil"/>
            </w:tcBorders>
            <w:shd w:val="clear" w:color="auto" w:fill="auto"/>
            <w:noWrap/>
            <w:vAlign w:val="center"/>
            <w:hideMark/>
          </w:tcPr>
          <w:p w14:paraId="39A56312"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0.924</w:t>
            </w:r>
          </w:p>
        </w:tc>
      </w:tr>
      <w:tr w:rsidR="00A17E89" w:rsidRPr="008404B8" w14:paraId="7F4A1A52" w14:textId="77777777" w:rsidTr="00A17E89">
        <w:trPr>
          <w:trHeight w:val="315"/>
        </w:trPr>
        <w:tc>
          <w:tcPr>
            <w:tcW w:w="3736" w:type="dxa"/>
            <w:tcBorders>
              <w:top w:val="nil"/>
              <w:left w:val="nil"/>
              <w:bottom w:val="nil"/>
              <w:right w:val="nil"/>
            </w:tcBorders>
            <w:shd w:val="clear" w:color="auto" w:fill="auto"/>
            <w:noWrap/>
            <w:vAlign w:val="center"/>
            <w:hideMark/>
          </w:tcPr>
          <w:p w14:paraId="79FF0073"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r w:rsidRPr="008404B8">
              <w:rPr>
                <w:rFonts w:ascii="Times New Roman" w:eastAsia="맑은 고딕" w:hAnsi="Times New Roman" w:cs="Times New Roman"/>
                <w:i/>
                <w:iCs/>
                <w:color w:val="000000"/>
                <w:kern w:val="0"/>
                <w:sz w:val="24"/>
                <w:szCs w:val="24"/>
              </w:rPr>
              <w:t>Demographic factors</w:t>
            </w:r>
          </w:p>
        </w:tc>
        <w:tc>
          <w:tcPr>
            <w:tcW w:w="1821" w:type="dxa"/>
            <w:tcBorders>
              <w:top w:val="nil"/>
              <w:left w:val="nil"/>
              <w:bottom w:val="nil"/>
              <w:right w:val="nil"/>
            </w:tcBorders>
            <w:shd w:val="clear" w:color="auto" w:fill="auto"/>
            <w:noWrap/>
            <w:vAlign w:val="center"/>
            <w:hideMark/>
          </w:tcPr>
          <w:p w14:paraId="46C12846"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p>
        </w:tc>
        <w:tc>
          <w:tcPr>
            <w:tcW w:w="2140" w:type="dxa"/>
            <w:tcBorders>
              <w:top w:val="nil"/>
              <w:left w:val="nil"/>
              <w:bottom w:val="nil"/>
              <w:right w:val="nil"/>
            </w:tcBorders>
            <w:shd w:val="clear" w:color="auto" w:fill="auto"/>
            <w:noWrap/>
            <w:vAlign w:val="center"/>
            <w:hideMark/>
          </w:tcPr>
          <w:p w14:paraId="7B32DFDD"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69C32AB4"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r>
      <w:tr w:rsidR="00A17E89" w:rsidRPr="008404B8" w14:paraId="476556AB" w14:textId="77777777" w:rsidTr="00A17E89">
        <w:trPr>
          <w:trHeight w:val="315"/>
        </w:trPr>
        <w:tc>
          <w:tcPr>
            <w:tcW w:w="3736" w:type="dxa"/>
            <w:tcBorders>
              <w:top w:val="nil"/>
              <w:left w:val="nil"/>
              <w:bottom w:val="nil"/>
              <w:right w:val="nil"/>
            </w:tcBorders>
            <w:shd w:val="clear" w:color="auto" w:fill="auto"/>
            <w:noWrap/>
            <w:vAlign w:val="center"/>
            <w:hideMark/>
          </w:tcPr>
          <w:p w14:paraId="58E0C14F"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Age</w:t>
            </w:r>
          </w:p>
        </w:tc>
        <w:tc>
          <w:tcPr>
            <w:tcW w:w="1821" w:type="dxa"/>
            <w:tcBorders>
              <w:top w:val="nil"/>
              <w:left w:val="nil"/>
              <w:bottom w:val="nil"/>
              <w:right w:val="nil"/>
            </w:tcBorders>
            <w:shd w:val="clear" w:color="auto" w:fill="auto"/>
            <w:noWrap/>
            <w:vAlign w:val="center"/>
            <w:hideMark/>
          </w:tcPr>
          <w:p w14:paraId="4164E7EA"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47.82 (0.23)</w:t>
            </w:r>
          </w:p>
        </w:tc>
        <w:tc>
          <w:tcPr>
            <w:tcW w:w="2140" w:type="dxa"/>
            <w:tcBorders>
              <w:top w:val="nil"/>
              <w:left w:val="nil"/>
              <w:bottom w:val="nil"/>
              <w:right w:val="nil"/>
            </w:tcBorders>
            <w:shd w:val="clear" w:color="auto" w:fill="auto"/>
            <w:noWrap/>
            <w:vAlign w:val="center"/>
            <w:hideMark/>
          </w:tcPr>
          <w:p w14:paraId="5721CB48"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50.57 (0.64)</w:t>
            </w:r>
          </w:p>
        </w:tc>
        <w:tc>
          <w:tcPr>
            <w:tcW w:w="1043" w:type="dxa"/>
            <w:tcBorders>
              <w:top w:val="nil"/>
              <w:left w:val="nil"/>
              <w:bottom w:val="nil"/>
              <w:right w:val="nil"/>
            </w:tcBorders>
            <w:shd w:val="clear" w:color="auto" w:fill="auto"/>
            <w:noWrap/>
            <w:vAlign w:val="center"/>
            <w:hideMark/>
          </w:tcPr>
          <w:p w14:paraId="468069B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&lt;0.001</w:t>
            </w:r>
          </w:p>
        </w:tc>
      </w:tr>
      <w:tr w:rsidR="00A17E89" w:rsidRPr="008404B8" w14:paraId="4692710D" w14:textId="77777777" w:rsidTr="00A17E89">
        <w:trPr>
          <w:trHeight w:val="315"/>
        </w:trPr>
        <w:tc>
          <w:tcPr>
            <w:tcW w:w="3736" w:type="dxa"/>
            <w:tcBorders>
              <w:top w:val="nil"/>
              <w:left w:val="nil"/>
              <w:bottom w:val="nil"/>
              <w:right w:val="nil"/>
            </w:tcBorders>
            <w:shd w:val="clear" w:color="auto" w:fill="auto"/>
            <w:noWrap/>
            <w:vAlign w:val="center"/>
            <w:hideMark/>
          </w:tcPr>
          <w:p w14:paraId="15BAC440"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Sex</w:t>
            </w:r>
          </w:p>
        </w:tc>
        <w:tc>
          <w:tcPr>
            <w:tcW w:w="1821" w:type="dxa"/>
            <w:tcBorders>
              <w:top w:val="nil"/>
              <w:left w:val="nil"/>
              <w:bottom w:val="nil"/>
              <w:right w:val="nil"/>
            </w:tcBorders>
            <w:shd w:val="clear" w:color="auto" w:fill="auto"/>
            <w:noWrap/>
            <w:vAlign w:val="center"/>
            <w:hideMark/>
          </w:tcPr>
          <w:p w14:paraId="390794D5"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72E57117"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673064A8"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&lt;0.001</w:t>
            </w:r>
          </w:p>
        </w:tc>
      </w:tr>
      <w:tr w:rsidR="00A17E89" w:rsidRPr="008404B8" w14:paraId="34AE7F86" w14:textId="77777777" w:rsidTr="00A17E89">
        <w:trPr>
          <w:trHeight w:val="315"/>
        </w:trPr>
        <w:tc>
          <w:tcPr>
            <w:tcW w:w="3736" w:type="dxa"/>
            <w:tcBorders>
              <w:top w:val="nil"/>
              <w:left w:val="nil"/>
              <w:bottom w:val="nil"/>
              <w:right w:val="nil"/>
            </w:tcBorders>
            <w:shd w:val="clear" w:color="auto" w:fill="auto"/>
            <w:noWrap/>
            <w:vAlign w:val="center"/>
            <w:hideMark/>
          </w:tcPr>
          <w:p w14:paraId="7B07C866"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Male</w:t>
            </w:r>
          </w:p>
        </w:tc>
        <w:tc>
          <w:tcPr>
            <w:tcW w:w="1821" w:type="dxa"/>
            <w:tcBorders>
              <w:top w:val="nil"/>
              <w:left w:val="nil"/>
              <w:bottom w:val="nil"/>
              <w:right w:val="nil"/>
            </w:tcBorders>
            <w:shd w:val="clear" w:color="auto" w:fill="auto"/>
            <w:noWrap/>
            <w:vAlign w:val="center"/>
            <w:hideMark/>
          </w:tcPr>
          <w:p w14:paraId="749FF899"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5,979 (40.65)</w:t>
            </w:r>
          </w:p>
        </w:tc>
        <w:tc>
          <w:tcPr>
            <w:tcW w:w="2140" w:type="dxa"/>
            <w:tcBorders>
              <w:top w:val="nil"/>
              <w:left w:val="nil"/>
              <w:bottom w:val="nil"/>
              <w:right w:val="nil"/>
            </w:tcBorders>
            <w:shd w:val="clear" w:color="auto" w:fill="auto"/>
            <w:noWrap/>
            <w:vAlign w:val="center"/>
            <w:hideMark/>
          </w:tcPr>
          <w:p w14:paraId="3810F60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594 (30.23)</w:t>
            </w:r>
          </w:p>
        </w:tc>
        <w:tc>
          <w:tcPr>
            <w:tcW w:w="1043" w:type="dxa"/>
            <w:tcBorders>
              <w:top w:val="nil"/>
              <w:left w:val="nil"/>
              <w:bottom w:val="nil"/>
              <w:right w:val="nil"/>
            </w:tcBorders>
            <w:shd w:val="clear" w:color="auto" w:fill="auto"/>
            <w:noWrap/>
            <w:vAlign w:val="center"/>
            <w:hideMark/>
          </w:tcPr>
          <w:p w14:paraId="7DBC1CEC"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1D79433" w14:textId="77777777" w:rsidTr="00A17E89">
        <w:trPr>
          <w:trHeight w:val="315"/>
        </w:trPr>
        <w:tc>
          <w:tcPr>
            <w:tcW w:w="3736" w:type="dxa"/>
            <w:tcBorders>
              <w:top w:val="nil"/>
              <w:left w:val="nil"/>
              <w:bottom w:val="nil"/>
              <w:right w:val="nil"/>
            </w:tcBorders>
            <w:shd w:val="clear" w:color="auto" w:fill="auto"/>
            <w:noWrap/>
            <w:vAlign w:val="center"/>
            <w:hideMark/>
          </w:tcPr>
          <w:p w14:paraId="255EFFD6"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Female</w:t>
            </w:r>
          </w:p>
        </w:tc>
        <w:tc>
          <w:tcPr>
            <w:tcW w:w="1821" w:type="dxa"/>
            <w:tcBorders>
              <w:top w:val="nil"/>
              <w:left w:val="nil"/>
              <w:bottom w:val="nil"/>
              <w:right w:val="nil"/>
            </w:tcBorders>
            <w:shd w:val="clear" w:color="auto" w:fill="auto"/>
            <w:noWrap/>
            <w:vAlign w:val="center"/>
            <w:hideMark/>
          </w:tcPr>
          <w:p w14:paraId="48898B82"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10,947 (59.35)</w:t>
            </w:r>
          </w:p>
        </w:tc>
        <w:tc>
          <w:tcPr>
            <w:tcW w:w="2140" w:type="dxa"/>
            <w:tcBorders>
              <w:top w:val="nil"/>
              <w:left w:val="nil"/>
              <w:bottom w:val="nil"/>
              <w:right w:val="nil"/>
            </w:tcBorders>
            <w:shd w:val="clear" w:color="auto" w:fill="auto"/>
            <w:noWrap/>
            <w:vAlign w:val="center"/>
            <w:hideMark/>
          </w:tcPr>
          <w:p w14:paraId="5FB9E11A"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1,526 (69.77)</w:t>
            </w:r>
          </w:p>
        </w:tc>
        <w:tc>
          <w:tcPr>
            <w:tcW w:w="1043" w:type="dxa"/>
            <w:tcBorders>
              <w:top w:val="nil"/>
              <w:left w:val="nil"/>
              <w:bottom w:val="nil"/>
              <w:right w:val="nil"/>
            </w:tcBorders>
            <w:shd w:val="clear" w:color="auto" w:fill="auto"/>
            <w:noWrap/>
            <w:vAlign w:val="center"/>
            <w:hideMark/>
          </w:tcPr>
          <w:p w14:paraId="78FD8B5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596831CA" w14:textId="77777777" w:rsidTr="00A17E89">
        <w:trPr>
          <w:trHeight w:val="315"/>
        </w:trPr>
        <w:tc>
          <w:tcPr>
            <w:tcW w:w="3736" w:type="dxa"/>
            <w:tcBorders>
              <w:top w:val="nil"/>
              <w:left w:val="nil"/>
              <w:bottom w:val="nil"/>
              <w:right w:val="nil"/>
            </w:tcBorders>
            <w:shd w:val="clear" w:color="auto" w:fill="auto"/>
            <w:noWrap/>
            <w:vAlign w:val="center"/>
            <w:hideMark/>
          </w:tcPr>
          <w:p w14:paraId="365D2B4A"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r w:rsidRPr="008404B8">
              <w:rPr>
                <w:rFonts w:ascii="Times New Roman" w:eastAsia="맑은 고딕" w:hAnsi="Times New Roman" w:cs="Times New Roman"/>
                <w:i/>
                <w:iCs/>
                <w:color w:val="000000"/>
                <w:kern w:val="0"/>
                <w:sz w:val="24"/>
                <w:szCs w:val="24"/>
              </w:rPr>
              <w:t>Socioeconomic factors</w:t>
            </w:r>
          </w:p>
        </w:tc>
        <w:tc>
          <w:tcPr>
            <w:tcW w:w="1821" w:type="dxa"/>
            <w:tcBorders>
              <w:top w:val="nil"/>
              <w:left w:val="nil"/>
              <w:bottom w:val="nil"/>
              <w:right w:val="nil"/>
            </w:tcBorders>
            <w:shd w:val="clear" w:color="auto" w:fill="auto"/>
            <w:noWrap/>
            <w:vAlign w:val="center"/>
            <w:hideMark/>
          </w:tcPr>
          <w:p w14:paraId="2F5289A7"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p>
        </w:tc>
        <w:tc>
          <w:tcPr>
            <w:tcW w:w="2140" w:type="dxa"/>
            <w:tcBorders>
              <w:top w:val="nil"/>
              <w:left w:val="nil"/>
              <w:bottom w:val="nil"/>
              <w:right w:val="nil"/>
            </w:tcBorders>
            <w:shd w:val="clear" w:color="auto" w:fill="auto"/>
            <w:noWrap/>
            <w:vAlign w:val="center"/>
            <w:hideMark/>
          </w:tcPr>
          <w:p w14:paraId="0C77A85C"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658278FB"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r>
      <w:tr w:rsidR="00A17E89" w:rsidRPr="008404B8" w14:paraId="03278A27" w14:textId="77777777" w:rsidTr="00A17E89">
        <w:trPr>
          <w:trHeight w:val="375"/>
        </w:trPr>
        <w:tc>
          <w:tcPr>
            <w:tcW w:w="3736" w:type="dxa"/>
            <w:tcBorders>
              <w:top w:val="nil"/>
              <w:left w:val="nil"/>
              <w:bottom w:val="nil"/>
              <w:right w:val="nil"/>
            </w:tcBorders>
            <w:shd w:val="clear" w:color="auto" w:fill="auto"/>
            <w:noWrap/>
            <w:vAlign w:val="center"/>
            <w:hideMark/>
          </w:tcPr>
          <w:p w14:paraId="0D4AEED9"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Income</w:t>
            </w:r>
            <w:r w:rsidRPr="008404B8">
              <w:rPr>
                <w:rFonts w:ascii="Times New Roman" w:eastAsia="맑은 고딕" w:hAnsi="Times New Roman" w:cs="Times New Roman"/>
                <w:color w:val="000000"/>
                <w:kern w:val="0"/>
                <w:sz w:val="24"/>
                <w:szCs w:val="24"/>
                <w:vertAlign w:val="superscript"/>
              </w:rPr>
              <w:t>3</w:t>
            </w:r>
          </w:p>
        </w:tc>
        <w:tc>
          <w:tcPr>
            <w:tcW w:w="1821" w:type="dxa"/>
            <w:tcBorders>
              <w:top w:val="nil"/>
              <w:left w:val="nil"/>
              <w:bottom w:val="nil"/>
              <w:right w:val="nil"/>
            </w:tcBorders>
            <w:shd w:val="clear" w:color="auto" w:fill="auto"/>
            <w:noWrap/>
            <w:vAlign w:val="center"/>
            <w:hideMark/>
          </w:tcPr>
          <w:p w14:paraId="0EB9B3DB"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053594CE"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739A57C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&lt;0.001</w:t>
            </w:r>
          </w:p>
        </w:tc>
      </w:tr>
      <w:tr w:rsidR="00A17E89" w:rsidRPr="008404B8" w14:paraId="5CE82464" w14:textId="77777777" w:rsidTr="00A17E89">
        <w:trPr>
          <w:trHeight w:val="315"/>
        </w:trPr>
        <w:tc>
          <w:tcPr>
            <w:tcW w:w="3736" w:type="dxa"/>
            <w:tcBorders>
              <w:top w:val="nil"/>
              <w:left w:val="nil"/>
              <w:bottom w:val="nil"/>
              <w:right w:val="nil"/>
            </w:tcBorders>
            <w:shd w:val="clear" w:color="auto" w:fill="auto"/>
            <w:noWrap/>
            <w:vAlign w:val="center"/>
            <w:hideMark/>
          </w:tcPr>
          <w:p w14:paraId="1EEBA7A7"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Highest</w:t>
            </w:r>
          </w:p>
        </w:tc>
        <w:tc>
          <w:tcPr>
            <w:tcW w:w="1821" w:type="dxa"/>
            <w:tcBorders>
              <w:top w:val="nil"/>
              <w:left w:val="nil"/>
              <w:bottom w:val="nil"/>
              <w:right w:val="nil"/>
            </w:tcBorders>
            <w:shd w:val="clear" w:color="auto" w:fill="auto"/>
            <w:noWrap/>
            <w:vAlign w:val="center"/>
            <w:hideMark/>
          </w:tcPr>
          <w:p w14:paraId="518B6EF6"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4,406 (28.55)</w:t>
            </w:r>
          </w:p>
        </w:tc>
        <w:tc>
          <w:tcPr>
            <w:tcW w:w="2140" w:type="dxa"/>
            <w:tcBorders>
              <w:top w:val="nil"/>
              <w:left w:val="nil"/>
              <w:bottom w:val="nil"/>
              <w:right w:val="nil"/>
            </w:tcBorders>
            <w:shd w:val="clear" w:color="auto" w:fill="auto"/>
            <w:noWrap/>
            <w:vAlign w:val="center"/>
            <w:hideMark/>
          </w:tcPr>
          <w:p w14:paraId="6D2CB42C"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393 (21.14)</w:t>
            </w:r>
          </w:p>
        </w:tc>
        <w:tc>
          <w:tcPr>
            <w:tcW w:w="1043" w:type="dxa"/>
            <w:tcBorders>
              <w:top w:val="nil"/>
              <w:left w:val="nil"/>
              <w:bottom w:val="nil"/>
              <w:right w:val="nil"/>
            </w:tcBorders>
            <w:shd w:val="clear" w:color="auto" w:fill="auto"/>
            <w:noWrap/>
            <w:vAlign w:val="center"/>
            <w:hideMark/>
          </w:tcPr>
          <w:p w14:paraId="6708EFE5"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CA5D282" w14:textId="77777777" w:rsidTr="00A17E89">
        <w:trPr>
          <w:trHeight w:val="315"/>
        </w:trPr>
        <w:tc>
          <w:tcPr>
            <w:tcW w:w="3736" w:type="dxa"/>
            <w:tcBorders>
              <w:top w:val="nil"/>
              <w:left w:val="nil"/>
              <w:bottom w:val="nil"/>
              <w:right w:val="nil"/>
            </w:tcBorders>
            <w:shd w:val="clear" w:color="auto" w:fill="auto"/>
            <w:noWrap/>
            <w:vAlign w:val="center"/>
            <w:hideMark/>
          </w:tcPr>
          <w:p w14:paraId="50C9085D"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High</w:t>
            </w:r>
          </w:p>
        </w:tc>
        <w:tc>
          <w:tcPr>
            <w:tcW w:w="1821" w:type="dxa"/>
            <w:tcBorders>
              <w:top w:val="nil"/>
              <w:left w:val="nil"/>
              <w:bottom w:val="nil"/>
              <w:right w:val="nil"/>
            </w:tcBorders>
            <w:shd w:val="clear" w:color="auto" w:fill="auto"/>
            <w:noWrap/>
            <w:vAlign w:val="center"/>
            <w:hideMark/>
          </w:tcPr>
          <w:p w14:paraId="4B52B12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3,948 (25.51)</w:t>
            </w:r>
          </w:p>
        </w:tc>
        <w:tc>
          <w:tcPr>
            <w:tcW w:w="2140" w:type="dxa"/>
            <w:tcBorders>
              <w:top w:val="nil"/>
              <w:left w:val="nil"/>
              <w:bottom w:val="nil"/>
              <w:right w:val="nil"/>
            </w:tcBorders>
            <w:shd w:val="clear" w:color="auto" w:fill="auto"/>
            <w:noWrap/>
            <w:vAlign w:val="center"/>
            <w:hideMark/>
          </w:tcPr>
          <w:p w14:paraId="3E63D99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413 (23.66)</w:t>
            </w:r>
          </w:p>
        </w:tc>
        <w:tc>
          <w:tcPr>
            <w:tcW w:w="1043" w:type="dxa"/>
            <w:tcBorders>
              <w:top w:val="nil"/>
              <w:left w:val="nil"/>
              <w:bottom w:val="nil"/>
              <w:right w:val="nil"/>
            </w:tcBorders>
            <w:shd w:val="clear" w:color="auto" w:fill="auto"/>
            <w:noWrap/>
            <w:vAlign w:val="center"/>
            <w:hideMark/>
          </w:tcPr>
          <w:p w14:paraId="179EA828"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2160F723" w14:textId="77777777" w:rsidTr="00A17E89">
        <w:trPr>
          <w:trHeight w:val="315"/>
        </w:trPr>
        <w:tc>
          <w:tcPr>
            <w:tcW w:w="3736" w:type="dxa"/>
            <w:tcBorders>
              <w:top w:val="nil"/>
              <w:left w:val="nil"/>
              <w:bottom w:val="nil"/>
              <w:right w:val="nil"/>
            </w:tcBorders>
            <w:shd w:val="clear" w:color="auto" w:fill="auto"/>
            <w:noWrap/>
            <w:vAlign w:val="center"/>
            <w:hideMark/>
          </w:tcPr>
          <w:p w14:paraId="4089A61C"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Low</w:t>
            </w:r>
          </w:p>
        </w:tc>
        <w:tc>
          <w:tcPr>
            <w:tcW w:w="1821" w:type="dxa"/>
            <w:tcBorders>
              <w:top w:val="nil"/>
              <w:left w:val="nil"/>
              <w:bottom w:val="nil"/>
              <w:right w:val="nil"/>
            </w:tcBorders>
            <w:shd w:val="clear" w:color="auto" w:fill="auto"/>
            <w:noWrap/>
            <w:vAlign w:val="center"/>
            <w:hideMark/>
          </w:tcPr>
          <w:p w14:paraId="7BB654B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3,909 (23.66)</w:t>
            </w:r>
          </w:p>
        </w:tc>
        <w:tc>
          <w:tcPr>
            <w:tcW w:w="2140" w:type="dxa"/>
            <w:tcBorders>
              <w:top w:val="nil"/>
              <w:left w:val="nil"/>
              <w:bottom w:val="nil"/>
              <w:right w:val="nil"/>
            </w:tcBorders>
            <w:shd w:val="clear" w:color="auto" w:fill="auto"/>
            <w:noWrap/>
            <w:vAlign w:val="center"/>
            <w:hideMark/>
          </w:tcPr>
          <w:p w14:paraId="1CDBDFF2"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452 (24.84)</w:t>
            </w:r>
          </w:p>
        </w:tc>
        <w:tc>
          <w:tcPr>
            <w:tcW w:w="1043" w:type="dxa"/>
            <w:tcBorders>
              <w:top w:val="nil"/>
              <w:left w:val="nil"/>
              <w:bottom w:val="nil"/>
              <w:right w:val="nil"/>
            </w:tcBorders>
            <w:shd w:val="clear" w:color="auto" w:fill="auto"/>
            <w:noWrap/>
            <w:vAlign w:val="center"/>
            <w:hideMark/>
          </w:tcPr>
          <w:p w14:paraId="3A2B121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7907ECF7" w14:textId="77777777" w:rsidTr="00A17E89">
        <w:trPr>
          <w:trHeight w:val="315"/>
        </w:trPr>
        <w:tc>
          <w:tcPr>
            <w:tcW w:w="3736" w:type="dxa"/>
            <w:tcBorders>
              <w:top w:val="nil"/>
              <w:left w:val="nil"/>
              <w:bottom w:val="nil"/>
              <w:right w:val="nil"/>
            </w:tcBorders>
            <w:shd w:val="clear" w:color="auto" w:fill="auto"/>
            <w:noWrap/>
            <w:vAlign w:val="center"/>
            <w:hideMark/>
          </w:tcPr>
          <w:p w14:paraId="1FF5AED7"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Lowest</w:t>
            </w:r>
          </w:p>
        </w:tc>
        <w:tc>
          <w:tcPr>
            <w:tcW w:w="1821" w:type="dxa"/>
            <w:tcBorders>
              <w:top w:val="nil"/>
              <w:left w:val="nil"/>
              <w:bottom w:val="nil"/>
              <w:right w:val="nil"/>
            </w:tcBorders>
            <w:shd w:val="clear" w:color="auto" w:fill="auto"/>
            <w:noWrap/>
            <w:vAlign w:val="center"/>
            <w:hideMark/>
          </w:tcPr>
          <w:p w14:paraId="2F413FA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4,663 (22.28)</w:t>
            </w:r>
          </w:p>
        </w:tc>
        <w:tc>
          <w:tcPr>
            <w:tcW w:w="2140" w:type="dxa"/>
            <w:tcBorders>
              <w:top w:val="nil"/>
              <w:left w:val="nil"/>
              <w:bottom w:val="nil"/>
              <w:right w:val="nil"/>
            </w:tcBorders>
            <w:shd w:val="clear" w:color="auto" w:fill="auto"/>
            <w:noWrap/>
            <w:vAlign w:val="center"/>
            <w:hideMark/>
          </w:tcPr>
          <w:p w14:paraId="7532CEF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798 (30.36)</w:t>
            </w:r>
          </w:p>
        </w:tc>
        <w:tc>
          <w:tcPr>
            <w:tcW w:w="1043" w:type="dxa"/>
            <w:tcBorders>
              <w:top w:val="nil"/>
              <w:left w:val="nil"/>
              <w:bottom w:val="nil"/>
              <w:right w:val="nil"/>
            </w:tcBorders>
            <w:shd w:val="clear" w:color="auto" w:fill="auto"/>
            <w:noWrap/>
            <w:vAlign w:val="center"/>
            <w:hideMark/>
          </w:tcPr>
          <w:p w14:paraId="3939CA05"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130CB648" w14:textId="77777777" w:rsidTr="00A17E89">
        <w:trPr>
          <w:trHeight w:val="315"/>
        </w:trPr>
        <w:tc>
          <w:tcPr>
            <w:tcW w:w="3736" w:type="dxa"/>
            <w:tcBorders>
              <w:top w:val="nil"/>
              <w:left w:val="nil"/>
              <w:bottom w:val="nil"/>
              <w:right w:val="nil"/>
            </w:tcBorders>
            <w:shd w:val="clear" w:color="auto" w:fill="auto"/>
            <w:noWrap/>
            <w:vAlign w:val="center"/>
            <w:hideMark/>
          </w:tcPr>
          <w:p w14:paraId="401AC70D"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Education</w:t>
            </w:r>
          </w:p>
        </w:tc>
        <w:tc>
          <w:tcPr>
            <w:tcW w:w="1821" w:type="dxa"/>
            <w:tcBorders>
              <w:top w:val="nil"/>
              <w:left w:val="nil"/>
              <w:bottom w:val="nil"/>
              <w:right w:val="nil"/>
            </w:tcBorders>
            <w:shd w:val="clear" w:color="auto" w:fill="auto"/>
            <w:noWrap/>
            <w:vAlign w:val="center"/>
            <w:hideMark/>
          </w:tcPr>
          <w:p w14:paraId="5E53195C"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3500BDE2"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78814A4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&lt;0.001</w:t>
            </w:r>
          </w:p>
        </w:tc>
      </w:tr>
      <w:tr w:rsidR="00A17E89" w:rsidRPr="008404B8" w14:paraId="45F3A122" w14:textId="77777777" w:rsidTr="00A17E89">
        <w:trPr>
          <w:trHeight w:val="315"/>
        </w:trPr>
        <w:tc>
          <w:tcPr>
            <w:tcW w:w="3736" w:type="dxa"/>
            <w:tcBorders>
              <w:top w:val="nil"/>
              <w:left w:val="nil"/>
              <w:bottom w:val="nil"/>
              <w:right w:val="nil"/>
            </w:tcBorders>
            <w:shd w:val="clear" w:color="auto" w:fill="auto"/>
            <w:noWrap/>
            <w:vAlign w:val="center"/>
            <w:hideMark/>
          </w:tcPr>
          <w:p w14:paraId="69B9AC1D"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College or higher</w:t>
            </w:r>
          </w:p>
        </w:tc>
        <w:tc>
          <w:tcPr>
            <w:tcW w:w="1821" w:type="dxa"/>
            <w:tcBorders>
              <w:top w:val="nil"/>
              <w:left w:val="nil"/>
              <w:bottom w:val="nil"/>
              <w:right w:val="nil"/>
            </w:tcBorders>
            <w:shd w:val="clear" w:color="auto" w:fill="auto"/>
            <w:noWrap/>
            <w:vAlign w:val="center"/>
            <w:hideMark/>
          </w:tcPr>
          <w:p w14:paraId="130CCB1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6,173 (40.71)</w:t>
            </w:r>
          </w:p>
        </w:tc>
        <w:tc>
          <w:tcPr>
            <w:tcW w:w="2140" w:type="dxa"/>
            <w:tcBorders>
              <w:top w:val="nil"/>
              <w:left w:val="nil"/>
              <w:bottom w:val="nil"/>
              <w:right w:val="nil"/>
            </w:tcBorders>
            <w:shd w:val="clear" w:color="auto" w:fill="auto"/>
            <w:noWrap/>
            <w:vAlign w:val="center"/>
            <w:hideMark/>
          </w:tcPr>
          <w:p w14:paraId="6CD7590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358 (34.75)</w:t>
            </w:r>
          </w:p>
        </w:tc>
        <w:tc>
          <w:tcPr>
            <w:tcW w:w="1043" w:type="dxa"/>
            <w:tcBorders>
              <w:top w:val="nil"/>
              <w:left w:val="nil"/>
              <w:bottom w:val="nil"/>
              <w:right w:val="nil"/>
            </w:tcBorders>
            <w:shd w:val="clear" w:color="auto" w:fill="auto"/>
            <w:noWrap/>
            <w:vAlign w:val="center"/>
            <w:hideMark/>
          </w:tcPr>
          <w:p w14:paraId="1C7EC26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4E813B5E" w14:textId="77777777" w:rsidTr="00A17E89">
        <w:trPr>
          <w:trHeight w:val="315"/>
        </w:trPr>
        <w:tc>
          <w:tcPr>
            <w:tcW w:w="3736" w:type="dxa"/>
            <w:tcBorders>
              <w:top w:val="nil"/>
              <w:left w:val="nil"/>
              <w:bottom w:val="nil"/>
              <w:right w:val="nil"/>
            </w:tcBorders>
            <w:shd w:val="clear" w:color="auto" w:fill="auto"/>
            <w:noWrap/>
            <w:vAlign w:val="center"/>
            <w:hideMark/>
          </w:tcPr>
          <w:p w14:paraId="2E798166"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High school</w:t>
            </w:r>
          </w:p>
        </w:tc>
        <w:tc>
          <w:tcPr>
            <w:tcW w:w="1821" w:type="dxa"/>
            <w:tcBorders>
              <w:top w:val="nil"/>
              <w:left w:val="nil"/>
              <w:bottom w:val="nil"/>
              <w:right w:val="nil"/>
            </w:tcBorders>
            <w:shd w:val="clear" w:color="auto" w:fill="auto"/>
            <w:noWrap/>
            <w:vAlign w:val="center"/>
            <w:hideMark/>
          </w:tcPr>
          <w:p w14:paraId="0665FD0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5,405 (35.65)</w:t>
            </w:r>
          </w:p>
        </w:tc>
        <w:tc>
          <w:tcPr>
            <w:tcW w:w="2140" w:type="dxa"/>
            <w:tcBorders>
              <w:top w:val="nil"/>
              <w:left w:val="nil"/>
              <w:bottom w:val="nil"/>
              <w:right w:val="nil"/>
            </w:tcBorders>
            <w:shd w:val="clear" w:color="auto" w:fill="auto"/>
            <w:noWrap/>
            <w:vAlign w:val="center"/>
            <w:hideMark/>
          </w:tcPr>
          <w:p w14:paraId="11A98AC8"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342 (33.42)</w:t>
            </w:r>
          </w:p>
        </w:tc>
        <w:tc>
          <w:tcPr>
            <w:tcW w:w="1043" w:type="dxa"/>
            <w:tcBorders>
              <w:top w:val="nil"/>
              <w:left w:val="nil"/>
              <w:bottom w:val="nil"/>
              <w:right w:val="nil"/>
            </w:tcBorders>
            <w:shd w:val="clear" w:color="auto" w:fill="auto"/>
            <w:noWrap/>
            <w:vAlign w:val="center"/>
            <w:hideMark/>
          </w:tcPr>
          <w:p w14:paraId="303DD0D5"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17ECCF21" w14:textId="77777777" w:rsidTr="00A17E89">
        <w:trPr>
          <w:trHeight w:val="315"/>
        </w:trPr>
        <w:tc>
          <w:tcPr>
            <w:tcW w:w="3736" w:type="dxa"/>
            <w:tcBorders>
              <w:top w:val="nil"/>
              <w:left w:val="nil"/>
              <w:bottom w:val="nil"/>
              <w:right w:val="nil"/>
            </w:tcBorders>
            <w:shd w:val="clear" w:color="auto" w:fill="auto"/>
            <w:noWrap/>
            <w:vAlign w:val="center"/>
            <w:hideMark/>
          </w:tcPr>
          <w:p w14:paraId="4ECF63A2"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Middle school</w:t>
            </w:r>
          </w:p>
        </w:tc>
        <w:tc>
          <w:tcPr>
            <w:tcW w:w="1821" w:type="dxa"/>
            <w:tcBorders>
              <w:top w:val="nil"/>
              <w:left w:val="nil"/>
              <w:bottom w:val="nil"/>
              <w:right w:val="nil"/>
            </w:tcBorders>
            <w:shd w:val="clear" w:color="auto" w:fill="auto"/>
            <w:noWrap/>
            <w:vAlign w:val="center"/>
            <w:hideMark/>
          </w:tcPr>
          <w:p w14:paraId="052E199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1,749 (8.63)</w:t>
            </w:r>
          </w:p>
        </w:tc>
        <w:tc>
          <w:tcPr>
            <w:tcW w:w="2140" w:type="dxa"/>
            <w:tcBorders>
              <w:top w:val="nil"/>
              <w:left w:val="nil"/>
              <w:bottom w:val="nil"/>
              <w:right w:val="nil"/>
            </w:tcBorders>
            <w:shd w:val="clear" w:color="auto" w:fill="auto"/>
            <w:noWrap/>
            <w:vAlign w:val="center"/>
            <w:hideMark/>
          </w:tcPr>
          <w:p w14:paraId="54978FB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81 (7.08)</w:t>
            </w:r>
          </w:p>
        </w:tc>
        <w:tc>
          <w:tcPr>
            <w:tcW w:w="1043" w:type="dxa"/>
            <w:tcBorders>
              <w:top w:val="nil"/>
              <w:left w:val="nil"/>
              <w:bottom w:val="nil"/>
              <w:right w:val="nil"/>
            </w:tcBorders>
            <w:shd w:val="clear" w:color="auto" w:fill="auto"/>
            <w:noWrap/>
            <w:vAlign w:val="center"/>
            <w:hideMark/>
          </w:tcPr>
          <w:p w14:paraId="55722B1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0EE6DD95" w14:textId="77777777" w:rsidTr="00A17E89">
        <w:trPr>
          <w:trHeight w:val="315"/>
        </w:trPr>
        <w:tc>
          <w:tcPr>
            <w:tcW w:w="3736" w:type="dxa"/>
            <w:tcBorders>
              <w:top w:val="nil"/>
              <w:left w:val="nil"/>
              <w:bottom w:val="nil"/>
              <w:right w:val="nil"/>
            </w:tcBorders>
            <w:shd w:val="clear" w:color="auto" w:fill="auto"/>
            <w:noWrap/>
            <w:vAlign w:val="center"/>
            <w:hideMark/>
          </w:tcPr>
          <w:p w14:paraId="72D2E56D"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Elementary or lower</w:t>
            </w:r>
          </w:p>
        </w:tc>
        <w:tc>
          <w:tcPr>
            <w:tcW w:w="1821" w:type="dxa"/>
            <w:tcBorders>
              <w:top w:val="nil"/>
              <w:left w:val="nil"/>
              <w:bottom w:val="nil"/>
              <w:right w:val="nil"/>
            </w:tcBorders>
            <w:shd w:val="clear" w:color="auto" w:fill="auto"/>
            <w:noWrap/>
            <w:vAlign w:val="center"/>
            <w:hideMark/>
          </w:tcPr>
          <w:p w14:paraId="1FB86888"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3,599 (15.02)</w:t>
            </w:r>
          </w:p>
        </w:tc>
        <w:tc>
          <w:tcPr>
            <w:tcW w:w="2140" w:type="dxa"/>
            <w:tcBorders>
              <w:top w:val="nil"/>
              <w:left w:val="nil"/>
              <w:bottom w:val="nil"/>
              <w:right w:val="nil"/>
            </w:tcBorders>
            <w:shd w:val="clear" w:color="auto" w:fill="auto"/>
            <w:noWrap/>
            <w:vAlign w:val="center"/>
            <w:hideMark/>
          </w:tcPr>
          <w:p w14:paraId="008EEC79"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390 (24.74)</w:t>
            </w:r>
          </w:p>
        </w:tc>
        <w:tc>
          <w:tcPr>
            <w:tcW w:w="1043" w:type="dxa"/>
            <w:tcBorders>
              <w:top w:val="nil"/>
              <w:left w:val="nil"/>
              <w:bottom w:val="nil"/>
              <w:right w:val="nil"/>
            </w:tcBorders>
            <w:shd w:val="clear" w:color="auto" w:fill="auto"/>
            <w:noWrap/>
            <w:vAlign w:val="center"/>
            <w:hideMark/>
          </w:tcPr>
          <w:p w14:paraId="061280E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685BFF1D" w14:textId="77777777" w:rsidTr="00A17E89">
        <w:trPr>
          <w:trHeight w:val="315"/>
        </w:trPr>
        <w:tc>
          <w:tcPr>
            <w:tcW w:w="3736" w:type="dxa"/>
            <w:tcBorders>
              <w:top w:val="nil"/>
              <w:left w:val="nil"/>
              <w:bottom w:val="nil"/>
              <w:right w:val="nil"/>
            </w:tcBorders>
            <w:shd w:val="clear" w:color="auto" w:fill="auto"/>
            <w:noWrap/>
            <w:vAlign w:val="center"/>
            <w:hideMark/>
          </w:tcPr>
          <w:p w14:paraId="49CF51B0"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Marital status</w:t>
            </w:r>
          </w:p>
        </w:tc>
        <w:tc>
          <w:tcPr>
            <w:tcW w:w="1821" w:type="dxa"/>
            <w:tcBorders>
              <w:top w:val="nil"/>
              <w:left w:val="nil"/>
              <w:bottom w:val="nil"/>
              <w:right w:val="nil"/>
            </w:tcBorders>
            <w:shd w:val="clear" w:color="auto" w:fill="auto"/>
            <w:noWrap/>
            <w:vAlign w:val="center"/>
            <w:hideMark/>
          </w:tcPr>
          <w:p w14:paraId="317D9C1F"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3ADB0C61"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0076CB25"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0.219</w:t>
            </w:r>
          </w:p>
        </w:tc>
      </w:tr>
      <w:tr w:rsidR="00A17E89" w:rsidRPr="008404B8" w14:paraId="48B8B917" w14:textId="77777777" w:rsidTr="00A17E89">
        <w:trPr>
          <w:trHeight w:val="315"/>
        </w:trPr>
        <w:tc>
          <w:tcPr>
            <w:tcW w:w="3736" w:type="dxa"/>
            <w:tcBorders>
              <w:top w:val="nil"/>
              <w:left w:val="nil"/>
              <w:bottom w:val="nil"/>
              <w:right w:val="nil"/>
            </w:tcBorders>
            <w:shd w:val="clear" w:color="auto" w:fill="auto"/>
            <w:noWrap/>
            <w:vAlign w:val="center"/>
            <w:hideMark/>
          </w:tcPr>
          <w:p w14:paraId="2C56EFFA"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Married</w:t>
            </w:r>
          </w:p>
        </w:tc>
        <w:tc>
          <w:tcPr>
            <w:tcW w:w="1821" w:type="dxa"/>
            <w:tcBorders>
              <w:top w:val="nil"/>
              <w:left w:val="nil"/>
              <w:bottom w:val="nil"/>
              <w:right w:val="nil"/>
            </w:tcBorders>
            <w:shd w:val="clear" w:color="auto" w:fill="auto"/>
            <w:noWrap/>
            <w:vAlign w:val="center"/>
            <w:hideMark/>
          </w:tcPr>
          <w:p w14:paraId="1E41131A"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14,274 (77.90)</w:t>
            </w:r>
          </w:p>
        </w:tc>
        <w:tc>
          <w:tcPr>
            <w:tcW w:w="2140" w:type="dxa"/>
            <w:tcBorders>
              <w:top w:val="nil"/>
              <w:left w:val="nil"/>
              <w:bottom w:val="nil"/>
              <w:right w:val="nil"/>
            </w:tcBorders>
            <w:shd w:val="clear" w:color="auto" w:fill="auto"/>
            <w:noWrap/>
            <w:vAlign w:val="center"/>
            <w:hideMark/>
          </w:tcPr>
          <w:p w14:paraId="418698A6"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1,806 (79.55)</w:t>
            </w:r>
          </w:p>
        </w:tc>
        <w:tc>
          <w:tcPr>
            <w:tcW w:w="1043" w:type="dxa"/>
            <w:tcBorders>
              <w:top w:val="nil"/>
              <w:left w:val="nil"/>
              <w:bottom w:val="nil"/>
              <w:right w:val="nil"/>
            </w:tcBorders>
            <w:shd w:val="clear" w:color="auto" w:fill="auto"/>
            <w:noWrap/>
            <w:vAlign w:val="center"/>
            <w:hideMark/>
          </w:tcPr>
          <w:p w14:paraId="639AE7BA"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2DEDD248" w14:textId="77777777" w:rsidTr="00A17E89">
        <w:trPr>
          <w:trHeight w:val="315"/>
        </w:trPr>
        <w:tc>
          <w:tcPr>
            <w:tcW w:w="3736" w:type="dxa"/>
            <w:tcBorders>
              <w:top w:val="nil"/>
              <w:left w:val="nil"/>
              <w:bottom w:val="nil"/>
              <w:right w:val="nil"/>
            </w:tcBorders>
            <w:shd w:val="clear" w:color="auto" w:fill="auto"/>
            <w:noWrap/>
            <w:vAlign w:val="center"/>
            <w:hideMark/>
          </w:tcPr>
          <w:p w14:paraId="71A17E1F"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Unmarried</w:t>
            </w:r>
          </w:p>
        </w:tc>
        <w:tc>
          <w:tcPr>
            <w:tcW w:w="1821" w:type="dxa"/>
            <w:tcBorders>
              <w:top w:val="nil"/>
              <w:left w:val="nil"/>
              <w:bottom w:val="nil"/>
              <w:right w:val="nil"/>
            </w:tcBorders>
            <w:shd w:val="clear" w:color="auto" w:fill="auto"/>
            <w:noWrap/>
            <w:vAlign w:val="center"/>
            <w:hideMark/>
          </w:tcPr>
          <w:p w14:paraId="5B70522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2,652 (22.10)</w:t>
            </w:r>
          </w:p>
        </w:tc>
        <w:tc>
          <w:tcPr>
            <w:tcW w:w="2140" w:type="dxa"/>
            <w:tcBorders>
              <w:top w:val="nil"/>
              <w:left w:val="nil"/>
              <w:bottom w:val="nil"/>
              <w:right w:val="nil"/>
            </w:tcBorders>
            <w:shd w:val="clear" w:color="auto" w:fill="auto"/>
            <w:noWrap/>
            <w:vAlign w:val="center"/>
            <w:hideMark/>
          </w:tcPr>
          <w:p w14:paraId="7F0BF1B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314 (20.45)</w:t>
            </w:r>
          </w:p>
        </w:tc>
        <w:tc>
          <w:tcPr>
            <w:tcW w:w="1043" w:type="dxa"/>
            <w:tcBorders>
              <w:top w:val="nil"/>
              <w:left w:val="nil"/>
              <w:bottom w:val="nil"/>
              <w:right w:val="nil"/>
            </w:tcBorders>
            <w:shd w:val="clear" w:color="auto" w:fill="auto"/>
            <w:noWrap/>
            <w:vAlign w:val="center"/>
            <w:hideMark/>
          </w:tcPr>
          <w:p w14:paraId="0843D92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0320786" w14:textId="77777777" w:rsidTr="00A17E89">
        <w:trPr>
          <w:trHeight w:val="315"/>
        </w:trPr>
        <w:tc>
          <w:tcPr>
            <w:tcW w:w="3736" w:type="dxa"/>
            <w:tcBorders>
              <w:top w:val="nil"/>
              <w:left w:val="nil"/>
              <w:bottom w:val="nil"/>
              <w:right w:val="nil"/>
            </w:tcBorders>
            <w:shd w:val="clear" w:color="auto" w:fill="auto"/>
            <w:noWrap/>
            <w:vAlign w:val="center"/>
            <w:hideMark/>
          </w:tcPr>
          <w:p w14:paraId="17A8E156"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Number of cohabitants</w:t>
            </w:r>
          </w:p>
        </w:tc>
        <w:tc>
          <w:tcPr>
            <w:tcW w:w="1821" w:type="dxa"/>
            <w:tcBorders>
              <w:top w:val="nil"/>
              <w:left w:val="nil"/>
              <w:bottom w:val="nil"/>
              <w:right w:val="nil"/>
            </w:tcBorders>
            <w:shd w:val="clear" w:color="auto" w:fill="auto"/>
            <w:noWrap/>
            <w:vAlign w:val="center"/>
            <w:hideMark/>
          </w:tcPr>
          <w:p w14:paraId="44D9572A"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3.08 (0.02)</w:t>
            </w:r>
          </w:p>
        </w:tc>
        <w:tc>
          <w:tcPr>
            <w:tcW w:w="2140" w:type="dxa"/>
            <w:tcBorders>
              <w:top w:val="nil"/>
              <w:left w:val="nil"/>
              <w:bottom w:val="nil"/>
              <w:right w:val="nil"/>
            </w:tcBorders>
            <w:shd w:val="clear" w:color="auto" w:fill="auto"/>
            <w:noWrap/>
            <w:vAlign w:val="center"/>
            <w:hideMark/>
          </w:tcPr>
          <w:p w14:paraId="60F1C59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2.98 (0.04)</w:t>
            </w:r>
          </w:p>
        </w:tc>
        <w:tc>
          <w:tcPr>
            <w:tcW w:w="1043" w:type="dxa"/>
            <w:tcBorders>
              <w:top w:val="nil"/>
              <w:left w:val="nil"/>
              <w:bottom w:val="nil"/>
              <w:right w:val="nil"/>
            </w:tcBorders>
            <w:shd w:val="clear" w:color="auto" w:fill="auto"/>
            <w:noWrap/>
            <w:vAlign w:val="center"/>
            <w:hideMark/>
          </w:tcPr>
          <w:p w14:paraId="3635275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0.008</w:t>
            </w:r>
          </w:p>
        </w:tc>
      </w:tr>
      <w:tr w:rsidR="00A17E89" w:rsidRPr="008404B8" w14:paraId="5D04F5D7" w14:textId="77777777" w:rsidTr="00A17E89">
        <w:trPr>
          <w:trHeight w:val="315"/>
        </w:trPr>
        <w:tc>
          <w:tcPr>
            <w:tcW w:w="3736" w:type="dxa"/>
            <w:tcBorders>
              <w:top w:val="nil"/>
              <w:left w:val="nil"/>
              <w:bottom w:val="nil"/>
              <w:right w:val="nil"/>
            </w:tcBorders>
            <w:shd w:val="clear" w:color="auto" w:fill="auto"/>
            <w:noWrap/>
            <w:vAlign w:val="center"/>
            <w:hideMark/>
          </w:tcPr>
          <w:p w14:paraId="0A5762E5"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Occupation type</w:t>
            </w:r>
          </w:p>
        </w:tc>
        <w:tc>
          <w:tcPr>
            <w:tcW w:w="1821" w:type="dxa"/>
            <w:tcBorders>
              <w:top w:val="nil"/>
              <w:left w:val="nil"/>
              <w:bottom w:val="nil"/>
              <w:right w:val="nil"/>
            </w:tcBorders>
            <w:shd w:val="clear" w:color="auto" w:fill="auto"/>
            <w:noWrap/>
            <w:vAlign w:val="center"/>
            <w:hideMark/>
          </w:tcPr>
          <w:p w14:paraId="55799C0B"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35643C52"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616AE5F6"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&lt;0.001</w:t>
            </w:r>
          </w:p>
        </w:tc>
      </w:tr>
      <w:tr w:rsidR="00A17E89" w:rsidRPr="008404B8" w14:paraId="57276B0B" w14:textId="77777777" w:rsidTr="00A17E89">
        <w:trPr>
          <w:trHeight w:val="315"/>
        </w:trPr>
        <w:tc>
          <w:tcPr>
            <w:tcW w:w="3736" w:type="dxa"/>
            <w:tcBorders>
              <w:top w:val="nil"/>
              <w:left w:val="nil"/>
              <w:bottom w:val="nil"/>
              <w:right w:val="nil"/>
            </w:tcBorders>
            <w:shd w:val="clear" w:color="auto" w:fill="auto"/>
            <w:noWrap/>
            <w:vAlign w:val="center"/>
            <w:hideMark/>
          </w:tcPr>
          <w:p w14:paraId="22583364"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White-collar</w:t>
            </w:r>
          </w:p>
        </w:tc>
        <w:tc>
          <w:tcPr>
            <w:tcW w:w="1821" w:type="dxa"/>
            <w:tcBorders>
              <w:top w:val="nil"/>
              <w:left w:val="nil"/>
              <w:bottom w:val="nil"/>
              <w:right w:val="nil"/>
            </w:tcBorders>
            <w:shd w:val="clear" w:color="auto" w:fill="auto"/>
            <w:noWrap/>
            <w:vAlign w:val="center"/>
            <w:hideMark/>
          </w:tcPr>
          <w:p w14:paraId="2CB8479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6,220 (41.04)</w:t>
            </w:r>
          </w:p>
        </w:tc>
        <w:tc>
          <w:tcPr>
            <w:tcW w:w="2140" w:type="dxa"/>
            <w:tcBorders>
              <w:top w:val="nil"/>
              <w:left w:val="nil"/>
              <w:bottom w:val="nil"/>
              <w:right w:val="nil"/>
            </w:tcBorders>
            <w:shd w:val="clear" w:color="auto" w:fill="auto"/>
            <w:noWrap/>
            <w:vAlign w:val="center"/>
            <w:hideMark/>
          </w:tcPr>
          <w:p w14:paraId="349F318A"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346 (34.19)</w:t>
            </w:r>
          </w:p>
        </w:tc>
        <w:tc>
          <w:tcPr>
            <w:tcW w:w="1043" w:type="dxa"/>
            <w:tcBorders>
              <w:top w:val="nil"/>
              <w:left w:val="nil"/>
              <w:bottom w:val="nil"/>
              <w:right w:val="nil"/>
            </w:tcBorders>
            <w:shd w:val="clear" w:color="auto" w:fill="auto"/>
            <w:noWrap/>
            <w:vAlign w:val="center"/>
            <w:hideMark/>
          </w:tcPr>
          <w:p w14:paraId="5A3C522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4D0CFE90" w14:textId="77777777" w:rsidTr="00A17E89">
        <w:trPr>
          <w:trHeight w:val="315"/>
        </w:trPr>
        <w:tc>
          <w:tcPr>
            <w:tcW w:w="3736" w:type="dxa"/>
            <w:tcBorders>
              <w:top w:val="nil"/>
              <w:left w:val="nil"/>
              <w:bottom w:val="nil"/>
              <w:right w:val="nil"/>
            </w:tcBorders>
            <w:shd w:val="clear" w:color="auto" w:fill="auto"/>
            <w:noWrap/>
            <w:vAlign w:val="center"/>
            <w:hideMark/>
          </w:tcPr>
          <w:p w14:paraId="1E426189"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Blue-collar</w:t>
            </w:r>
          </w:p>
        </w:tc>
        <w:tc>
          <w:tcPr>
            <w:tcW w:w="1821" w:type="dxa"/>
            <w:tcBorders>
              <w:top w:val="nil"/>
              <w:left w:val="nil"/>
              <w:bottom w:val="nil"/>
              <w:right w:val="nil"/>
            </w:tcBorders>
            <w:shd w:val="clear" w:color="auto" w:fill="auto"/>
            <w:noWrap/>
            <w:vAlign w:val="center"/>
            <w:hideMark/>
          </w:tcPr>
          <w:p w14:paraId="73A484C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3,508 (19.92)</w:t>
            </w:r>
          </w:p>
        </w:tc>
        <w:tc>
          <w:tcPr>
            <w:tcW w:w="2140" w:type="dxa"/>
            <w:tcBorders>
              <w:top w:val="nil"/>
              <w:left w:val="nil"/>
              <w:bottom w:val="nil"/>
              <w:right w:val="nil"/>
            </w:tcBorders>
            <w:shd w:val="clear" w:color="auto" w:fill="auto"/>
            <w:noWrap/>
            <w:vAlign w:val="center"/>
            <w:hideMark/>
          </w:tcPr>
          <w:p w14:paraId="0985E4F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168 (13.53)</w:t>
            </w:r>
          </w:p>
        </w:tc>
        <w:tc>
          <w:tcPr>
            <w:tcW w:w="1043" w:type="dxa"/>
            <w:tcBorders>
              <w:top w:val="nil"/>
              <w:left w:val="nil"/>
              <w:bottom w:val="nil"/>
              <w:right w:val="nil"/>
            </w:tcBorders>
            <w:shd w:val="clear" w:color="auto" w:fill="auto"/>
            <w:noWrap/>
            <w:vAlign w:val="center"/>
            <w:hideMark/>
          </w:tcPr>
          <w:p w14:paraId="70AD8D2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C853470" w14:textId="77777777" w:rsidTr="00A17E89">
        <w:trPr>
          <w:trHeight w:val="315"/>
        </w:trPr>
        <w:tc>
          <w:tcPr>
            <w:tcW w:w="3736" w:type="dxa"/>
            <w:tcBorders>
              <w:top w:val="nil"/>
              <w:left w:val="nil"/>
              <w:bottom w:val="nil"/>
              <w:right w:val="nil"/>
            </w:tcBorders>
            <w:shd w:val="clear" w:color="auto" w:fill="auto"/>
            <w:noWrap/>
            <w:vAlign w:val="center"/>
            <w:hideMark/>
          </w:tcPr>
          <w:p w14:paraId="068EBBA6"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Unoccupied</w:t>
            </w:r>
          </w:p>
        </w:tc>
        <w:tc>
          <w:tcPr>
            <w:tcW w:w="1821" w:type="dxa"/>
            <w:tcBorders>
              <w:top w:val="nil"/>
              <w:left w:val="nil"/>
              <w:bottom w:val="nil"/>
              <w:right w:val="nil"/>
            </w:tcBorders>
            <w:shd w:val="clear" w:color="auto" w:fill="auto"/>
            <w:noWrap/>
            <w:vAlign w:val="center"/>
            <w:hideMark/>
          </w:tcPr>
          <w:p w14:paraId="2CC180E9"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7,198 (39.04)</w:t>
            </w:r>
          </w:p>
        </w:tc>
        <w:tc>
          <w:tcPr>
            <w:tcW w:w="2140" w:type="dxa"/>
            <w:tcBorders>
              <w:top w:val="nil"/>
              <w:left w:val="nil"/>
              <w:bottom w:val="nil"/>
              <w:right w:val="nil"/>
            </w:tcBorders>
            <w:shd w:val="clear" w:color="auto" w:fill="auto"/>
            <w:noWrap/>
            <w:vAlign w:val="center"/>
            <w:hideMark/>
          </w:tcPr>
          <w:p w14:paraId="167B279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644 (52.28)</w:t>
            </w:r>
          </w:p>
        </w:tc>
        <w:tc>
          <w:tcPr>
            <w:tcW w:w="1043" w:type="dxa"/>
            <w:tcBorders>
              <w:top w:val="nil"/>
              <w:left w:val="nil"/>
              <w:bottom w:val="nil"/>
              <w:right w:val="nil"/>
            </w:tcBorders>
            <w:shd w:val="clear" w:color="auto" w:fill="auto"/>
            <w:noWrap/>
            <w:vAlign w:val="center"/>
            <w:hideMark/>
          </w:tcPr>
          <w:p w14:paraId="0DA98CA4"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288C6A44" w14:textId="77777777" w:rsidTr="00A17E89">
        <w:trPr>
          <w:trHeight w:val="315"/>
        </w:trPr>
        <w:tc>
          <w:tcPr>
            <w:tcW w:w="3736" w:type="dxa"/>
            <w:tcBorders>
              <w:top w:val="nil"/>
              <w:left w:val="nil"/>
              <w:bottom w:val="nil"/>
              <w:right w:val="nil"/>
            </w:tcBorders>
            <w:shd w:val="clear" w:color="auto" w:fill="auto"/>
            <w:noWrap/>
            <w:vAlign w:val="center"/>
            <w:hideMark/>
          </w:tcPr>
          <w:p w14:paraId="5D3983C1"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r w:rsidRPr="008404B8">
              <w:rPr>
                <w:rFonts w:ascii="Times New Roman" w:eastAsia="맑은 고딕" w:hAnsi="Times New Roman" w:cs="Times New Roman"/>
                <w:i/>
                <w:iCs/>
                <w:color w:val="000000"/>
                <w:kern w:val="0"/>
                <w:sz w:val="24"/>
                <w:szCs w:val="24"/>
              </w:rPr>
              <w:t>Comorbidities</w:t>
            </w:r>
          </w:p>
        </w:tc>
        <w:tc>
          <w:tcPr>
            <w:tcW w:w="1821" w:type="dxa"/>
            <w:tcBorders>
              <w:top w:val="nil"/>
              <w:left w:val="nil"/>
              <w:bottom w:val="nil"/>
              <w:right w:val="nil"/>
            </w:tcBorders>
            <w:shd w:val="clear" w:color="auto" w:fill="auto"/>
            <w:noWrap/>
            <w:vAlign w:val="center"/>
            <w:hideMark/>
          </w:tcPr>
          <w:p w14:paraId="02805F81"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i/>
                <w:iCs/>
                <w:color w:val="000000"/>
                <w:kern w:val="0"/>
                <w:sz w:val="24"/>
                <w:szCs w:val="24"/>
              </w:rPr>
            </w:pPr>
          </w:p>
        </w:tc>
        <w:tc>
          <w:tcPr>
            <w:tcW w:w="2140" w:type="dxa"/>
            <w:tcBorders>
              <w:top w:val="nil"/>
              <w:left w:val="nil"/>
              <w:bottom w:val="nil"/>
              <w:right w:val="nil"/>
            </w:tcBorders>
            <w:shd w:val="clear" w:color="auto" w:fill="auto"/>
            <w:noWrap/>
            <w:vAlign w:val="center"/>
            <w:hideMark/>
          </w:tcPr>
          <w:p w14:paraId="11DC89EB"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54A3BCBC"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r>
      <w:tr w:rsidR="00A17E89" w:rsidRPr="008404B8" w14:paraId="3B059B06" w14:textId="77777777" w:rsidTr="00A17E89">
        <w:trPr>
          <w:trHeight w:val="315"/>
        </w:trPr>
        <w:tc>
          <w:tcPr>
            <w:tcW w:w="3736" w:type="dxa"/>
            <w:tcBorders>
              <w:top w:val="nil"/>
              <w:left w:val="nil"/>
              <w:bottom w:val="nil"/>
              <w:right w:val="nil"/>
            </w:tcBorders>
            <w:shd w:val="clear" w:color="auto" w:fill="auto"/>
            <w:noWrap/>
            <w:vAlign w:val="center"/>
            <w:hideMark/>
          </w:tcPr>
          <w:p w14:paraId="2DD570BF"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Hypertension</w:t>
            </w:r>
          </w:p>
        </w:tc>
        <w:tc>
          <w:tcPr>
            <w:tcW w:w="1821" w:type="dxa"/>
            <w:tcBorders>
              <w:top w:val="nil"/>
              <w:left w:val="nil"/>
              <w:bottom w:val="nil"/>
              <w:right w:val="nil"/>
            </w:tcBorders>
            <w:shd w:val="clear" w:color="auto" w:fill="auto"/>
            <w:noWrap/>
            <w:vAlign w:val="center"/>
            <w:hideMark/>
          </w:tcPr>
          <w:p w14:paraId="70531225"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3DEC0F93"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241E573E"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0.004</w:t>
            </w:r>
          </w:p>
        </w:tc>
      </w:tr>
      <w:tr w:rsidR="00A17E89" w:rsidRPr="008404B8" w14:paraId="3EAFA87B" w14:textId="77777777" w:rsidTr="00A17E89">
        <w:trPr>
          <w:trHeight w:val="315"/>
        </w:trPr>
        <w:tc>
          <w:tcPr>
            <w:tcW w:w="3736" w:type="dxa"/>
            <w:tcBorders>
              <w:top w:val="nil"/>
              <w:left w:val="nil"/>
              <w:bottom w:val="nil"/>
              <w:right w:val="nil"/>
            </w:tcBorders>
            <w:shd w:val="clear" w:color="auto" w:fill="auto"/>
            <w:noWrap/>
            <w:vAlign w:val="center"/>
            <w:hideMark/>
          </w:tcPr>
          <w:p w14:paraId="6119032E"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w:t>
            </w:r>
          </w:p>
        </w:tc>
        <w:tc>
          <w:tcPr>
            <w:tcW w:w="1821" w:type="dxa"/>
            <w:tcBorders>
              <w:top w:val="nil"/>
              <w:left w:val="nil"/>
              <w:bottom w:val="nil"/>
              <w:right w:val="nil"/>
            </w:tcBorders>
            <w:shd w:val="clear" w:color="auto" w:fill="auto"/>
            <w:noWrap/>
            <w:vAlign w:val="center"/>
            <w:hideMark/>
          </w:tcPr>
          <w:p w14:paraId="179BD8E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12,725 (80.27)</w:t>
            </w:r>
          </w:p>
        </w:tc>
        <w:tc>
          <w:tcPr>
            <w:tcW w:w="2140" w:type="dxa"/>
            <w:tcBorders>
              <w:top w:val="nil"/>
              <w:left w:val="nil"/>
              <w:bottom w:val="nil"/>
              <w:right w:val="nil"/>
            </w:tcBorders>
            <w:shd w:val="clear" w:color="auto" w:fill="auto"/>
            <w:noWrap/>
            <w:vAlign w:val="center"/>
            <w:hideMark/>
          </w:tcPr>
          <w:p w14:paraId="50DDAE1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1,502 (77.08)</w:t>
            </w:r>
          </w:p>
        </w:tc>
        <w:tc>
          <w:tcPr>
            <w:tcW w:w="1043" w:type="dxa"/>
            <w:tcBorders>
              <w:top w:val="nil"/>
              <w:left w:val="nil"/>
              <w:bottom w:val="nil"/>
              <w:right w:val="nil"/>
            </w:tcBorders>
            <w:shd w:val="clear" w:color="auto" w:fill="auto"/>
            <w:noWrap/>
            <w:vAlign w:val="center"/>
            <w:hideMark/>
          </w:tcPr>
          <w:p w14:paraId="636BEEA9"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4ADAD8E5" w14:textId="77777777" w:rsidTr="00A17E89">
        <w:trPr>
          <w:trHeight w:val="315"/>
        </w:trPr>
        <w:tc>
          <w:tcPr>
            <w:tcW w:w="3736" w:type="dxa"/>
            <w:tcBorders>
              <w:top w:val="nil"/>
              <w:left w:val="nil"/>
              <w:bottom w:val="nil"/>
              <w:right w:val="nil"/>
            </w:tcBorders>
            <w:shd w:val="clear" w:color="auto" w:fill="auto"/>
            <w:noWrap/>
            <w:vAlign w:val="center"/>
            <w:hideMark/>
          </w:tcPr>
          <w:p w14:paraId="73DF3D6A"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Yes</w:t>
            </w:r>
          </w:p>
        </w:tc>
        <w:tc>
          <w:tcPr>
            <w:tcW w:w="1821" w:type="dxa"/>
            <w:tcBorders>
              <w:top w:val="nil"/>
              <w:left w:val="nil"/>
              <w:bottom w:val="nil"/>
              <w:right w:val="nil"/>
            </w:tcBorders>
            <w:shd w:val="clear" w:color="auto" w:fill="auto"/>
            <w:noWrap/>
            <w:vAlign w:val="center"/>
            <w:hideMark/>
          </w:tcPr>
          <w:p w14:paraId="5643F754"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4,201 (19.73)</w:t>
            </w:r>
          </w:p>
        </w:tc>
        <w:tc>
          <w:tcPr>
            <w:tcW w:w="2140" w:type="dxa"/>
            <w:tcBorders>
              <w:top w:val="nil"/>
              <w:left w:val="nil"/>
              <w:bottom w:val="nil"/>
              <w:right w:val="nil"/>
            </w:tcBorders>
            <w:shd w:val="clear" w:color="auto" w:fill="auto"/>
            <w:noWrap/>
            <w:vAlign w:val="center"/>
            <w:hideMark/>
          </w:tcPr>
          <w:p w14:paraId="08743A0B"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618 (22.92)</w:t>
            </w:r>
          </w:p>
        </w:tc>
        <w:tc>
          <w:tcPr>
            <w:tcW w:w="1043" w:type="dxa"/>
            <w:tcBorders>
              <w:top w:val="nil"/>
              <w:left w:val="nil"/>
              <w:bottom w:val="nil"/>
              <w:right w:val="nil"/>
            </w:tcBorders>
            <w:shd w:val="clear" w:color="auto" w:fill="auto"/>
            <w:noWrap/>
            <w:vAlign w:val="center"/>
            <w:hideMark/>
          </w:tcPr>
          <w:p w14:paraId="6DE37A6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23FCED1E" w14:textId="77777777" w:rsidTr="00A17E89">
        <w:trPr>
          <w:trHeight w:val="315"/>
        </w:trPr>
        <w:tc>
          <w:tcPr>
            <w:tcW w:w="3736" w:type="dxa"/>
            <w:tcBorders>
              <w:top w:val="nil"/>
              <w:left w:val="nil"/>
              <w:bottom w:val="nil"/>
              <w:right w:val="nil"/>
            </w:tcBorders>
            <w:shd w:val="clear" w:color="auto" w:fill="auto"/>
            <w:noWrap/>
            <w:vAlign w:val="center"/>
            <w:hideMark/>
          </w:tcPr>
          <w:p w14:paraId="48BF9432"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Diabetes</w:t>
            </w:r>
          </w:p>
        </w:tc>
        <w:tc>
          <w:tcPr>
            <w:tcW w:w="1821" w:type="dxa"/>
            <w:tcBorders>
              <w:top w:val="nil"/>
              <w:left w:val="nil"/>
              <w:bottom w:val="nil"/>
              <w:right w:val="nil"/>
            </w:tcBorders>
            <w:shd w:val="clear" w:color="auto" w:fill="auto"/>
            <w:noWrap/>
            <w:vAlign w:val="center"/>
            <w:hideMark/>
          </w:tcPr>
          <w:p w14:paraId="78A5152E"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702A8FCD"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2BDBA2A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0.044</w:t>
            </w:r>
          </w:p>
        </w:tc>
      </w:tr>
      <w:tr w:rsidR="00A17E89" w:rsidRPr="008404B8" w14:paraId="13508C84" w14:textId="77777777" w:rsidTr="00A17E89">
        <w:trPr>
          <w:trHeight w:val="315"/>
        </w:trPr>
        <w:tc>
          <w:tcPr>
            <w:tcW w:w="3736" w:type="dxa"/>
            <w:tcBorders>
              <w:top w:val="nil"/>
              <w:left w:val="nil"/>
              <w:bottom w:val="nil"/>
              <w:right w:val="nil"/>
            </w:tcBorders>
            <w:shd w:val="clear" w:color="auto" w:fill="auto"/>
            <w:noWrap/>
            <w:vAlign w:val="center"/>
            <w:hideMark/>
          </w:tcPr>
          <w:p w14:paraId="39214DB3"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w:t>
            </w:r>
          </w:p>
        </w:tc>
        <w:tc>
          <w:tcPr>
            <w:tcW w:w="1821" w:type="dxa"/>
            <w:tcBorders>
              <w:top w:val="nil"/>
              <w:left w:val="nil"/>
              <w:bottom w:val="nil"/>
              <w:right w:val="nil"/>
            </w:tcBorders>
            <w:shd w:val="clear" w:color="auto" w:fill="auto"/>
            <w:noWrap/>
            <w:vAlign w:val="center"/>
            <w:hideMark/>
          </w:tcPr>
          <w:p w14:paraId="4DAE8F8A"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15,285 (92.36)</w:t>
            </w:r>
          </w:p>
        </w:tc>
        <w:tc>
          <w:tcPr>
            <w:tcW w:w="2140" w:type="dxa"/>
            <w:tcBorders>
              <w:top w:val="nil"/>
              <w:left w:val="nil"/>
              <w:bottom w:val="nil"/>
              <w:right w:val="nil"/>
            </w:tcBorders>
            <w:shd w:val="clear" w:color="auto" w:fill="auto"/>
            <w:noWrap/>
            <w:vAlign w:val="center"/>
            <w:hideMark/>
          </w:tcPr>
          <w:p w14:paraId="3CC56DDC"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1,873 (91.00)</w:t>
            </w:r>
          </w:p>
        </w:tc>
        <w:tc>
          <w:tcPr>
            <w:tcW w:w="1043" w:type="dxa"/>
            <w:tcBorders>
              <w:top w:val="nil"/>
              <w:left w:val="nil"/>
              <w:bottom w:val="nil"/>
              <w:right w:val="nil"/>
            </w:tcBorders>
            <w:shd w:val="clear" w:color="auto" w:fill="auto"/>
            <w:noWrap/>
            <w:vAlign w:val="center"/>
            <w:hideMark/>
          </w:tcPr>
          <w:p w14:paraId="7D146AC2"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62209406" w14:textId="77777777" w:rsidTr="00A17E89">
        <w:trPr>
          <w:trHeight w:val="315"/>
        </w:trPr>
        <w:tc>
          <w:tcPr>
            <w:tcW w:w="3736" w:type="dxa"/>
            <w:tcBorders>
              <w:top w:val="nil"/>
              <w:left w:val="nil"/>
              <w:bottom w:val="nil"/>
              <w:right w:val="nil"/>
            </w:tcBorders>
            <w:shd w:val="clear" w:color="auto" w:fill="auto"/>
            <w:noWrap/>
            <w:vAlign w:val="center"/>
            <w:hideMark/>
          </w:tcPr>
          <w:p w14:paraId="142B5722"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lastRenderedPageBreak/>
              <w:t>Yes</w:t>
            </w:r>
          </w:p>
        </w:tc>
        <w:tc>
          <w:tcPr>
            <w:tcW w:w="1821" w:type="dxa"/>
            <w:tcBorders>
              <w:top w:val="nil"/>
              <w:left w:val="nil"/>
              <w:bottom w:val="nil"/>
              <w:right w:val="nil"/>
            </w:tcBorders>
            <w:shd w:val="clear" w:color="auto" w:fill="auto"/>
            <w:noWrap/>
            <w:vAlign w:val="center"/>
            <w:hideMark/>
          </w:tcPr>
          <w:p w14:paraId="5DBA6926"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1,641 (7.64)</w:t>
            </w:r>
          </w:p>
        </w:tc>
        <w:tc>
          <w:tcPr>
            <w:tcW w:w="2140" w:type="dxa"/>
            <w:tcBorders>
              <w:top w:val="nil"/>
              <w:left w:val="nil"/>
              <w:bottom w:val="nil"/>
              <w:right w:val="nil"/>
            </w:tcBorders>
            <w:shd w:val="clear" w:color="auto" w:fill="auto"/>
            <w:noWrap/>
            <w:vAlign w:val="center"/>
            <w:hideMark/>
          </w:tcPr>
          <w:p w14:paraId="5360C0A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247 (9.00)</w:t>
            </w:r>
          </w:p>
        </w:tc>
        <w:tc>
          <w:tcPr>
            <w:tcW w:w="1043" w:type="dxa"/>
            <w:tcBorders>
              <w:top w:val="nil"/>
              <w:left w:val="nil"/>
              <w:bottom w:val="nil"/>
              <w:right w:val="nil"/>
            </w:tcBorders>
            <w:shd w:val="clear" w:color="auto" w:fill="auto"/>
            <w:noWrap/>
            <w:vAlign w:val="center"/>
            <w:hideMark/>
          </w:tcPr>
          <w:p w14:paraId="41CC9FF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05FC3A7C" w14:textId="77777777" w:rsidTr="00A17E89">
        <w:trPr>
          <w:trHeight w:val="315"/>
        </w:trPr>
        <w:tc>
          <w:tcPr>
            <w:tcW w:w="3736" w:type="dxa"/>
            <w:tcBorders>
              <w:top w:val="nil"/>
              <w:left w:val="nil"/>
              <w:bottom w:val="nil"/>
              <w:right w:val="nil"/>
            </w:tcBorders>
            <w:shd w:val="clear" w:color="auto" w:fill="auto"/>
            <w:noWrap/>
            <w:vAlign w:val="center"/>
            <w:hideMark/>
          </w:tcPr>
          <w:p w14:paraId="16DBA238"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Dyslipidemia</w:t>
            </w:r>
          </w:p>
        </w:tc>
        <w:tc>
          <w:tcPr>
            <w:tcW w:w="1821" w:type="dxa"/>
            <w:tcBorders>
              <w:top w:val="nil"/>
              <w:left w:val="nil"/>
              <w:bottom w:val="nil"/>
              <w:right w:val="nil"/>
            </w:tcBorders>
            <w:shd w:val="clear" w:color="auto" w:fill="auto"/>
            <w:noWrap/>
            <w:vAlign w:val="center"/>
            <w:hideMark/>
          </w:tcPr>
          <w:p w14:paraId="02EAF160"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0A3A97BE"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04DBF96B"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0.090</w:t>
            </w:r>
          </w:p>
        </w:tc>
      </w:tr>
      <w:tr w:rsidR="00A17E89" w:rsidRPr="008404B8" w14:paraId="6DE5B2E9" w14:textId="77777777" w:rsidTr="00A17E89">
        <w:trPr>
          <w:trHeight w:val="315"/>
        </w:trPr>
        <w:tc>
          <w:tcPr>
            <w:tcW w:w="3736" w:type="dxa"/>
            <w:tcBorders>
              <w:top w:val="nil"/>
              <w:left w:val="nil"/>
              <w:bottom w:val="nil"/>
              <w:right w:val="nil"/>
            </w:tcBorders>
            <w:shd w:val="clear" w:color="auto" w:fill="auto"/>
            <w:noWrap/>
            <w:vAlign w:val="center"/>
            <w:hideMark/>
          </w:tcPr>
          <w:p w14:paraId="385C493E"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w:t>
            </w:r>
          </w:p>
        </w:tc>
        <w:tc>
          <w:tcPr>
            <w:tcW w:w="1821" w:type="dxa"/>
            <w:tcBorders>
              <w:top w:val="nil"/>
              <w:left w:val="nil"/>
              <w:bottom w:val="nil"/>
              <w:right w:val="nil"/>
            </w:tcBorders>
            <w:shd w:val="clear" w:color="auto" w:fill="auto"/>
            <w:noWrap/>
            <w:vAlign w:val="center"/>
            <w:hideMark/>
          </w:tcPr>
          <w:p w14:paraId="4772AA2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13,659 (84.18)</w:t>
            </w:r>
          </w:p>
        </w:tc>
        <w:tc>
          <w:tcPr>
            <w:tcW w:w="2140" w:type="dxa"/>
            <w:tcBorders>
              <w:top w:val="nil"/>
              <w:left w:val="nil"/>
              <w:bottom w:val="nil"/>
              <w:right w:val="nil"/>
            </w:tcBorders>
            <w:shd w:val="clear" w:color="auto" w:fill="auto"/>
            <w:noWrap/>
            <w:vAlign w:val="center"/>
            <w:hideMark/>
          </w:tcPr>
          <w:p w14:paraId="14F7690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1,776 (85.90)</w:t>
            </w:r>
          </w:p>
        </w:tc>
        <w:tc>
          <w:tcPr>
            <w:tcW w:w="1043" w:type="dxa"/>
            <w:tcBorders>
              <w:top w:val="nil"/>
              <w:left w:val="nil"/>
              <w:bottom w:val="nil"/>
              <w:right w:val="nil"/>
            </w:tcBorders>
            <w:shd w:val="clear" w:color="auto" w:fill="auto"/>
            <w:noWrap/>
            <w:vAlign w:val="center"/>
            <w:hideMark/>
          </w:tcPr>
          <w:p w14:paraId="7284DB8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471C49B0" w14:textId="77777777" w:rsidTr="00A17E89">
        <w:trPr>
          <w:trHeight w:val="315"/>
        </w:trPr>
        <w:tc>
          <w:tcPr>
            <w:tcW w:w="3736" w:type="dxa"/>
            <w:tcBorders>
              <w:top w:val="nil"/>
              <w:left w:val="nil"/>
              <w:bottom w:val="nil"/>
              <w:right w:val="nil"/>
            </w:tcBorders>
            <w:shd w:val="clear" w:color="auto" w:fill="auto"/>
            <w:noWrap/>
            <w:vAlign w:val="center"/>
            <w:hideMark/>
          </w:tcPr>
          <w:p w14:paraId="200D86C3"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Yes</w:t>
            </w:r>
          </w:p>
        </w:tc>
        <w:tc>
          <w:tcPr>
            <w:tcW w:w="1821" w:type="dxa"/>
            <w:tcBorders>
              <w:top w:val="nil"/>
              <w:left w:val="nil"/>
              <w:bottom w:val="nil"/>
              <w:right w:val="nil"/>
            </w:tcBorders>
            <w:shd w:val="clear" w:color="auto" w:fill="auto"/>
            <w:noWrap/>
            <w:vAlign w:val="center"/>
            <w:hideMark/>
          </w:tcPr>
          <w:p w14:paraId="41F7B2E4"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3,267 (15.82)</w:t>
            </w:r>
          </w:p>
        </w:tc>
        <w:tc>
          <w:tcPr>
            <w:tcW w:w="2140" w:type="dxa"/>
            <w:tcBorders>
              <w:top w:val="nil"/>
              <w:left w:val="nil"/>
              <w:bottom w:val="nil"/>
              <w:right w:val="nil"/>
            </w:tcBorders>
            <w:shd w:val="clear" w:color="auto" w:fill="auto"/>
            <w:noWrap/>
            <w:vAlign w:val="center"/>
            <w:hideMark/>
          </w:tcPr>
          <w:p w14:paraId="5696BCA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344 (14.10)</w:t>
            </w:r>
          </w:p>
        </w:tc>
        <w:tc>
          <w:tcPr>
            <w:tcW w:w="1043" w:type="dxa"/>
            <w:tcBorders>
              <w:top w:val="nil"/>
              <w:left w:val="nil"/>
              <w:bottom w:val="nil"/>
              <w:right w:val="nil"/>
            </w:tcBorders>
            <w:shd w:val="clear" w:color="auto" w:fill="auto"/>
            <w:noWrap/>
            <w:vAlign w:val="center"/>
            <w:hideMark/>
          </w:tcPr>
          <w:p w14:paraId="6FD12F9B"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012976EE" w14:textId="77777777" w:rsidTr="00A17E89">
        <w:trPr>
          <w:trHeight w:val="375"/>
        </w:trPr>
        <w:tc>
          <w:tcPr>
            <w:tcW w:w="3736" w:type="dxa"/>
            <w:tcBorders>
              <w:top w:val="nil"/>
              <w:left w:val="nil"/>
              <w:bottom w:val="nil"/>
              <w:right w:val="nil"/>
            </w:tcBorders>
            <w:shd w:val="clear" w:color="auto" w:fill="auto"/>
            <w:noWrap/>
            <w:vAlign w:val="center"/>
            <w:hideMark/>
          </w:tcPr>
          <w:p w14:paraId="2343D2DC"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Body mass index (kg/m</w:t>
            </w:r>
            <w:r w:rsidRPr="008404B8">
              <w:rPr>
                <w:rFonts w:ascii="Times New Roman" w:eastAsia="맑은 고딕" w:hAnsi="Times New Roman" w:cs="Times New Roman"/>
                <w:color w:val="000000"/>
                <w:kern w:val="0"/>
                <w:sz w:val="24"/>
                <w:szCs w:val="24"/>
                <w:vertAlign w:val="superscript"/>
              </w:rPr>
              <w:t>2</w:t>
            </w:r>
            <w:r w:rsidRPr="008404B8">
              <w:rPr>
                <w:rFonts w:ascii="Times New Roman" w:eastAsia="맑은 고딕" w:hAnsi="Times New Roman" w:cs="Times New Roman"/>
                <w:color w:val="000000"/>
                <w:kern w:val="0"/>
                <w:sz w:val="24"/>
                <w:szCs w:val="24"/>
              </w:rPr>
              <w:t>)</w:t>
            </w:r>
          </w:p>
        </w:tc>
        <w:tc>
          <w:tcPr>
            <w:tcW w:w="1821" w:type="dxa"/>
            <w:tcBorders>
              <w:top w:val="nil"/>
              <w:left w:val="nil"/>
              <w:bottom w:val="nil"/>
              <w:right w:val="nil"/>
            </w:tcBorders>
            <w:shd w:val="clear" w:color="auto" w:fill="auto"/>
            <w:noWrap/>
            <w:vAlign w:val="center"/>
            <w:hideMark/>
          </w:tcPr>
          <w:p w14:paraId="7BFD074D"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350E1CD2"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797463E6"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0.549</w:t>
            </w:r>
          </w:p>
        </w:tc>
      </w:tr>
      <w:tr w:rsidR="00A17E89" w:rsidRPr="008404B8" w14:paraId="5AAE618F" w14:textId="77777777" w:rsidTr="00A17E89">
        <w:trPr>
          <w:trHeight w:val="315"/>
        </w:trPr>
        <w:tc>
          <w:tcPr>
            <w:tcW w:w="3736" w:type="dxa"/>
            <w:tcBorders>
              <w:top w:val="nil"/>
              <w:left w:val="nil"/>
              <w:bottom w:val="nil"/>
              <w:right w:val="nil"/>
            </w:tcBorders>
            <w:shd w:val="clear" w:color="auto" w:fill="auto"/>
            <w:noWrap/>
            <w:vAlign w:val="center"/>
            <w:hideMark/>
          </w:tcPr>
          <w:p w14:paraId="2EC42C0E"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Underweight (&lt;18.5)</w:t>
            </w:r>
          </w:p>
        </w:tc>
        <w:tc>
          <w:tcPr>
            <w:tcW w:w="1821" w:type="dxa"/>
            <w:tcBorders>
              <w:top w:val="nil"/>
              <w:left w:val="nil"/>
              <w:bottom w:val="nil"/>
              <w:right w:val="nil"/>
            </w:tcBorders>
            <w:shd w:val="clear" w:color="auto" w:fill="auto"/>
            <w:noWrap/>
            <w:vAlign w:val="center"/>
            <w:hideMark/>
          </w:tcPr>
          <w:p w14:paraId="36DAD34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668 (4.30)</w:t>
            </w:r>
          </w:p>
        </w:tc>
        <w:tc>
          <w:tcPr>
            <w:tcW w:w="2140" w:type="dxa"/>
            <w:tcBorders>
              <w:top w:val="nil"/>
              <w:left w:val="nil"/>
              <w:bottom w:val="nil"/>
              <w:right w:val="nil"/>
            </w:tcBorders>
            <w:shd w:val="clear" w:color="auto" w:fill="auto"/>
            <w:noWrap/>
            <w:vAlign w:val="center"/>
            <w:hideMark/>
          </w:tcPr>
          <w:p w14:paraId="03E826F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87 (4.42)</w:t>
            </w:r>
          </w:p>
        </w:tc>
        <w:tc>
          <w:tcPr>
            <w:tcW w:w="1043" w:type="dxa"/>
            <w:tcBorders>
              <w:top w:val="nil"/>
              <w:left w:val="nil"/>
              <w:bottom w:val="nil"/>
              <w:right w:val="nil"/>
            </w:tcBorders>
            <w:shd w:val="clear" w:color="auto" w:fill="auto"/>
            <w:noWrap/>
            <w:vAlign w:val="center"/>
            <w:hideMark/>
          </w:tcPr>
          <w:p w14:paraId="7C2CB87C"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2F6EFF00" w14:textId="77777777" w:rsidTr="00A17E89">
        <w:trPr>
          <w:trHeight w:val="315"/>
        </w:trPr>
        <w:tc>
          <w:tcPr>
            <w:tcW w:w="3736" w:type="dxa"/>
            <w:tcBorders>
              <w:top w:val="nil"/>
              <w:left w:val="nil"/>
              <w:bottom w:val="nil"/>
              <w:right w:val="nil"/>
            </w:tcBorders>
            <w:shd w:val="clear" w:color="auto" w:fill="auto"/>
            <w:noWrap/>
            <w:vAlign w:val="center"/>
            <w:hideMark/>
          </w:tcPr>
          <w:p w14:paraId="6EE1962B"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Normal (18.5-23)</w:t>
            </w:r>
          </w:p>
        </w:tc>
        <w:tc>
          <w:tcPr>
            <w:tcW w:w="1821" w:type="dxa"/>
            <w:tcBorders>
              <w:top w:val="nil"/>
              <w:left w:val="nil"/>
              <w:bottom w:val="nil"/>
              <w:right w:val="nil"/>
            </w:tcBorders>
            <w:shd w:val="clear" w:color="auto" w:fill="auto"/>
            <w:noWrap/>
            <w:vAlign w:val="center"/>
            <w:hideMark/>
          </w:tcPr>
          <w:p w14:paraId="5F4AED0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6,562 (38.99)</w:t>
            </w:r>
          </w:p>
        </w:tc>
        <w:tc>
          <w:tcPr>
            <w:tcW w:w="2140" w:type="dxa"/>
            <w:tcBorders>
              <w:top w:val="nil"/>
              <w:left w:val="nil"/>
              <w:bottom w:val="nil"/>
              <w:right w:val="nil"/>
            </w:tcBorders>
            <w:shd w:val="clear" w:color="auto" w:fill="auto"/>
            <w:noWrap/>
            <w:vAlign w:val="center"/>
            <w:hideMark/>
          </w:tcPr>
          <w:p w14:paraId="5874E842"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819 (40.77)</w:t>
            </w:r>
          </w:p>
        </w:tc>
        <w:tc>
          <w:tcPr>
            <w:tcW w:w="1043" w:type="dxa"/>
            <w:tcBorders>
              <w:top w:val="nil"/>
              <w:left w:val="nil"/>
              <w:bottom w:val="nil"/>
              <w:right w:val="nil"/>
            </w:tcBorders>
            <w:shd w:val="clear" w:color="auto" w:fill="auto"/>
            <w:noWrap/>
            <w:vAlign w:val="center"/>
            <w:hideMark/>
          </w:tcPr>
          <w:p w14:paraId="17FF1255"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1492C374" w14:textId="77777777" w:rsidTr="00A17E89">
        <w:trPr>
          <w:trHeight w:val="315"/>
        </w:trPr>
        <w:tc>
          <w:tcPr>
            <w:tcW w:w="3736" w:type="dxa"/>
            <w:tcBorders>
              <w:top w:val="nil"/>
              <w:left w:val="nil"/>
              <w:bottom w:val="nil"/>
              <w:right w:val="nil"/>
            </w:tcBorders>
            <w:shd w:val="clear" w:color="auto" w:fill="auto"/>
            <w:noWrap/>
            <w:vAlign w:val="center"/>
            <w:hideMark/>
          </w:tcPr>
          <w:p w14:paraId="50397EB6"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Overweight (23-25)</w:t>
            </w:r>
          </w:p>
        </w:tc>
        <w:tc>
          <w:tcPr>
            <w:tcW w:w="1821" w:type="dxa"/>
            <w:tcBorders>
              <w:top w:val="nil"/>
              <w:left w:val="nil"/>
              <w:bottom w:val="nil"/>
              <w:right w:val="nil"/>
            </w:tcBorders>
            <w:shd w:val="clear" w:color="auto" w:fill="auto"/>
            <w:noWrap/>
            <w:vAlign w:val="center"/>
            <w:hideMark/>
          </w:tcPr>
          <w:p w14:paraId="48BEF28B"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3,914 (22.59)</w:t>
            </w:r>
          </w:p>
        </w:tc>
        <w:tc>
          <w:tcPr>
            <w:tcW w:w="2140" w:type="dxa"/>
            <w:tcBorders>
              <w:top w:val="nil"/>
              <w:left w:val="nil"/>
              <w:bottom w:val="nil"/>
              <w:right w:val="nil"/>
            </w:tcBorders>
            <w:shd w:val="clear" w:color="auto" w:fill="auto"/>
            <w:noWrap/>
            <w:vAlign w:val="center"/>
            <w:hideMark/>
          </w:tcPr>
          <w:p w14:paraId="606BA3F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435 (22.30)</w:t>
            </w:r>
          </w:p>
        </w:tc>
        <w:tc>
          <w:tcPr>
            <w:tcW w:w="1043" w:type="dxa"/>
            <w:tcBorders>
              <w:top w:val="nil"/>
              <w:left w:val="nil"/>
              <w:bottom w:val="nil"/>
              <w:right w:val="nil"/>
            </w:tcBorders>
            <w:shd w:val="clear" w:color="auto" w:fill="auto"/>
            <w:noWrap/>
            <w:vAlign w:val="center"/>
            <w:hideMark/>
          </w:tcPr>
          <w:p w14:paraId="1C7D78D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5A46C969" w14:textId="77777777" w:rsidTr="00A17E89">
        <w:trPr>
          <w:trHeight w:val="315"/>
        </w:trPr>
        <w:tc>
          <w:tcPr>
            <w:tcW w:w="3736" w:type="dxa"/>
            <w:tcBorders>
              <w:top w:val="nil"/>
              <w:left w:val="nil"/>
              <w:bottom w:val="nil"/>
              <w:right w:val="nil"/>
            </w:tcBorders>
            <w:shd w:val="clear" w:color="auto" w:fill="auto"/>
            <w:noWrap/>
            <w:vAlign w:val="center"/>
            <w:hideMark/>
          </w:tcPr>
          <w:p w14:paraId="5D60F4B5"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Obese (</w:t>
            </w:r>
            <w:r w:rsidRPr="008404B8">
              <w:rPr>
                <w:rFonts w:ascii="바탕" w:eastAsia="바탕" w:hAnsi="바탕" w:cs="Times New Roman" w:hint="eastAsia"/>
                <w:color w:val="000000"/>
                <w:kern w:val="0"/>
                <w:sz w:val="24"/>
                <w:szCs w:val="24"/>
              </w:rPr>
              <w:t>≥</w:t>
            </w:r>
            <w:r w:rsidRPr="008404B8">
              <w:rPr>
                <w:rFonts w:ascii="Times New Roman" w:eastAsia="맑은 고딕" w:hAnsi="Times New Roman" w:cs="Times New Roman"/>
                <w:color w:val="000000"/>
                <w:kern w:val="0"/>
                <w:sz w:val="24"/>
                <w:szCs w:val="24"/>
              </w:rPr>
              <w:t>25)</w:t>
            </w:r>
          </w:p>
        </w:tc>
        <w:tc>
          <w:tcPr>
            <w:tcW w:w="1821" w:type="dxa"/>
            <w:tcBorders>
              <w:top w:val="nil"/>
              <w:left w:val="nil"/>
              <w:bottom w:val="nil"/>
              <w:right w:val="nil"/>
            </w:tcBorders>
            <w:shd w:val="clear" w:color="auto" w:fill="auto"/>
            <w:noWrap/>
            <w:vAlign w:val="center"/>
            <w:hideMark/>
          </w:tcPr>
          <w:p w14:paraId="6B98AD1A"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5,782 (34.12)</w:t>
            </w:r>
          </w:p>
        </w:tc>
        <w:tc>
          <w:tcPr>
            <w:tcW w:w="2140" w:type="dxa"/>
            <w:tcBorders>
              <w:top w:val="nil"/>
              <w:left w:val="nil"/>
              <w:bottom w:val="nil"/>
              <w:right w:val="nil"/>
            </w:tcBorders>
            <w:shd w:val="clear" w:color="auto" w:fill="auto"/>
            <w:noWrap/>
            <w:vAlign w:val="center"/>
            <w:hideMark/>
          </w:tcPr>
          <w:p w14:paraId="5B35A71E"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657 (32.51)</w:t>
            </w:r>
          </w:p>
        </w:tc>
        <w:tc>
          <w:tcPr>
            <w:tcW w:w="1043" w:type="dxa"/>
            <w:tcBorders>
              <w:top w:val="nil"/>
              <w:left w:val="nil"/>
              <w:bottom w:val="nil"/>
              <w:right w:val="nil"/>
            </w:tcBorders>
            <w:shd w:val="clear" w:color="auto" w:fill="auto"/>
            <w:noWrap/>
            <w:vAlign w:val="center"/>
            <w:hideMark/>
          </w:tcPr>
          <w:p w14:paraId="345920A9"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E08B153" w14:textId="77777777" w:rsidTr="00A17E89">
        <w:trPr>
          <w:trHeight w:val="315"/>
        </w:trPr>
        <w:tc>
          <w:tcPr>
            <w:tcW w:w="3736" w:type="dxa"/>
            <w:tcBorders>
              <w:top w:val="nil"/>
              <w:left w:val="nil"/>
              <w:bottom w:val="nil"/>
              <w:right w:val="nil"/>
            </w:tcBorders>
            <w:shd w:val="clear" w:color="auto" w:fill="auto"/>
            <w:noWrap/>
            <w:vAlign w:val="center"/>
            <w:hideMark/>
          </w:tcPr>
          <w:p w14:paraId="68A9AF10"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Cardiovascular disease</w:t>
            </w:r>
          </w:p>
        </w:tc>
        <w:tc>
          <w:tcPr>
            <w:tcW w:w="1821" w:type="dxa"/>
            <w:tcBorders>
              <w:top w:val="nil"/>
              <w:left w:val="nil"/>
              <w:bottom w:val="nil"/>
              <w:right w:val="nil"/>
            </w:tcBorders>
            <w:shd w:val="clear" w:color="auto" w:fill="auto"/>
            <w:noWrap/>
            <w:vAlign w:val="center"/>
            <w:hideMark/>
          </w:tcPr>
          <w:p w14:paraId="50ADE48F"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3A26236E"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642A18D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0.047</w:t>
            </w:r>
          </w:p>
        </w:tc>
      </w:tr>
      <w:tr w:rsidR="00A17E89" w:rsidRPr="008404B8" w14:paraId="77291B05" w14:textId="77777777" w:rsidTr="00A17E89">
        <w:trPr>
          <w:trHeight w:val="315"/>
        </w:trPr>
        <w:tc>
          <w:tcPr>
            <w:tcW w:w="3736" w:type="dxa"/>
            <w:tcBorders>
              <w:top w:val="nil"/>
              <w:left w:val="nil"/>
              <w:bottom w:val="nil"/>
              <w:right w:val="nil"/>
            </w:tcBorders>
            <w:shd w:val="clear" w:color="auto" w:fill="auto"/>
            <w:noWrap/>
            <w:vAlign w:val="center"/>
            <w:hideMark/>
          </w:tcPr>
          <w:p w14:paraId="6E878B3A"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w:t>
            </w:r>
          </w:p>
        </w:tc>
        <w:tc>
          <w:tcPr>
            <w:tcW w:w="1821" w:type="dxa"/>
            <w:tcBorders>
              <w:top w:val="nil"/>
              <w:left w:val="nil"/>
              <w:bottom w:val="nil"/>
              <w:right w:val="nil"/>
            </w:tcBorders>
            <w:shd w:val="clear" w:color="auto" w:fill="auto"/>
            <w:noWrap/>
            <w:vAlign w:val="center"/>
            <w:hideMark/>
          </w:tcPr>
          <w:p w14:paraId="60F5143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16,409 (97.83)</w:t>
            </w:r>
          </w:p>
        </w:tc>
        <w:tc>
          <w:tcPr>
            <w:tcW w:w="2140" w:type="dxa"/>
            <w:tcBorders>
              <w:top w:val="nil"/>
              <w:left w:val="nil"/>
              <w:bottom w:val="nil"/>
              <w:right w:val="nil"/>
            </w:tcBorders>
            <w:shd w:val="clear" w:color="auto" w:fill="auto"/>
            <w:noWrap/>
            <w:vAlign w:val="center"/>
            <w:hideMark/>
          </w:tcPr>
          <w:p w14:paraId="3516AF8C"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2,075 (98.48)</w:t>
            </w:r>
          </w:p>
        </w:tc>
        <w:tc>
          <w:tcPr>
            <w:tcW w:w="1043" w:type="dxa"/>
            <w:tcBorders>
              <w:top w:val="nil"/>
              <w:left w:val="nil"/>
              <w:bottom w:val="nil"/>
              <w:right w:val="nil"/>
            </w:tcBorders>
            <w:shd w:val="clear" w:color="auto" w:fill="auto"/>
            <w:noWrap/>
            <w:vAlign w:val="center"/>
            <w:hideMark/>
          </w:tcPr>
          <w:p w14:paraId="42594E99"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3862F48" w14:textId="77777777" w:rsidTr="00A17E89">
        <w:trPr>
          <w:trHeight w:val="315"/>
        </w:trPr>
        <w:tc>
          <w:tcPr>
            <w:tcW w:w="3736" w:type="dxa"/>
            <w:tcBorders>
              <w:top w:val="nil"/>
              <w:left w:val="nil"/>
              <w:bottom w:val="nil"/>
              <w:right w:val="nil"/>
            </w:tcBorders>
            <w:shd w:val="clear" w:color="auto" w:fill="auto"/>
            <w:noWrap/>
            <w:vAlign w:val="center"/>
            <w:hideMark/>
          </w:tcPr>
          <w:p w14:paraId="7EFE8E0B"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Yes</w:t>
            </w:r>
          </w:p>
        </w:tc>
        <w:tc>
          <w:tcPr>
            <w:tcW w:w="1821" w:type="dxa"/>
            <w:tcBorders>
              <w:top w:val="nil"/>
              <w:left w:val="nil"/>
              <w:bottom w:val="nil"/>
              <w:right w:val="nil"/>
            </w:tcBorders>
            <w:shd w:val="clear" w:color="auto" w:fill="auto"/>
            <w:noWrap/>
            <w:vAlign w:val="center"/>
            <w:hideMark/>
          </w:tcPr>
          <w:p w14:paraId="069C265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517 (2.17)</w:t>
            </w:r>
          </w:p>
        </w:tc>
        <w:tc>
          <w:tcPr>
            <w:tcW w:w="2140" w:type="dxa"/>
            <w:tcBorders>
              <w:top w:val="nil"/>
              <w:left w:val="nil"/>
              <w:bottom w:val="nil"/>
              <w:right w:val="nil"/>
            </w:tcBorders>
            <w:shd w:val="clear" w:color="auto" w:fill="auto"/>
            <w:noWrap/>
            <w:vAlign w:val="center"/>
            <w:hideMark/>
          </w:tcPr>
          <w:p w14:paraId="2F76E80A"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45 (1.52)</w:t>
            </w:r>
          </w:p>
        </w:tc>
        <w:tc>
          <w:tcPr>
            <w:tcW w:w="1043" w:type="dxa"/>
            <w:tcBorders>
              <w:top w:val="nil"/>
              <w:left w:val="nil"/>
              <w:bottom w:val="nil"/>
              <w:right w:val="nil"/>
            </w:tcBorders>
            <w:shd w:val="clear" w:color="auto" w:fill="auto"/>
            <w:noWrap/>
            <w:vAlign w:val="center"/>
            <w:hideMark/>
          </w:tcPr>
          <w:p w14:paraId="7FB08FB6"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0B8D0FFA" w14:textId="77777777" w:rsidTr="00A17E89">
        <w:trPr>
          <w:trHeight w:val="315"/>
        </w:trPr>
        <w:tc>
          <w:tcPr>
            <w:tcW w:w="3736" w:type="dxa"/>
            <w:tcBorders>
              <w:top w:val="nil"/>
              <w:left w:val="nil"/>
              <w:bottom w:val="nil"/>
              <w:right w:val="nil"/>
            </w:tcBorders>
            <w:shd w:val="clear" w:color="auto" w:fill="auto"/>
            <w:noWrap/>
            <w:vAlign w:val="center"/>
            <w:hideMark/>
          </w:tcPr>
          <w:p w14:paraId="3DD0A1DE"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Neurovascular disease</w:t>
            </w:r>
          </w:p>
        </w:tc>
        <w:tc>
          <w:tcPr>
            <w:tcW w:w="1821" w:type="dxa"/>
            <w:tcBorders>
              <w:top w:val="nil"/>
              <w:left w:val="nil"/>
              <w:bottom w:val="nil"/>
              <w:right w:val="nil"/>
            </w:tcBorders>
            <w:shd w:val="clear" w:color="auto" w:fill="auto"/>
            <w:noWrap/>
            <w:vAlign w:val="center"/>
            <w:hideMark/>
          </w:tcPr>
          <w:p w14:paraId="07DE8AC8"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7F7ED8EB"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4054AD6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0.541</w:t>
            </w:r>
          </w:p>
        </w:tc>
      </w:tr>
      <w:tr w:rsidR="00A17E89" w:rsidRPr="008404B8" w14:paraId="3D915EF0" w14:textId="77777777" w:rsidTr="00A17E89">
        <w:trPr>
          <w:trHeight w:val="315"/>
        </w:trPr>
        <w:tc>
          <w:tcPr>
            <w:tcW w:w="3736" w:type="dxa"/>
            <w:tcBorders>
              <w:top w:val="nil"/>
              <w:left w:val="nil"/>
              <w:bottom w:val="nil"/>
              <w:right w:val="nil"/>
            </w:tcBorders>
            <w:shd w:val="clear" w:color="auto" w:fill="auto"/>
            <w:noWrap/>
            <w:vAlign w:val="center"/>
            <w:hideMark/>
          </w:tcPr>
          <w:p w14:paraId="3DAAAF34"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w:t>
            </w:r>
          </w:p>
        </w:tc>
        <w:tc>
          <w:tcPr>
            <w:tcW w:w="1821" w:type="dxa"/>
            <w:tcBorders>
              <w:top w:val="nil"/>
              <w:left w:val="nil"/>
              <w:bottom w:val="nil"/>
              <w:right w:val="nil"/>
            </w:tcBorders>
            <w:shd w:val="clear" w:color="auto" w:fill="auto"/>
            <w:noWrap/>
            <w:vAlign w:val="center"/>
            <w:hideMark/>
          </w:tcPr>
          <w:p w14:paraId="58103F5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16,536 (98.28)</w:t>
            </w:r>
          </w:p>
        </w:tc>
        <w:tc>
          <w:tcPr>
            <w:tcW w:w="2140" w:type="dxa"/>
            <w:tcBorders>
              <w:top w:val="nil"/>
              <w:left w:val="nil"/>
              <w:bottom w:val="nil"/>
              <w:right w:val="nil"/>
            </w:tcBorders>
            <w:shd w:val="clear" w:color="auto" w:fill="auto"/>
            <w:noWrap/>
            <w:vAlign w:val="center"/>
            <w:hideMark/>
          </w:tcPr>
          <w:p w14:paraId="025C056B"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2,068 (98.09)</w:t>
            </w:r>
          </w:p>
        </w:tc>
        <w:tc>
          <w:tcPr>
            <w:tcW w:w="1043" w:type="dxa"/>
            <w:tcBorders>
              <w:top w:val="nil"/>
              <w:left w:val="nil"/>
              <w:bottom w:val="nil"/>
              <w:right w:val="nil"/>
            </w:tcBorders>
            <w:shd w:val="clear" w:color="auto" w:fill="auto"/>
            <w:noWrap/>
            <w:vAlign w:val="center"/>
            <w:hideMark/>
          </w:tcPr>
          <w:p w14:paraId="1F488E8C"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2C2C6EB1" w14:textId="77777777" w:rsidTr="00A17E89">
        <w:trPr>
          <w:trHeight w:val="315"/>
        </w:trPr>
        <w:tc>
          <w:tcPr>
            <w:tcW w:w="3736" w:type="dxa"/>
            <w:tcBorders>
              <w:top w:val="nil"/>
              <w:left w:val="nil"/>
              <w:bottom w:val="nil"/>
              <w:right w:val="nil"/>
            </w:tcBorders>
            <w:shd w:val="clear" w:color="auto" w:fill="auto"/>
            <w:noWrap/>
            <w:vAlign w:val="center"/>
            <w:hideMark/>
          </w:tcPr>
          <w:p w14:paraId="0CF3F203"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Yes</w:t>
            </w:r>
          </w:p>
        </w:tc>
        <w:tc>
          <w:tcPr>
            <w:tcW w:w="1821" w:type="dxa"/>
            <w:tcBorders>
              <w:top w:val="nil"/>
              <w:left w:val="nil"/>
              <w:bottom w:val="nil"/>
              <w:right w:val="nil"/>
            </w:tcBorders>
            <w:shd w:val="clear" w:color="auto" w:fill="auto"/>
            <w:noWrap/>
            <w:vAlign w:val="center"/>
            <w:hideMark/>
          </w:tcPr>
          <w:p w14:paraId="059801E2"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390 (1.72)</w:t>
            </w:r>
          </w:p>
        </w:tc>
        <w:tc>
          <w:tcPr>
            <w:tcW w:w="2140" w:type="dxa"/>
            <w:tcBorders>
              <w:top w:val="nil"/>
              <w:left w:val="nil"/>
              <w:bottom w:val="nil"/>
              <w:right w:val="nil"/>
            </w:tcBorders>
            <w:shd w:val="clear" w:color="auto" w:fill="auto"/>
            <w:noWrap/>
            <w:vAlign w:val="center"/>
            <w:hideMark/>
          </w:tcPr>
          <w:p w14:paraId="338CF5B2"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52 (1.91)</w:t>
            </w:r>
          </w:p>
        </w:tc>
        <w:tc>
          <w:tcPr>
            <w:tcW w:w="1043" w:type="dxa"/>
            <w:tcBorders>
              <w:top w:val="nil"/>
              <w:left w:val="nil"/>
              <w:bottom w:val="nil"/>
              <w:right w:val="nil"/>
            </w:tcBorders>
            <w:shd w:val="clear" w:color="auto" w:fill="auto"/>
            <w:noWrap/>
            <w:vAlign w:val="center"/>
            <w:hideMark/>
          </w:tcPr>
          <w:p w14:paraId="41BA892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6AF0973D" w14:textId="77777777" w:rsidTr="00A17E89">
        <w:trPr>
          <w:trHeight w:val="315"/>
        </w:trPr>
        <w:tc>
          <w:tcPr>
            <w:tcW w:w="3736" w:type="dxa"/>
            <w:tcBorders>
              <w:top w:val="nil"/>
              <w:left w:val="nil"/>
              <w:bottom w:val="nil"/>
              <w:right w:val="nil"/>
            </w:tcBorders>
            <w:shd w:val="clear" w:color="auto" w:fill="auto"/>
            <w:noWrap/>
            <w:vAlign w:val="center"/>
            <w:hideMark/>
          </w:tcPr>
          <w:p w14:paraId="3F9F47C1"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Thyroid disease</w:t>
            </w:r>
          </w:p>
        </w:tc>
        <w:tc>
          <w:tcPr>
            <w:tcW w:w="1821" w:type="dxa"/>
            <w:tcBorders>
              <w:top w:val="nil"/>
              <w:left w:val="nil"/>
              <w:bottom w:val="nil"/>
              <w:right w:val="nil"/>
            </w:tcBorders>
            <w:shd w:val="clear" w:color="auto" w:fill="auto"/>
            <w:noWrap/>
            <w:vAlign w:val="center"/>
            <w:hideMark/>
          </w:tcPr>
          <w:p w14:paraId="5C908D94"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30945822"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4605E35F"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&lt;0.001</w:t>
            </w:r>
          </w:p>
        </w:tc>
      </w:tr>
      <w:tr w:rsidR="00A17E89" w:rsidRPr="008404B8" w14:paraId="4E61C91F" w14:textId="77777777" w:rsidTr="00A17E89">
        <w:trPr>
          <w:trHeight w:val="315"/>
        </w:trPr>
        <w:tc>
          <w:tcPr>
            <w:tcW w:w="3736" w:type="dxa"/>
            <w:tcBorders>
              <w:top w:val="nil"/>
              <w:left w:val="nil"/>
              <w:bottom w:val="nil"/>
              <w:right w:val="nil"/>
            </w:tcBorders>
            <w:shd w:val="clear" w:color="auto" w:fill="auto"/>
            <w:noWrap/>
            <w:vAlign w:val="center"/>
            <w:hideMark/>
          </w:tcPr>
          <w:p w14:paraId="2AE6F64C"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w:t>
            </w:r>
          </w:p>
        </w:tc>
        <w:tc>
          <w:tcPr>
            <w:tcW w:w="1821" w:type="dxa"/>
            <w:tcBorders>
              <w:top w:val="nil"/>
              <w:left w:val="nil"/>
              <w:bottom w:val="nil"/>
              <w:right w:val="nil"/>
            </w:tcBorders>
            <w:shd w:val="clear" w:color="auto" w:fill="auto"/>
            <w:noWrap/>
            <w:vAlign w:val="center"/>
            <w:hideMark/>
          </w:tcPr>
          <w:p w14:paraId="7983944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16,177 (96.06)</w:t>
            </w:r>
          </w:p>
        </w:tc>
        <w:tc>
          <w:tcPr>
            <w:tcW w:w="2140" w:type="dxa"/>
            <w:tcBorders>
              <w:top w:val="nil"/>
              <w:left w:val="nil"/>
              <w:bottom w:val="nil"/>
              <w:right w:val="nil"/>
            </w:tcBorders>
            <w:shd w:val="clear" w:color="auto" w:fill="auto"/>
            <w:noWrap/>
            <w:vAlign w:val="center"/>
            <w:hideMark/>
          </w:tcPr>
          <w:p w14:paraId="47DB68DD"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2,079 (98.10)</w:t>
            </w:r>
          </w:p>
        </w:tc>
        <w:tc>
          <w:tcPr>
            <w:tcW w:w="1043" w:type="dxa"/>
            <w:tcBorders>
              <w:top w:val="nil"/>
              <w:left w:val="nil"/>
              <w:bottom w:val="nil"/>
              <w:right w:val="nil"/>
            </w:tcBorders>
            <w:shd w:val="clear" w:color="auto" w:fill="auto"/>
            <w:noWrap/>
            <w:vAlign w:val="center"/>
            <w:hideMark/>
          </w:tcPr>
          <w:p w14:paraId="4752CBD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046E378" w14:textId="77777777" w:rsidTr="00A17E89">
        <w:trPr>
          <w:trHeight w:val="315"/>
        </w:trPr>
        <w:tc>
          <w:tcPr>
            <w:tcW w:w="3736" w:type="dxa"/>
            <w:tcBorders>
              <w:top w:val="nil"/>
              <w:left w:val="nil"/>
              <w:bottom w:val="nil"/>
              <w:right w:val="nil"/>
            </w:tcBorders>
            <w:shd w:val="clear" w:color="auto" w:fill="auto"/>
            <w:noWrap/>
            <w:vAlign w:val="center"/>
            <w:hideMark/>
          </w:tcPr>
          <w:p w14:paraId="186D8CF2"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Yes</w:t>
            </w:r>
          </w:p>
        </w:tc>
        <w:tc>
          <w:tcPr>
            <w:tcW w:w="1821" w:type="dxa"/>
            <w:tcBorders>
              <w:top w:val="nil"/>
              <w:left w:val="nil"/>
              <w:bottom w:val="nil"/>
              <w:right w:val="nil"/>
            </w:tcBorders>
            <w:shd w:val="clear" w:color="auto" w:fill="auto"/>
            <w:noWrap/>
            <w:vAlign w:val="center"/>
            <w:hideMark/>
          </w:tcPr>
          <w:p w14:paraId="3DC4DBDB"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749 (3.94)</w:t>
            </w:r>
          </w:p>
        </w:tc>
        <w:tc>
          <w:tcPr>
            <w:tcW w:w="2140" w:type="dxa"/>
            <w:tcBorders>
              <w:top w:val="nil"/>
              <w:left w:val="nil"/>
              <w:bottom w:val="nil"/>
              <w:right w:val="nil"/>
            </w:tcBorders>
            <w:shd w:val="clear" w:color="auto" w:fill="auto"/>
            <w:noWrap/>
            <w:vAlign w:val="center"/>
            <w:hideMark/>
          </w:tcPr>
          <w:p w14:paraId="4433466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41 (1.90)</w:t>
            </w:r>
          </w:p>
        </w:tc>
        <w:tc>
          <w:tcPr>
            <w:tcW w:w="1043" w:type="dxa"/>
            <w:tcBorders>
              <w:top w:val="nil"/>
              <w:left w:val="nil"/>
              <w:bottom w:val="nil"/>
              <w:right w:val="nil"/>
            </w:tcBorders>
            <w:shd w:val="clear" w:color="auto" w:fill="auto"/>
            <w:noWrap/>
            <w:vAlign w:val="center"/>
            <w:hideMark/>
          </w:tcPr>
          <w:p w14:paraId="7E201808"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A965CD7" w14:textId="77777777" w:rsidTr="00A17E89">
        <w:trPr>
          <w:trHeight w:val="315"/>
        </w:trPr>
        <w:tc>
          <w:tcPr>
            <w:tcW w:w="3736" w:type="dxa"/>
            <w:tcBorders>
              <w:top w:val="nil"/>
              <w:left w:val="nil"/>
              <w:bottom w:val="nil"/>
              <w:right w:val="nil"/>
            </w:tcBorders>
            <w:shd w:val="clear" w:color="auto" w:fill="auto"/>
            <w:noWrap/>
            <w:vAlign w:val="center"/>
            <w:hideMark/>
          </w:tcPr>
          <w:p w14:paraId="2A91301D"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Neoplastic disease</w:t>
            </w:r>
          </w:p>
        </w:tc>
        <w:tc>
          <w:tcPr>
            <w:tcW w:w="1821" w:type="dxa"/>
            <w:tcBorders>
              <w:top w:val="nil"/>
              <w:left w:val="nil"/>
              <w:bottom w:val="nil"/>
              <w:right w:val="nil"/>
            </w:tcBorders>
            <w:shd w:val="clear" w:color="auto" w:fill="auto"/>
            <w:noWrap/>
            <w:vAlign w:val="center"/>
            <w:hideMark/>
          </w:tcPr>
          <w:p w14:paraId="1EEF80E2" w14:textId="77777777" w:rsidR="00A17E89" w:rsidRPr="008404B8" w:rsidRDefault="00A17E89" w:rsidP="00A17E89">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2140" w:type="dxa"/>
            <w:tcBorders>
              <w:top w:val="nil"/>
              <w:left w:val="nil"/>
              <w:bottom w:val="nil"/>
              <w:right w:val="nil"/>
            </w:tcBorders>
            <w:shd w:val="clear" w:color="auto" w:fill="auto"/>
            <w:noWrap/>
            <w:vAlign w:val="center"/>
            <w:hideMark/>
          </w:tcPr>
          <w:p w14:paraId="6530285B" w14:textId="77777777" w:rsidR="00A17E89" w:rsidRPr="008404B8" w:rsidRDefault="00A17E89" w:rsidP="00A17E89">
            <w:pPr>
              <w:widowControl/>
              <w:wordWrap/>
              <w:autoSpaceDE/>
              <w:autoSpaceDN/>
              <w:spacing w:after="0" w:line="240" w:lineRule="auto"/>
              <w:jc w:val="center"/>
              <w:rPr>
                <w:rFonts w:ascii="Times New Roman" w:eastAsia="Times New Roman" w:hAnsi="Times New Roman" w:cs="Times New Roman"/>
                <w:kern w:val="0"/>
                <w:szCs w:val="20"/>
              </w:rPr>
            </w:pPr>
          </w:p>
        </w:tc>
        <w:tc>
          <w:tcPr>
            <w:tcW w:w="1043" w:type="dxa"/>
            <w:tcBorders>
              <w:top w:val="nil"/>
              <w:left w:val="nil"/>
              <w:bottom w:val="nil"/>
              <w:right w:val="nil"/>
            </w:tcBorders>
            <w:shd w:val="clear" w:color="auto" w:fill="auto"/>
            <w:noWrap/>
            <w:vAlign w:val="center"/>
            <w:hideMark/>
          </w:tcPr>
          <w:p w14:paraId="03890520"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0.008</w:t>
            </w:r>
          </w:p>
        </w:tc>
      </w:tr>
      <w:tr w:rsidR="00A17E89" w:rsidRPr="008404B8" w14:paraId="1CEBA32C" w14:textId="77777777" w:rsidTr="00A17E89">
        <w:trPr>
          <w:trHeight w:val="315"/>
        </w:trPr>
        <w:tc>
          <w:tcPr>
            <w:tcW w:w="3736" w:type="dxa"/>
            <w:tcBorders>
              <w:top w:val="nil"/>
              <w:left w:val="nil"/>
              <w:bottom w:val="nil"/>
              <w:right w:val="nil"/>
            </w:tcBorders>
            <w:shd w:val="clear" w:color="auto" w:fill="auto"/>
            <w:noWrap/>
            <w:vAlign w:val="center"/>
            <w:hideMark/>
          </w:tcPr>
          <w:p w14:paraId="35747122"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No</w:t>
            </w:r>
          </w:p>
        </w:tc>
        <w:tc>
          <w:tcPr>
            <w:tcW w:w="1821" w:type="dxa"/>
            <w:tcBorders>
              <w:top w:val="nil"/>
              <w:left w:val="nil"/>
              <w:bottom w:val="nil"/>
              <w:right w:val="nil"/>
            </w:tcBorders>
            <w:shd w:val="clear" w:color="auto" w:fill="auto"/>
            <w:noWrap/>
            <w:vAlign w:val="center"/>
            <w:hideMark/>
          </w:tcPr>
          <w:p w14:paraId="4F24F4B3"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15,966 (95.27)</w:t>
            </w:r>
          </w:p>
        </w:tc>
        <w:tc>
          <w:tcPr>
            <w:tcW w:w="2140" w:type="dxa"/>
            <w:tcBorders>
              <w:top w:val="nil"/>
              <w:left w:val="nil"/>
              <w:bottom w:val="nil"/>
              <w:right w:val="nil"/>
            </w:tcBorders>
            <w:shd w:val="clear" w:color="auto" w:fill="auto"/>
            <w:noWrap/>
            <w:vAlign w:val="center"/>
            <w:hideMark/>
          </w:tcPr>
          <w:p w14:paraId="57CC5E94"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2,040 (96.65)</w:t>
            </w:r>
          </w:p>
        </w:tc>
        <w:tc>
          <w:tcPr>
            <w:tcW w:w="1043" w:type="dxa"/>
            <w:tcBorders>
              <w:top w:val="nil"/>
              <w:left w:val="nil"/>
              <w:bottom w:val="nil"/>
              <w:right w:val="nil"/>
            </w:tcBorders>
            <w:shd w:val="clear" w:color="auto" w:fill="auto"/>
            <w:noWrap/>
            <w:vAlign w:val="center"/>
            <w:hideMark/>
          </w:tcPr>
          <w:p w14:paraId="56552EA7"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A17E89" w:rsidRPr="008404B8" w14:paraId="3FDBEE8C" w14:textId="77777777" w:rsidTr="00A17E89">
        <w:trPr>
          <w:trHeight w:val="315"/>
        </w:trPr>
        <w:tc>
          <w:tcPr>
            <w:tcW w:w="3736" w:type="dxa"/>
            <w:tcBorders>
              <w:top w:val="nil"/>
              <w:left w:val="nil"/>
              <w:bottom w:val="single" w:sz="4" w:space="0" w:color="auto"/>
              <w:right w:val="nil"/>
            </w:tcBorders>
            <w:shd w:val="clear" w:color="auto" w:fill="auto"/>
            <w:noWrap/>
            <w:vAlign w:val="center"/>
            <w:hideMark/>
          </w:tcPr>
          <w:p w14:paraId="16DF950C" w14:textId="77777777" w:rsidR="00A17E89" w:rsidRPr="008404B8" w:rsidRDefault="00A17E89" w:rsidP="00A17E89">
            <w:pPr>
              <w:widowControl/>
              <w:wordWrap/>
              <w:autoSpaceDE/>
              <w:autoSpaceDN/>
              <w:spacing w:after="0" w:line="240" w:lineRule="auto"/>
              <w:ind w:firstLineChars="200" w:firstLine="480"/>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Yes</w:t>
            </w:r>
          </w:p>
        </w:tc>
        <w:tc>
          <w:tcPr>
            <w:tcW w:w="1821" w:type="dxa"/>
            <w:tcBorders>
              <w:top w:val="nil"/>
              <w:left w:val="nil"/>
              <w:bottom w:val="single" w:sz="4" w:space="0" w:color="auto"/>
              <w:right w:val="nil"/>
            </w:tcBorders>
            <w:shd w:val="clear" w:color="auto" w:fill="auto"/>
            <w:noWrap/>
            <w:vAlign w:val="center"/>
            <w:hideMark/>
          </w:tcPr>
          <w:p w14:paraId="1A659A78"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960 (4.73)</w:t>
            </w:r>
          </w:p>
        </w:tc>
        <w:tc>
          <w:tcPr>
            <w:tcW w:w="2140" w:type="dxa"/>
            <w:tcBorders>
              <w:top w:val="nil"/>
              <w:left w:val="nil"/>
              <w:bottom w:val="single" w:sz="4" w:space="0" w:color="auto"/>
              <w:right w:val="nil"/>
            </w:tcBorders>
            <w:shd w:val="clear" w:color="auto" w:fill="auto"/>
            <w:noWrap/>
            <w:vAlign w:val="center"/>
            <w:hideMark/>
          </w:tcPr>
          <w:p w14:paraId="46E3AE68"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80 (3.35)</w:t>
            </w:r>
          </w:p>
        </w:tc>
        <w:tc>
          <w:tcPr>
            <w:tcW w:w="1043" w:type="dxa"/>
            <w:tcBorders>
              <w:top w:val="nil"/>
              <w:left w:val="nil"/>
              <w:bottom w:val="single" w:sz="4" w:space="0" w:color="auto"/>
              <w:right w:val="nil"/>
            </w:tcBorders>
            <w:shd w:val="clear" w:color="auto" w:fill="auto"/>
            <w:noWrap/>
            <w:vAlign w:val="center"/>
            <w:hideMark/>
          </w:tcPr>
          <w:p w14:paraId="27A6AA31" w14:textId="77777777" w:rsidR="00A17E89" w:rsidRPr="008404B8" w:rsidRDefault="00A17E89" w:rsidP="00A17E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 xml:space="preserve">　</w:t>
            </w:r>
          </w:p>
        </w:tc>
      </w:tr>
      <w:tr w:rsidR="00A17E89" w:rsidRPr="008404B8" w14:paraId="0D0ECC14" w14:textId="77777777" w:rsidTr="00A17E89">
        <w:trPr>
          <w:trHeight w:val="300"/>
        </w:trPr>
        <w:tc>
          <w:tcPr>
            <w:tcW w:w="8740" w:type="dxa"/>
            <w:gridSpan w:val="4"/>
            <w:tcBorders>
              <w:top w:val="single" w:sz="4" w:space="0" w:color="auto"/>
              <w:left w:val="nil"/>
              <w:bottom w:val="nil"/>
              <w:right w:val="nil"/>
            </w:tcBorders>
            <w:shd w:val="clear" w:color="auto" w:fill="auto"/>
            <w:noWrap/>
            <w:vAlign w:val="center"/>
            <w:hideMark/>
          </w:tcPr>
          <w:p w14:paraId="735B350B"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color w:val="000000"/>
                <w:kern w:val="0"/>
                <w:sz w:val="22"/>
              </w:rPr>
            </w:pPr>
            <w:r w:rsidRPr="008404B8">
              <w:rPr>
                <w:rFonts w:ascii="Times New Roman" w:eastAsia="맑은 고딕" w:hAnsi="Times New Roman" w:cs="Times New Roman"/>
                <w:i/>
                <w:iCs/>
                <w:color w:val="000000"/>
                <w:kern w:val="0"/>
                <w:sz w:val="22"/>
              </w:rPr>
              <w:t>Abbreviations</w:t>
            </w:r>
            <w:r w:rsidRPr="008404B8">
              <w:rPr>
                <w:rFonts w:ascii="Times New Roman" w:eastAsia="맑은 고딕" w:hAnsi="Times New Roman" w:cs="Times New Roman"/>
                <w:color w:val="000000"/>
                <w:kern w:val="0"/>
                <w:sz w:val="22"/>
              </w:rPr>
              <w:t>. PHQ-9, Patient Health Questionnaire-9.</w:t>
            </w:r>
          </w:p>
        </w:tc>
      </w:tr>
      <w:tr w:rsidR="00A17E89" w:rsidRPr="008404B8" w14:paraId="25B6DE5F" w14:textId="77777777" w:rsidTr="00A17E89">
        <w:trPr>
          <w:trHeight w:val="900"/>
        </w:trPr>
        <w:tc>
          <w:tcPr>
            <w:tcW w:w="8740" w:type="dxa"/>
            <w:gridSpan w:val="4"/>
            <w:tcBorders>
              <w:top w:val="nil"/>
              <w:left w:val="nil"/>
              <w:bottom w:val="nil"/>
              <w:right w:val="nil"/>
            </w:tcBorders>
            <w:shd w:val="clear" w:color="auto" w:fill="auto"/>
            <w:vAlign w:val="center"/>
            <w:hideMark/>
          </w:tcPr>
          <w:p w14:paraId="0BB7D018"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rPr>
              <w:t>Age, and number of cohabitants are presented as mean (standard error). Cotinine is presented as median (interquartile range). Categorical variables (all other variables) are presented as N (weighted %).</w:t>
            </w:r>
          </w:p>
        </w:tc>
      </w:tr>
      <w:tr w:rsidR="00A17E89" w:rsidRPr="008404B8" w14:paraId="344058F6" w14:textId="77777777" w:rsidTr="00A17E89">
        <w:trPr>
          <w:trHeight w:val="315"/>
        </w:trPr>
        <w:tc>
          <w:tcPr>
            <w:tcW w:w="8740" w:type="dxa"/>
            <w:gridSpan w:val="4"/>
            <w:tcBorders>
              <w:top w:val="nil"/>
              <w:left w:val="nil"/>
              <w:bottom w:val="nil"/>
              <w:right w:val="nil"/>
            </w:tcBorders>
            <w:shd w:val="clear" w:color="auto" w:fill="auto"/>
            <w:vAlign w:val="center"/>
            <w:hideMark/>
          </w:tcPr>
          <w:p w14:paraId="737D9815"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vertAlign w:val="superscript"/>
              </w:rPr>
              <w:t>1</w:t>
            </w:r>
            <w:r w:rsidRPr="008404B8">
              <w:rPr>
                <w:rFonts w:ascii="Times New Roman" w:eastAsia="맑은 고딕" w:hAnsi="Times New Roman" w:cs="Times New Roman"/>
                <w:color w:val="000000"/>
                <w:kern w:val="0"/>
                <w:sz w:val="24"/>
                <w:szCs w:val="24"/>
              </w:rPr>
              <w:t>Continuous variables were tested using t-tests, and categorical variables with chi-square tests.</w:t>
            </w:r>
          </w:p>
        </w:tc>
      </w:tr>
      <w:tr w:rsidR="00A17E89" w:rsidRPr="008404B8" w14:paraId="0CB456F7" w14:textId="77777777" w:rsidTr="00A17E89">
        <w:trPr>
          <w:trHeight w:val="375"/>
        </w:trPr>
        <w:tc>
          <w:tcPr>
            <w:tcW w:w="8740" w:type="dxa"/>
            <w:gridSpan w:val="4"/>
            <w:tcBorders>
              <w:top w:val="nil"/>
              <w:left w:val="nil"/>
              <w:bottom w:val="nil"/>
              <w:right w:val="nil"/>
            </w:tcBorders>
            <w:shd w:val="clear" w:color="auto" w:fill="auto"/>
            <w:noWrap/>
            <w:vAlign w:val="center"/>
            <w:hideMark/>
          </w:tcPr>
          <w:p w14:paraId="23A1AE9C"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vertAlign w:val="superscript"/>
              </w:rPr>
              <w:t>2</w:t>
            </w:r>
            <w:r w:rsidRPr="008404B8">
              <w:rPr>
                <w:rFonts w:ascii="Times New Roman" w:eastAsia="맑은 고딕" w:hAnsi="Times New Roman" w:cs="Times New Roman"/>
                <w:color w:val="000000"/>
                <w:kern w:val="0"/>
                <w:sz w:val="24"/>
                <w:szCs w:val="24"/>
              </w:rPr>
              <w:t>Cotinine was log-transformed for statistical analyses.</w:t>
            </w:r>
          </w:p>
        </w:tc>
      </w:tr>
      <w:tr w:rsidR="00A17E89" w:rsidRPr="008404B8" w14:paraId="23838E04" w14:textId="77777777" w:rsidTr="00A17E89">
        <w:trPr>
          <w:trHeight w:val="315"/>
        </w:trPr>
        <w:tc>
          <w:tcPr>
            <w:tcW w:w="8740" w:type="dxa"/>
            <w:gridSpan w:val="4"/>
            <w:tcBorders>
              <w:top w:val="nil"/>
              <w:left w:val="nil"/>
              <w:bottom w:val="nil"/>
              <w:right w:val="nil"/>
            </w:tcBorders>
            <w:shd w:val="clear" w:color="auto" w:fill="auto"/>
            <w:vAlign w:val="center"/>
            <w:hideMark/>
          </w:tcPr>
          <w:p w14:paraId="7D78EF5C" w14:textId="77777777" w:rsidR="00A17E89" w:rsidRPr="008404B8" w:rsidRDefault="00A17E89" w:rsidP="00A17E89">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8404B8">
              <w:rPr>
                <w:rFonts w:ascii="Times New Roman" w:eastAsia="맑은 고딕" w:hAnsi="Times New Roman" w:cs="Times New Roman"/>
                <w:color w:val="000000"/>
                <w:kern w:val="0"/>
                <w:sz w:val="24"/>
                <w:szCs w:val="24"/>
                <w:vertAlign w:val="superscript"/>
              </w:rPr>
              <w:t>3</w:t>
            </w:r>
            <w:r w:rsidRPr="008404B8">
              <w:rPr>
                <w:rFonts w:ascii="Times New Roman" w:eastAsia="맑은 고딕" w:hAnsi="Times New Roman" w:cs="Times New Roman"/>
                <w:color w:val="000000"/>
                <w:kern w:val="0"/>
                <w:sz w:val="24"/>
                <w:szCs w:val="24"/>
              </w:rPr>
              <w:t>Income was divided into survey weight adjusted quartiles in each survey year.</w:t>
            </w:r>
          </w:p>
        </w:tc>
      </w:tr>
    </w:tbl>
    <w:p w14:paraId="5D895738" w14:textId="77777777" w:rsidR="007A2703" w:rsidRPr="008404B8" w:rsidRDefault="007A2703" w:rsidP="007A2703">
      <w:pPr>
        <w:rPr>
          <w:rFonts w:ascii="Times New Roman" w:hAnsi="Times New Roman" w:cs="Times New Roman"/>
          <w:sz w:val="24"/>
          <w:szCs w:val="24"/>
        </w:rPr>
      </w:pPr>
    </w:p>
    <w:p w14:paraId="711777EC" w14:textId="77777777" w:rsidR="007A2703" w:rsidRPr="008404B8" w:rsidRDefault="007A2703" w:rsidP="007A2703">
      <w:pPr>
        <w:rPr>
          <w:rFonts w:ascii="Times New Roman" w:hAnsi="Times New Roman" w:cs="Times New Roman"/>
          <w:sz w:val="24"/>
          <w:szCs w:val="24"/>
        </w:rPr>
        <w:sectPr w:rsidR="007A2703" w:rsidRPr="008404B8" w:rsidSect="004855D4">
          <w:pgSz w:w="11906" w:h="16838"/>
          <w:pgMar w:top="1701" w:right="1440" w:bottom="1440" w:left="1440" w:header="851" w:footer="992" w:gutter="0"/>
          <w:cols w:space="425"/>
          <w:docGrid w:linePitch="360"/>
        </w:sectPr>
      </w:pPr>
    </w:p>
    <w:p w14:paraId="1FAE50B0" w14:textId="0F9C217A" w:rsidR="00DF48B7" w:rsidRPr="008404B8" w:rsidRDefault="00DF48B7" w:rsidP="002B71C4">
      <w:pPr>
        <w:widowControl/>
        <w:wordWrap/>
        <w:autoSpaceDE/>
        <w:autoSpaceDN/>
        <w:spacing w:after="0" w:line="480" w:lineRule="auto"/>
        <w:rPr>
          <w:rFonts w:ascii="Times New Roman" w:hAnsi="Times New Roman" w:cs="Times New Roman"/>
          <w:b/>
          <w:bCs/>
          <w:sz w:val="24"/>
          <w:szCs w:val="24"/>
          <w:lang w:val="en-GB"/>
        </w:rPr>
      </w:pPr>
      <w:r w:rsidRPr="008404B8">
        <w:rPr>
          <w:rFonts w:ascii="Times New Roman" w:hAnsi="Times New Roman" w:cs="Times New Roman" w:hint="eastAsia"/>
          <w:b/>
          <w:bCs/>
          <w:sz w:val="24"/>
          <w:szCs w:val="24"/>
          <w:lang w:val="en-GB"/>
        </w:rPr>
        <w:lastRenderedPageBreak/>
        <w:t>R</w:t>
      </w:r>
      <w:r w:rsidRPr="008404B8">
        <w:rPr>
          <w:rFonts w:ascii="Times New Roman" w:hAnsi="Times New Roman" w:cs="Times New Roman"/>
          <w:b/>
          <w:bCs/>
          <w:sz w:val="24"/>
          <w:szCs w:val="24"/>
          <w:lang w:val="en-GB"/>
        </w:rPr>
        <w:t>eference</w:t>
      </w:r>
    </w:p>
    <w:p w14:paraId="36FC4FEA" w14:textId="77777777" w:rsidR="00C503A5" w:rsidRPr="00C503A5" w:rsidRDefault="00DF48B7" w:rsidP="00C503A5">
      <w:pPr>
        <w:pStyle w:val="EndNoteBibliography"/>
        <w:spacing w:after="0"/>
        <w:ind w:left="720" w:hanging="720"/>
      </w:pPr>
      <w:r w:rsidRPr="008404B8">
        <w:rPr>
          <w:szCs w:val="24"/>
          <w:lang w:val="en-GB"/>
        </w:rPr>
        <w:fldChar w:fldCharType="begin"/>
      </w:r>
      <w:r w:rsidRPr="008404B8">
        <w:rPr>
          <w:szCs w:val="24"/>
          <w:lang w:val="en-GB"/>
        </w:rPr>
        <w:instrText xml:space="preserve"> ADDIN EN.REFLIST </w:instrText>
      </w:r>
      <w:r w:rsidRPr="008404B8">
        <w:rPr>
          <w:szCs w:val="24"/>
          <w:lang w:val="en-GB"/>
        </w:rPr>
        <w:fldChar w:fldCharType="separate"/>
      </w:r>
      <w:r w:rsidR="00C503A5" w:rsidRPr="00C503A5">
        <w:t>1.</w:t>
      </w:r>
      <w:r w:rsidR="00C503A5" w:rsidRPr="00C503A5">
        <w:tab/>
        <w:t xml:space="preserve">World Health Organization: </w:t>
      </w:r>
      <w:r w:rsidR="00C503A5" w:rsidRPr="00C503A5">
        <w:rPr>
          <w:b/>
        </w:rPr>
        <w:t>The Asia-Pacific perspective: redefining obesity and its treatment</w:t>
      </w:r>
      <w:r w:rsidR="00C503A5" w:rsidRPr="00C503A5">
        <w:t>. Sydney: Health Communications Australia; 2000.</w:t>
      </w:r>
    </w:p>
    <w:p w14:paraId="5368B26C" w14:textId="77777777" w:rsidR="00C503A5" w:rsidRPr="00C503A5" w:rsidRDefault="00C503A5" w:rsidP="00C503A5">
      <w:pPr>
        <w:pStyle w:val="EndNoteBibliography"/>
        <w:spacing w:after="0"/>
        <w:ind w:left="720" w:hanging="720"/>
      </w:pPr>
      <w:r w:rsidRPr="00C503A5">
        <w:t>2.</w:t>
      </w:r>
      <w:r w:rsidRPr="00C503A5">
        <w:tab/>
        <w:t xml:space="preserve">Hiscock R, Bauld L, Amos A, Fidler JA, Munafò M: </w:t>
      </w:r>
      <w:r w:rsidRPr="00C503A5">
        <w:rPr>
          <w:b/>
        </w:rPr>
        <w:t>Socioeconomic status and smoking: a review</w:t>
      </w:r>
      <w:r w:rsidRPr="00C503A5">
        <w:t xml:space="preserve">. </w:t>
      </w:r>
      <w:r w:rsidRPr="00C503A5">
        <w:rPr>
          <w:i/>
        </w:rPr>
        <w:t xml:space="preserve">Annals of the New York Academy of Sciences </w:t>
      </w:r>
      <w:r w:rsidRPr="00C503A5">
        <w:t xml:space="preserve">2012, </w:t>
      </w:r>
      <w:r w:rsidRPr="00C503A5">
        <w:rPr>
          <w:b/>
        </w:rPr>
        <w:t>1248</w:t>
      </w:r>
      <w:r w:rsidRPr="00C503A5">
        <w:t>(1):107-123.</w:t>
      </w:r>
    </w:p>
    <w:p w14:paraId="27EBDEC4" w14:textId="77777777" w:rsidR="00C503A5" w:rsidRPr="00C503A5" w:rsidRDefault="00C503A5" w:rsidP="00C503A5">
      <w:pPr>
        <w:pStyle w:val="EndNoteBibliography"/>
        <w:spacing w:after="0"/>
        <w:ind w:left="720" w:hanging="720"/>
      </w:pPr>
      <w:r w:rsidRPr="00C503A5">
        <w:t>3.</w:t>
      </w:r>
      <w:r w:rsidRPr="00C503A5">
        <w:tab/>
        <w:t xml:space="preserve">Jarvis MJ, Russell M, Benowitz NL, Feyerabend C: </w:t>
      </w:r>
      <w:r w:rsidRPr="00C503A5">
        <w:rPr>
          <w:b/>
        </w:rPr>
        <w:t>Elimination of cotinine from body fluids: implications for noninvasive measurement of tobacco smoke exposure</w:t>
      </w:r>
      <w:r w:rsidRPr="00C503A5">
        <w:t xml:space="preserve">. </w:t>
      </w:r>
      <w:r w:rsidRPr="00C503A5">
        <w:rPr>
          <w:i/>
        </w:rPr>
        <w:t xml:space="preserve">American journal of public health </w:t>
      </w:r>
      <w:r w:rsidRPr="00C503A5">
        <w:t xml:space="preserve">1988, </w:t>
      </w:r>
      <w:r w:rsidRPr="00C503A5">
        <w:rPr>
          <w:b/>
        </w:rPr>
        <w:t>78</w:t>
      </w:r>
      <w:r w:rsidRPr="00C503A5">
        <w:t>(6):696-698.</w:t>
      </w:r>
    </w:p>
    <w:p w14:paraId="72F2BA2A" w14:textId="77777777" w:rsidR="00C503A5" w:rsidRPr="00C503A5" w:rsidRDefault="00C503A5" w:rsidP="00C503A5">
      <w:pPr>
        <w:pStyle w:val="EndNoteBibliography"/>
        <w:spacing w:after="0"/>
        <w:ind w:left="720" w:hanging="720"/>
      </w:pPr>
      <w:r w:rsidRPr="00C503A5">
        <w:t>4.</w:t>
      </w:r>
      <w:r w:rsidRPr="00C503A5">
        <w:tab/>
        <w:t xml:space="preserve">Goniewicz ML, Eisner MD, Lazcano-Ponce E, Zielinska-Danch W, Koszowski B, Sobczak A, Havel C, Jacob P, Benowitz NL: </w:t>
      </w:r>
      <w:r w:rsidRPr="00C503A5">
        <w:rPr>
          <w:b/>
        </w:rPr>
        <w:t>Comparison of urine cotinine and the tobacco-specific nitrosamine metabolite 4-(methylnitrosamino)-1-(3-pyridyl)-1-butanol (NNAL) and their ratio to discriminate active from passive smoking</w:t>
      </w:r>
      <w:r w:rsidRPr="00C503A5">
        <w:t xml:space="preserve">. </w:t>
      </w:r>
      <w:r w:rsidRPr="00C503A5">
        <w:rPr>
          <w:i/>
        </w:rPr>
        <w:t xml:space="preserve">Nicotine &amp; Tobacco Research </w:t>
      </w:r>
      <w:r w:rsidRPr="00C503A5">
        <w:t xml:space="preserve">2011, </w:t>
      </w:r>
      <w:r w:rsidRPr="00C503A5">
        <w:rPr>
          <w:b/>
        </w:rPr>
        <w:t>13</w:t>
      </w:r>
      <w:r w:rsidRPr="00C503A5">
        <w:t>(3):202-208.</w:t>
      </w:r>
    </w:p>
    <w:p w14:paraId="1C7A18B2" w14:textId="77777777" w:rsidR="00C503A5" w:rsidRPr="00C503A5" w:rsidRDefault="00C503A5" w:rsidP="00C503A5">
      <w:pPr>
        <w:pStyle w:val="EndNoteBibliography"/>
        <w:spacing w:after="0"/>
        <w:ind w:left="720" w:hanging="720"/>
      </w:pPr>
      <w:r w:rsidRPr="00C503A5">
        <w:t>5.</w:t>
      </w:r>
      <w:r w:rsidRPr="00C503A5">
        <w:tab/>
        <w:t xml:space="preserve">Goniewicz ML, Havel CM, Peng MW, Jacob III P, Dempsey D, Yu L, Zielinska-Danch W, Koszowski B, Czogala J, Sobczak A: </w:t>
      </w:r>
      <w:r w:rsidRPr="00C503A5">
        <w:rPr>
          <w:b/>
        </w:rPr>
        <w:t>Elimination kinetics of the tobacco-specific biomarker and lung carcinogen 4-(methylnitrosamino)-1-(3-pyridyl)-1-butanol</w:t>
      </w:r>
      <w:r w:rsidRPr="00C503A5">
        <w:t xml:space="preserve">. </w:t>
      </w:r>
      <w:r w:rsidRPr="00C503A5">
        <w:rPr>
          <w:i/>
        </w:rPr>
        <w:t xml:space="preserve">Cancer epidemiology, biomarkers &amp; prevention </w:t>
      </w:r>
      <w:r w:rsidRPr="00C503A5">
        <w:t xml:space="preserve">2009, </w:t>
      </w:r>
      <w:r w:rsidRPr="00C503A5">
        <w:rPr>
          <w:b/>
        </w:rPr>
        <w:t>18</w:t>
      </w:r>
      <w:r w:rsidRPr="00C503A5">
        <w:t>(12):3421-3425.</w:t>
      </w:r>
    </w:p>
    <w:p w14:paraId="0EADB5AE" w14:textId="77777777" w:rsidR="00C503A5" w:rsidRPr="00C503A5" w:rsidRDefault="00C503A5" w:rsidP="00C503A5">
      <w:pPr>
        <w:pStyle w:val="EndNoteBibliography"/>
        <w:spacing w:after="0"/>
        <w:ind w:left="720" w:hanging="720"/>
      </w:pPr>
      <w:r w:rsidRPr="00C503A5">
        <w:t>6.</w:t>
      </w:r>
      <w:r w:rsidRPr="00C503A5">
        <w:tab/>
        <w:t xml:space="preserve">Lee H-S: </w:t>
      </w:r>
      <w:r w:rsidRPr="00C503A5">
        <w:rPr>
          <w:b/>
        </w:rPr>
        <w:t>Diagnostic Performance Evaluation of the Novel Index Combining Urinary Cotinine and 4-(Methylnitrosamino)-1-(3-pyridyl)-1-butanol in Smoking Status Verification and Usefulness for Trend Monitoring of Tobacco Smoking Exposure</w:t>
      </w:r>
      <w:r w:rsidRPr="00C503A5">
        <w:t xml:space="preserve">. </w:t>
      </w:r>
      <w:r w:rsidRPr="00C503A5">
        <w:rPr>
          <w:i/>
        </w:rPr>
        <w:t xml:space="preserve">International Journal of Environmental Research and Public Health </w:t>
      </w:r>
      <w:r w:rsidRPr="00C503A5">
        <w:t xml:space="preserve">2022, </w:t>
      </w:r>
      <w:r w:rsidRPr="00C503A5">
        <w:rPr>
          <w:b/>
        </w:rPr>
        <w:t>19</w:t>
      </w:r>
      <w:r w:rsidRPr="00C503A5">
        <w:t>(19):12147.</w:t>
      </w:r>
    </w:p>
    <w:p w14:paraId="326943AE" w14:textId="77777777" w:rsidR="00C503A5" w:rsidRPr="00C503A5" w:rsidRDefault="00C503A5" w:rsidP="00C503A5">
      <w:pPr>
        <w:pStyle w:val="EndNoteBibliography"/>
        <w:spacing w:after="0"/>
        <w:ind w:left="720" w:hanging="720"/>
      </w:pPr>
      <w:r w:rsidRPr="00C503A5">
        <w:t>7.</w:t>
      </w:r>
      <w:r w:rsidRPr="00C503A5">
        <w:tab/>
        <w:t xml:space="preserve">Jung SJ, Shin A, Kang D: </w:t>
      </w:r>
      <w:r w:rsidRPr="00C503A5">
        <w:rPr>
          <w:b/>
        </w:rPr>
        <w:t xml:space="preserve">Active smoking and exposure to secondhand smoke and their relationship to depressive symptoms in the Korea national health and </w:t>
      </w:r>
      <w:r w:rsidRPr="00C503A5">
        <w:rPr>
          <w:b/>
        </w:rPr>
        <w:lastRenderedPageBreak/>
        <w:t>nutrition examination survey (KNHANES)</w:t>
      </w:r>
      <w:r w:rsidRPr="00C503A5">
        <w:t xml:space="preserve">. </w:t>
      </w:r>
      <w:r w:rsidRPr="00C503A5">
        <w:rPr>
          <w:i/>
        </w:rPr>
        <w:t xml:space="preserve">BMC Public Health </w:t>
      </w:r>
      <w:r w:rsidRPr="00C503A5">
        <w:t xml:space="preserve">2015, </w:t>
      </w:r>
      <w:r w:rsidRPr="00C503A5">
        <w:rPr>
          <w:b/>
        </w:rPr>
        <w:t>15</w:t>
      </w:r>
      <w:r w:rsidRPr="00C503A5">
        <w:t>(1):1-11.</w:t>
      </w:r>
    </w:p>
    <w:p w14:paraId="61E61B14" w14:textId="77777777" w:rsidR="00C503A5" w:rsidRPr="00C503A5" w:rsidRDefault="00C503A5" w:rsidP="00C503A5">
      <w:pPr>
        <w:pStyle w:val="EndNoteBibliography"/>
        <w:spacing w:after="0"/>
        <w:ind w:left="720" w:hanging="720"/>
      </w:pPr>
      <w:r w:rsidRPr="00C503A5">
        <w:t>8.</w:t>
      </w:r>
      <w:r w:rsidRPr="00C503A5">
        <w:tab/>
        <w:t xml:space="preserve">Jung-Chio K-H, Khang Y-H, Cho H-J: </w:t>
      </w:r>
      <w:r w:rsidRPr="00C503A5">
        <w:rPr>
          <w:b/>
        </w:rPr>
        <w:t>Hidden female smokers in Asia: a comparison of self-reported with cotinine-verified smoking prevalence rates in representative national data from an Asian population</w:t>
      </w:r>
      <w:r w:rsidRPr="00C503A5">
        <w:t xml:space="preserve">. </w:t>
      </w:r>
      <w:r w:rsidRPr="00C503A5">
        <w:rPr>
          <w:i/>
        </w:rPr>
        <w:t xml:space="preserve">Tobacco control </w:t>
      </w:r>
      <w:r w:rsidRPr="00C503A5">
        <w:t xml:space="preserve">2012, </w:t>
      </w:r>
      <w:r w:rsidRPr="00C503A5">
        <w:rPr>
          <w:b/>
        </w:rPr>
        <w:t>21</w:t>
      </w:r>
      <w:r w:rsidRPr="00C503A5">
        <w:t>(6):536-542.</w:t>
      </w:r>
    </w:p>
    <w:p w14:paraId="2A77C707" w14:textId="77777777" w:rsidR="00C503A5" w:rsidRPr="00C503A5" w:rsidRDefault="00C503A5" w:rsidP="00C503A5">
      <w:pPr>
        <w:pStyle w:val="EndNoteBibliography"/>
        <w:spacing w:after="0"/>
        <w:ind w:left="720" w:hanging="720"/>
      </w:pPr>
      <w:r w:rsidRPr="00C503A5">
        <w:t>9.</w:t>
      </w:r>
      <w:r w:rsidRPr="00C503A5">
        <w:tab/>
        <w:t xml:space="preserve">Park EY, Lim MK, Park E, Kim Y, Lee D, Oh K: </w:t>
      </w:r>
      <w:r w:rsidRPr="00C503A5">
        <w:rPr>
          <w:b/>
        </w:rPr>
        <w:t>Optimum Urine Cotinine and NNAL Levels to Distinguish Smokers from Non-Smokers by the Changes in Tobacco Control Policy in Korea from 2008 to 2018</w:t>
      </w:r>
      <w:r w:rsidRPr="00C503A5">
        <w:t xml:space="preserve">. </w:t>
      </w:r>
      <w:r w:rsidRPr="00C503A5">
        <w:rPr>
          <w:i/>
        </w:rPr>
        <w:t xml:space="preserve">Nicotine &amp; Tobacco Research </w:t>
      </w:r>
      <w:r w:rsidRPr="00C503A5">
        <w:t xml:space="preserve">2022, </w:t>
      </w:r>
      <w:r w:rsidRPr="00C503A5">
        <w:rPr>
          <w:b/>
        </w:rPr>
        <w:t>24</w:t>
      </w:r>
      <w:r w:rsidRPr="00C503A5">
        <w:t>(11):1821-1828.</w:t>
      </w:r>
    </w:p>
    <w:p w14:paraId="7D021589" w14:textId="77777777" w:rsidR="00C503A5" w:rsidRPr="00C503A5" w:rsidRDefault="00C503A5" w:rsidP="00C503A5">
      <w:pPr>
        <w:pStyle w:val="EndNoteBibliography"/>
        <w:spacing w:after="0"/>
        <w:ind w:left="720" w:hanging="720"/>
      </w:pPr>
      <w:r w:rsidRPr="00C503A5">
        <w:t>10.</w:t>
      </w:r>
      <w:r w:rsidRPr="00C503A5">
        <w:tab/>
        <w:t xml:space="preserve">He Y, Zhang G: </w:t>
      </w:r>
      <w:r w:rsidRPr="00C503A5">
        <w:rPr>
          <w:b/>
        </w:rPr>
        <w:t>Multiple Imputation of Missing Complex Survey Data using SAS®: A Brief Overview and An Example Based on the Research and Development Survey (RANDS)</w:t>
      </w:r>
      <w:r w:rsidRPr="00C503A5">
        <w:t>. 2023.</w:t>
      </w:r>
    </w:p>
    <w:p w14:paraId="6D6A3BAA" w14:textId="77777777" w:rsidR="00C503A5" w:rsidRPr="00C503A5" w:rsidRDefault="00C503A5" w:rsidP="00C503A5">
      <w:pPr>
        <w:pStyle w:val="EndNoteBibliography"/>
        <w:spacing w:after="0"/>
        <w:ind w:left="720" w:hanging="720"/>
      </w:pPr>
      <w:r w:rsidRPr="00C503A5">
        <w:t>11.</w:t>
      </w:r>
      <w:r w:rsidRPr="00C503A5">
        <w:tab/>
        <w:t xml:space="preserve">Liu Y, De A: </w:t>
      </w:r>
      <w:r w:rsidRPr="00C503A5">
        <w:rPr>
          <w:b/>
        </w:rPr>
        <w:t>Multiple imputation by fully conditional specification for dealing with missing data in a large epidemiologic study</w:t>
      </w:r>
      <w:r w:rsidRPr="00C503A5">
        <w:t xml:space="preserve">. </w:t>
      </w:r>
      <w:r w:rsidRPr="00C503A5">
        <w:rPr>
          <w:i/>
        </w:rPr>
        <w:t xml:space="preserve">International journal of statistics in medical research </w:t>
      </w:r>
      <w:r w:rsidRPr="00C503A5">
        <w:t xml:space="preserve">2015, </w:t>
      </w:r>
      <w:r w:rsidRPr="00C503A5">
        <w:rPr>
          <w:b/>
        </w:rPr>
        <w:t>4</w:t>
      </w:r>
      <w:r w:rsidRPr="00C503A5">
        <w:t>(3):287.</w:t>
      </w:r>
    </w:p>
    <w:p w14:paraId="3208FF9A" w14:textId="77777777" w:rsidR="00C503A5" w:rsidRPr="00C503A5" w:rsidRDefault="00C503A5" w:rsidP="00C503A5">
      <w:pPr>
        <w:pStyle w:val="EndNoteBibliography"/>
        <w:spacing w:after="0"/>
        <w:ind w:left="720" w:hanging="720"/>
      </w:pPr>
      <w:r w:rsidRPr="00C503A5">
        <w:t>12.</w:t>
      </w:r>
      <w:r w:rsidRPr="00C503A5">
        <w:tab/>
        <w:t xml:space="preserve">Berglund P: </w:t>
      </w:r>
      <w:r w:rsidRPr="00C503A5">
        <w:rPr>
          <w:b/>
        </w:rPr>
        <w:t>Multiple imputation using the fully conditional specification method: a comparison of SAS®, Stata, IVEware, and R</w:t>
      </w:r>
      <w:r w:rsidRPr="00C503A5">
        <w:t xml:space="preserve">. </w:t>
      </w:r>
      <w:r w:rsidRPr="00C503A5">
        <w:rPr>
          <w:i/>
        </w:rPr>
        <w:t xml:space="preserve">Proceedings of the SAS Global Forum 2015 Conference </w:t>
      </w:r>
      <w:r w:rsidRPr="00C503A5">
        <w:t>2015:2081-2015.</w:t>
      </w:r>
    </w:p>
    <w:p w14:paraId="7954D0B9" w14:textId="77777777" w:rsidR="00C503A5" w:rsidRPr="00C503A5" w:rsidRDefault="00C503A5" w:rsidP="00C503A5">
      <w:pPr>
        <w:pStyle w:val="EndNoteBibliography"/>
        <w:ind w:left="720" w:hanging="720"/>
      </w:pPr>
      <w:r w:rsidRPr="00C503A5">
        <w:t>13.</w:t>
      </w:r>
      <w:r w:rsidRPr="00C503A5">
        <w:tab/>
        <w:t xml:space="preserve">Gautier C, Charpin D: </w:t>
      </w:r>
      <w:r w:rsidRPr="00C503A5">
        <w:rPr>
          <w:b/>
        </w:rPr>
        <w:t>Environmental triggers and avoidance in the management of asthma</w:t>
      </w:r>
      <w:r w:rsidRPr="00C503A5">
        <w:t xml:space="preserve">. </w:t>
      </w:r>
      <w:r w:rsidRPr="00C503A5">
        <w:rPr>
          <w:i/>
        </w:rPr>
        <w:t xml:space="preserve">Journal of asthma and allergy </w:t>
      </w:r>
      <w:r w:rsidRPr="00C503A5">
        <w:t>2017:47-56.</w:t>
      </w:r>
    </w:p>
    <w:p w14:paraId="43CDE889" w14:textId="1E42877F" w:rsidR="00FD75BF" w:rsidRPr="00FD75BF" w:rsidRDefault="00DF48B7" w:rsidP="002B71C4">
      <w:pPr>
        <w:widowControl/>
        <w:wordWrap/>
        <w:autoSpaceDE/>
        <w:autoSpaceDN/>
        <w:spacing w:after="0" w:line="480" w:lineRule="auto"/>
        <w:rPr>
          <w:rFonts w:ascii="Times New Roman" w:hAnsi="Times New Roman" w:cs="Times New Roman"/>
          <w:sz w:val="24"/>
          <w:szCs w:val="24"/>
          <w:lang w:val="en-GB"/>
        </w:rPr>
      </w:pPr>
      <w:r w:rsidRPr="008404B8">
        <w:rPr>
          <w:rFonts w:ascii="Times New Roman" w:hAnsi="Times New Roman" w:cs="Times New Roman"/>
          <w:sz w:val="24"/>
          <w:szCs w:val="24"/>
          <w:lang w:val="en-GB"/>
        </w:rPr>
        <w:fldChar w:fldCharType="end"/>
      </w:r>
    </w:p>
    <w:sectPr w:rsidR="00FD75BF" w:rsidRPr="00FD75BF">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4B1E2" w14:textId="77777777" w:rsidR="008B2307" w:rsidRDefault="008B2307" w:rsidP="00DF48B7">
      <w:pPr>
        <w:spacing w:after="0" w:line="240" w:lineRule="auto"/>
      </w:pPr>
      <w:r>
        <w:separator/>
      </w:r>
    </w:p>
  </w:endnote>
  <w:endnote w:type="continuationSeparator" w:id="0">
    <w:p w14:paraId="1E724D80" w14:textId="77777777" w:rsidR="008B2307" w:rsidRDefault="008B2307" w:rsidP="00DF4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굴림체">
    <w:panose1 w:val="020B0609000101010101"/>
    <w:charset w:val="81"/>
    <w:family w:val="moder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11704" w14:textId="77777777" w:rsidR="008B2307" w:rsidRDefault="008B2307" w:rsidP="00DF48B7">
      <w:pPr>
        <w:spacing w:after="0" w:line="240" w:lineRule="auto"/>
      </w:pPr>
      <w:r>
        <w:separator/>
      </w:r>
    </w:p>
  </w:footnote>
  <w:footnote w:type="continuationSeparator" w:id="0">
    <w:p w14:paraId="1B8ED221" w14:textId="77777777" w:rsidR="008B2307" w:rsidRDefault="008B2307" w:rsidP="00DF48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f220xfrd0fwav7ezwacvdtdzx992dpe5vsz9&quot;&gt;석사학위논문&lt;record-ids&gt;&lt;item&gt;20&lt;/item&gt;&lt;item&gt;21&lt;/item&gt;&lt;item&gt;22&lt;/item&gt;&lt;item&gt;45&lt;/item&gt;&lt;item&gt;46&lt;/item&gt;&lt;item&gt;49&lt;/item&gt;&lt;item&gt;56&lt;/item&gt;&lt;item&gt;65&lt;/item&gt;&lt;item&gt;68&lt;/item&gt;&lt;item&gt;69&lt;/item&gt;&lt;item&gt;70&lt;/item&gt;&lt;item&gt;71&lt;/item&gt;&lt;item&gt;88&lt;/item&gt;&lt;/record-ids&gt;&lt;/item&gt;&lt;/Libraries&gt;"/>
  </w:docVars>
  <w:rsids>
    <w:rsidRoot w:val="00A0310D"/>
    <w:rsid w:val="00044556"/>
    <w:rsid w:val="00071524"/>
    <w:rsid w:val="000927AD"/>
    <w:rsid w:val="000C01E2"/>
    <w:rsid w:val="000D3E62"/>
    <w:rsid w:val="000D7782"/>
    <w:rsid w:val="000E7693"/>
    <w:rsid w:val="00101676"/>
    <w:rsid w:val="001126CE"/>
    <w:rsid w:val="00112F9F"/>
    <w:rsid w:val="001556BF"/>
    <w:rsid w:val="001713E2"/>
    <w:rsid w:val="0017227B"/>
    <w:rsid w:val="001B0A37"/>
    <w:rsid w:val="001E4339"/>
    <w:rsid w:val="00294448"/>
    <w:rsid w:val="002B3F4A"/>
    <w:rsid w:val="002B71C4"/>
    <w:rsid w:val="002C03D3"/>
    <w:rsid w:val="002C2DEE"/>
    <w:rsid w:val="0038155D"/>
    <w:rsid w:val="003D4B28"/>
    <w:rsid w:val="003F3066"/>
    <w:rsid w:val="0042247E"/>
    <w:rsid w:val="00471A67"/>
    <w:rsid w:val="0047471B"/>
    <w:rsid w:val="004855D4"/>
    <w:rsid w:val="004D502F"/>
    <w:rsid w:val="004F7F2D"/>
    <w:rsid w:val="005061C2"/>
    <w:rsid w:val="00565892"/>
    <w:rsid w:val="0058181A"/>
    <w:rsid w:val="005B342D"/>
    <w:rsid w:val="00614807"/>
    <w:rsid w:val="00630876"/>
    <w:rsid w:val="006B0FDA"/>
    <w:rsid w:val="006D5D11"/>
    <w:rsid w:val="007635A2"/>
    <w:rsid w:val="00776687"/>
    <w:rsid w:val="00787E1D"/>
    <w:rsid w:val="007A2703"/>
    <w:rsid w:val="007B300A"/>
    <w:rsid w:val="008404B8"/>
    <w:rsid w:val="008458E7"/>
    <w:rsid w:val="00857FF3"/>
    <w:rsid w:val="008B2307"/>
    <w:rsid w:val="008F7A02"/>
    <w:rsid w:val="00930C86"/>
    <w:rsid w:val="00965074"/>
    <w:rsid w:val="00986F01"/>
    <w:rsid w:val="009C4161"/>
    <w:rsid w:val="00A0310D"/>
    <w:rsid w:val="00A17E89"/>
    <w:rsid w:val="00A242A3"/>
    <w:rsid w:val="00A95DC6"/>
    <w:rsid w:val="00AE468E"/>
    <w:rsid w:val="00AE4A51"/>
    <w:rsid w:val="00B11069"/>
    <w:rsid w:val="00B46BCF"/>
    <w:rsid w:val="00C159C5"/>
    <w:rsid w:val="00C17FBA"/>
    <w:rsid w:val="00C201AE"/>
    <w:rsid w:val="00C371AD"/>
    <w:rsid w:val="00C41A0B"/>
    <w:rsid w:val="00C503A5"/>
    <w:rsid w:val="00C52E9A"/>
    <w:rsid w:val="00C574DE"/>
    <w:rsid w:val="00CB694A"/>
    <w:rsid w:val="00CE11D8"/>
    <w:rsid w:val="00CF5C02"/>
    <w:rsid w:val="00D43C14"/>
    <w:rsid w:val="00D61F44"/>
    <w:rsid w:val="00DF48B7"/>
    <w:rsid w:val="00E168D0"/>
    <w:rsid w:val="00E446CC"/>
    <w:rsid w:val="00E53DE8"/>
    <w:rsid w:val="00E6388F"/>
    <w:rsid w:val="00EE0DBF"/>
    <w:rsid w:val="00EF4199"/>
    <w:rsid w:val="00F212A3"/>
    <w:rsid w:val="00F74C79"/>
    <w:rsid w:val="00F973BF"/>
    <w:rsid w:val="00FD75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79714"/>
  <w15:chartTrackingRefBased/>
  <w15:docId w15:val="{7EE710ED-2A33-42EE-BE21-D089DDB0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1C4"/>
    <w:pPr>
      <w:widowControl w:val="0"/>
      <w:wordWrap w:val="0"/>
      <w:autoSpaceDE w:val="0"/>
      <w:autoSpaceDN w:val="0"/>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48B7"/>
    <w:pPr>
      <w:tabs>
        <w:tab w:val="center" w:pos="4513"/>
        <w:tab w:val="right" w:pos="9026"/>
      </w:tabs>
      <w:snapToGrid w:val="0"/>
    </w:pPr>
  </w:style>
  <w:style w:type="character" w:customStyle="1" w:styleId="Char">
    <w:name w:val="머리글 Char"/>
    <w:basedOn w:val="a0"/>
    <w:link w:val="a3"/>
    <w:uiPriority w:val="99"/>
    <w:rsid w:val="00DF48B7"/>
  </w:style>
  <w:style w:type="paragraph" w:styleId="a4">
    <w:name w:val="footer"/>
    <w:basedOn w:val="a"/>
    <w:link w:val="Char0"/>
    <w:uiPriority w:val="99"/>
    <w:unhideWhenUsed/>
    <w:rsid w:val="00DF48B7"/>
    <w:pPr>
      <w:tabs>
        <w:tab w:val="center" w:pos="4513"/>
        <w:tab w:val="right" w:pos="9026"/>
      </w:tabs>
      <w:snapToGrid w:val="0"/>
    </w:pPr>
  </w:style>
  <w:style w:type="character" w:customStyle="1" w:styleId="Char0">
    <w:name w:val="바닥글 Char"/>
    <w:basedOn w:val="a0"/>
    <w:link w:val="a4"/>
    <w:uiPriority w:val="99"/>
    <w:rsid w:val="00DF48B7"/>
  </w:style>
  <w:style w:type="paragraph" w:customStyle="1" w:styleId="EndNoteBibliographyTitle">
    <w:name w:val="EndNote Bibliography Title"/>
    <w:basedOn w:val="a"/>
    <w:link w:val="EndNoteBibliographyTitleChar"/>
    <w:rsid w:val="00DF48B7"/>
    <w:pPr>
      <w:spacing w:after="0"/>
      <w:jc w:val="center"/>
    </w:pPr>
    <w:rPr>
      <w:rFonts w:ascii="Times New Roman" w:eastAsia="맑은 고딕" w:hAnsi="Times New Roman" w:cs="Times New Roman"/>
      <w:noProof/>
      <w:sz w:val="24"/>
    </w:rPr>
  </w:style>
  <w:style w:type="character" w:customStyle="1" w:styleId="EndNoteBibliographyTitleChar">
    <w:name w:val="EndNote Bibliography Title Char"/>
    <w:basedOn w:val="a0"/>
    <w:link w:val="EndNoteBibliographyTitle"/>
    <w:rsid w:val="00DF48B7"/>
    <w:rPr>
      <w:rFonts w:ascii="Times New Roman" w:eastAsia="맑은 고딕" w:hAnsi="Times New Roman" w:cs="Times New Roman"/>
      <w:noProof/>
      <w:sz w:val="24"/>
    </w:rPr>
  </w:style>
  <w:style w:type="paragraph" w:customStyle="1" w:styleId="EndNoteBibliography">
    <w:name w:val="EndNote Bibliography"/>
    <w:basedOn w:val="a"/>
    <w:link w:val="EndNoteBibliographyChar"/>
    <w:rsid w:val="00DF48B7"/>
    <w:pPr>
      <w:spacing w:line="480" w:lineRule="auto"/>
    </w:pPr>
    <w:rPr>
      <w:rFonts w:ascii="Times New Roman" w:eastAsia="맑은 고딕" w:hAnsi="Times New Roman" w:cs="Times New Roman"/>
      <w:noProof/>
      <w:sz w:val="24"/>
    </w:rPr>
  </w:style>
  <w:style w:type="character" w:customStyle="1" w:styleId="EndNoteBibliographyChar">
    <w:name w:val="EndNote Bibliography Char"/>
    <w:basedOn w:val="a0"/>
    <w:link w:val="EndNoteBibliography"/>
    <w:rsid w:val="00DF48B7"/>
    <w:rPr>
      <w:rFonts w:ascii="Times New Roman" w:eastAsia="맑은 고딕" w:hAnsi="Times New Roman" w:cs="Times New Roman"/>
      <w:noProof/>
      <w:sz w:val="24"/>
    </w:rPr>
  </w:style>
  <w:style w:type="paragraph" w:styleId="a5">
    <w:name w:val="Revision"/>
    <w:hidden/>
    <w:uiPriority w:val="99"/>
    <w:semiHidden/>
    <w:rsid w:val="00C52E9A"/>
    <w:pPr>
      <w:spacing w:after="0" w:line="240" w:lineRule="auto"/>
      <w:jc w:val="left"/>
    </w:pPr>
  </w:style>
  <w:style w:type="paragraph" w:styleId="HTML">
    <w:name w:val="HTML Preformatted"/>
    <w:basedOn w:val="a"/>
    <w:link w:val="HTMLChar"/>
    <w:uiPriority w:val="99"/>
    <w:semiHidden/>
    <w:unhideWhenUsed/>
    <w:rsid w:val="00E446CC"/>
    <w:rPr>
      <w:rFonts w:ascii="Courier New" w:hAnsi="Courier New" w:cs="Courier New"/>
      <w:szCs w:val="20"/>
    </w:rPr>
  </w:style>
  <w:style w:type="character" w:customStyle="1" w:styleId="HTMLChar">
    <w:name w:val="미리 서식이 지정된 HTML Char"/>
    <w:basedOn w:val="a0"/>
    <w:link w:val="HTML"/>
    <w:uiPriority w:val="99"/>
    <w:semiHidden/>
    <w:rsid w:val="00E446CC"/>
    <w:rPr>
      <w:rFonts w:ascii="Courier New" w:hAnsi="Courier New" w:cs="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8163">
      <w:bodyDiv w:val="1"/>
      <w:marLeft w:val="0"/>
      <w:marRight w:val="0"/>
      <w:marTop w:val="0"/>
      <w:marBottom w:val="0"/>
      <w:divBdr>
        <w:top w:val="none" w:sz="0" w:space="0" w:color="auto"/>
        <w:left w:val="none" w:sz="0" w:space="0" w:color="auto"/>
        <w:bottom w:val="none" w:sz="0" w:space="0" w:color="auto"/>
        <w:right w:val="none" w:sz="0" w:space="0" w:color="auto"/>
      </w:divBdr>
    </w:div>
    <w:div w:id="38089276">
      <w:bodyDiv w:val="1"/>
      <w:marLeft w:val="0"/>
      <w:marRight w:val="0"/>
      <w:marTop w:val="0"/>
      <w:marBottom w:val="0"/>
      <w:divBdr>
        <w:top w:val="none" w:sz="0" w:space="0" w:color="auto"/>
        <w:left w:val="none" w:sz="0" w:space="0" w:color="auto"/>
        <w:bottom w:val="none" w:sz="0" w:space="0" w:color="auto"/>
        <w:right w:val="none" w:sz="0" w:space="0" w:color="auto"/>
      </w:divBdr>
    </w:div>
    <w:div w:id="47841796">
      <w:bodyDiv w:val="1"/>
      <w:marLeft w:val="0"/>
      <w:marRight w:val="0"/>
      <w:marTop w:val="0"/>
      <w:marBottom w:val="0"/>
      <w:divBdr>
        <w:top w:val="none" w:sz="0" w:space="0" w:color="auto"/>
        <w:left w:val="none" w:sz="0" w:space="0" w:color="auto"/>
        <w:bottom w:val="none" w:sz="0" w:space="0" w:color="auto"/>
        <w:right w:val="none" w:sz="0" w:space="0" w:color="auto"/>
      </w:divBdr>
    </w:div>
    <w:div w:id="131675491">
      <w:bodyDiv w:val="1"/>
      <w:marLeft w:val="0"/>
      <w:marRight w:val="0"/>
      <w:marTop w:val="0"/>
      <w:marBottom w:val="0"/>
      <w:divBdr>
        <w:top w:val="none" w:sz="0" w:space="0" w:color="auto"/>
        <w:left w:val="none" w:sz="0" w:space="0" w:color="auto"/>
        <w:bottom w:val="none" w:sz="0" w:space="0" w:color="auto"/>
        <w:right w:val="none" w:sz="0" w:space="0" w:color="auto"/>
      </w:divBdr>
    </w:div>
    <w:div w:id="206919024">
      <w:bodyDiv w:val="1"/>
      <w:marLeft w:val="0"/>
      <w:marRight w:val="0"/>
      <w:marTop w:val="0"/>
      <w:marBottom w:val="0"/>
      <w:divBdr>
        <w:top w:val="none" w:sz="0" w:space="0" w:color="auto"/>
        <w:left w:val="none" w:sz="0" w:space="0" w:color="auto"/>
        <w:bottom w:val="none" w:sz="0" w:space="0" w:color="auto"/>
        <w:right w:val="none" w:sz="0" w:space="0" w:color="auto"/>
      </w:divBdr>
    </w:div>
    <w:div w:id="245655440">
      <w:bodyDiv w:val="1"/>
      <w:marLeft w:val="0"/>
      <w:marRight w:val="0"/>
      <w:marTop w:val="0"/>
      <w:marBottom w:val="0"/>
      <w:divBdr>
        <w:top w:val="none" w:sz="0" w:space="0" w:color="auto"/>
        <w:left w:val="none" w:sz="0" w:space="0" w:color="auto"/>
        <w:bottom w:val="none" w:sz="0" w:space="0" w:color="auto"/>
        <w:right w:val="none" w:sz="0" w:space="0" w:color="auto"/>
      </w:divBdr>
    </w:div>
    <w:div w:id="246617379">
      <w:bodyDiv w:val="1"/>
      <w:marLeft w:val="0"/>
      <w:marRight w:val="0"/>
      <w:marTop w:val="0"/>
      <w:marBottom w:val="0"/>
      <w:divBdr>
        <w:top w:val="none" w:sz="0" w:space="0" w:color="auto"/>
        <w:left w:val="none" w:sz="0" w:space="0" w:color="auto"/>
        <w:bottom w:val="none" w:sz="0" w:space="0" w:color="auto"/>
        <w:right w:val="none" w:sz="0" w:space="0" w:color="auto"/>
      </w:divBdr>
    </w:div>
    <w:div w:id="316494654">
      <w:bodyDiv w:val="1"/>
      <w:marLeft w:val="0"/>
      <w:marRight w:val="0"/>
      <w:marTop w:val="0"/>
      <w:marBottom w:val="0"/>
      <w:divBdr>
        <w:top w:val="none" w:sz="0" w:space="0" w:color="auto"/>
        <w:left w:val="none" w:sz="0" w:space="0" w:color="auto"/>
        <w:bottom w:val="none" w:sz="0" w:space="0" w:color="auto"/>
        <w:right w:val="none" w:sz="0" w:space="0" w:color="auto"/>
      </w:divBdr>
    </w:div>
    <w:div w:id="400064470">
      <w:bodyDiv w:val="1"/>
      <w:marLeft w:val="0"/>
      <w:marRight w:val="0"/>
      <w:marTop w:val="0"/>
      <w:marBottom w:val="0"/>
      <w:divBdr>
        <w:top w:val="none" w:sz="0" w:space="0" w:color="auto"/>
        <w:left w:val="none" w:sz="0" w:space="0" w:color="auto"/>
        <w:bottom w:val="none" w:sz="0" w:space="0" w:color="auto"/>
        <w:right w:val="none" w:sz="0" w:space="0" w:color="auto"/>
      </w:divBdr>
    </w:div>
    <w:div w:id="432019136">
      <w:bodyDiv w:val="1"/>
      <w:marLeft w:val="0"/>
      <w:marRight w:val="0"/>
      <w:marTop w:val="0"/>
      <w:marBottom w:val="0"/>
      <w:divBdr>
        <w:top w:val="none" w:sz="0" w:space="0" w:color="auto"/>
        <w:left w:val="none" w:sz="0" w:space="0" w:color="auto"/>
        <w:bottom w:val="none" w:sz="0" w:space="0" w:color="auto"/>
        <w:right w:val="none" w:sz="0" w:space="0" w:color="auto"/>
      </w:divBdr>
    </w:div>
    <w:div w:id="491799220">
      <w:bodyDiv w:val="1"/>
      <w:marLeft w:val="0"/>
      <w:marRight w:val="0"/>
      <w:marTop w:val="0"/>
      <w:marBottom w:val="0"/>
      <w:divBdr>
        <w:top w:val="none" w:sz="0" w:space="0" w:color="auto"/>
        <w:left w:val="none" w:sz="0" w:space="0" w:color="auto"/>
        <w:bottom w:val="none" w:sz="0" w:space="0" w:color="auto"/>
        <w:right w:val="none" w:sz="0" w:space="0" w:color="auto"/>
      </w:divBdr>
    </w:div>
    <w:div w:id="537470851">
      <w:bodyDiv w:val="1"/>
      <w:marLeft w:val="0"/>
      <w:marRight w:val="0"/>
      <w:marTop w:val="0"/>
      <w:marBottom w:val="0"/>
      <w:divBdr>
        <w:top w:val="none" w:sz="0" w:space="0" w:color="auto"/>
        <w:left w:val="none" w:sz="0" w:space="0" w:color="auto"/>
        <w:bottom w:val="none" w:sz="0" w:space="0" w:color="auto"/>
        <w:right w:val="none" w:sz="0" w:space="0" w:color="auto"/>
      </w:divBdr>
    </w:div>
    <w:div w:id="674649537">
      <w:bodyDiv w:val="1"/>
      <w:marLeft w:val="0"/>
      <w:marRight w:val="0"/>
      <w:marTop w:val="0"/>
      <w:marBottom w:val="0"/>
      <w:divBdr>
        <w:top w:val="none" w:sz="0" w:space="0" w:color="auto"/>
        <w:left w:val="none" w:sz="0" w:space="0" w:color="auto"/>
        <w:bottom w:val="none" w:sz="0" w:space="0" w:color="auto"/>
        <w:right w:val="none" w:sz="0" w:space="0" w:color="auto"/>
      </w:divBdr>
    </w:div>
    <w:div w:id="748113278">
      <w:bodyDiv w:val="1"/>
      <w:marLeft w:val="0"/>
      <w:marRight w:val="0"/>
      <w:marTop w:val="0"/>
      <w:marBottom w:val="0"/>
      <w:divBdr>
        <w:top w:val="none" w:sz="0" w:space="0" w:color="auto"/>
        <w:left w:val="none" w:sz="0" w:space="0" w:color="auto"/>
        <w:bottom w:val="none" w:sz="0" w:space="0" w:color="auto"/>
        <w:right w:val="none" w:sz="0" w:space="0" w:color="auto"/>
      </w:divBdr>
    </w:div>
    <w:div w:id="776827840">
      <w:bodyDiv w:val="1"/>
      <w:marLeft w:val="0"/>
      <w:marRight w:val="0"/>
      <w:marTop w:val="0"/>
      <w:marBottom w:val="0"/>
      <w:divBdr>
        <w:top w:val="none" w:sz="0" w:space="0" w:color="auto"/>
        <w:left w:val="none" w:sz="0" w:space="0" w:color="auto"/>
        <w:bottom w:val="none" w:sz="0" w:space="0" w:color="auto"/>
        <w:right w:val="none" w:sz="0" w:space="0" w:color="auto"/>
      </w:divBdr>
    </w:div>
    <w:div w:id="838159828">
      <w:bodyDiv w:val="1"/>
      <w:marLeft w:val="0"/>
      <w:marRight w:val="0"/>
      <w:marTop w:val="0"/>
      <w:marBottom w:val="0"/>
      <w:divBdr>
        <w:top w:val="none" w:sz="0" w:space="0" w:color="auto"/>
        <w:left w:val="none" w:sz="0" w:space="0" w:color="auto"/>
        <w:bottom w:val="none" w:sz="0" w:space="0" w:color="auto"/>
        <w:right w:val="none" w:sz="0" w:space="0" w:color="auto"/>
      </w:divBdr>
    </w:div>
    <w:div w:id="1042941536">
      <w:bodyDiv w:val="1"/>
      <w:marLeft w:val="0"/>
      <w:marRight w:val="0"/>
      <w:marTop w:val="0"/>
      <w:marBottom w:val="0"/>
      <w:divBdr>
        <w:top w:val="none" w:sz="0" w:space="0" w:color="auto"/>
        <w:left w:val="none" w:sz="0" w:space="0" w:color="auto"/>
        <w:bottom w:val="none" w:sz="0" w:space="0" w:color="auto"/>
        <w:right w:val="none" w:sz="0" w:space="0" w:color="auto"/>
      </w:divBdr>
    </w:div>
    <w:div w:id="1066992577">
      <w:bodyDiv w:val="1"/>
      <w:marLeft w:val="0"/>
      <w:marRight w:val="0"/>
      <w:marTop w:val="0"/>
      <w:marBottom w:val="0"/>
      <w:divBdr>
        <w:top w:val="none" w:sz="0" w:space="0" w:color="auto"/>
        <w:left w:val="none" w:sz="0" w:space="0" w:color="auto"/>
        <w:bottom w:val="none" w:sz="0" w:space="0" w:color="auto"/>
        <w:right w:val="none" w:sz="0" w:space="0" w:color="auto"/>
      </w:divBdr>
    </w:div>
    <w:div w:id="1228806219">
      <w:bodyDiv w:val="1"/>
      <w:marLeft w:val="0"/>
      <w:marRight w:val="0"/>
      <w:marTop w:val="0"/>
      <w:marBottom w:val="0"/>
      <w:divBdr>
        <w:top w:val="none" w:sz="0" w:space="0" w:color="auto"/>
        <w:left w:val="none" w:sz="0" w:space="0" w:color="auto"/>
        <w:bottom w:val="none" w:sz="0" w:space="0" w:color="auto"/>
        <w:right w:val="none" w:sz="0" w:space="0" w:color="auto"/>
      </w:divBdr>
    </w:div>
    <w:div w:id="1242108338">
      <w:bodyDiv w:val="1"/>
      <w:marLeft w:val="0"/>
      <w:marRight w:val="0"/>
      <w:marTop w:val="0"/>
      <w:marBottom w:val="0"/>
      <w:divBdr>
        <w:top w:val="none" w:sz="0" w:space="0" w:color="auto"/>
        <w:left w:val="none" w:sz="0" w:space="0" w:color="auto"/>
        <w:bottom w:val="none" w:sz="0" w:space="0" w:color="auto"/>
        <w:right w:val="none" w:sz="0" w:space="0" w:color="auto"/>
      </w:divBdr>
    </w:div>
    <w:div w:id="1289048801">
      <w:bodyDiv w:val="1"/>
      <w:marLeft w:val="0"/>
      <w:marRight w:val="0"/>
      <w:marTop w:val="0"/>
      <w:marBottom w:val="0"/>
      <w:divBdr>
        <w:top w:val="none" w:sz="0" w:space="0" w:color="auto"/>
        <w:left w:val="none" w:sz="0" w:space="0" w:color="auto"/>
        <w:bottom w:val="none" w:sz="0" w:space="0" w:color="auto"/>
        <w:right w:val="none" w:sz="0" w:space="0" w:color="auto"/>
      </w:divBdr>
    </w:div>
    <w:div w:id="1389953723">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56948364">
      <w:bodyDiv w:val="1"/>
      <w:marLeft w:val="0"/>
      <w:marRight w:val="0"/>
      <w:marTop w:val="0"/>
      <w:marBottom w:val="0"/>
      <w:divBdr>
        <w:top w:val="none" w:sz="0" w:space="0" w:color="auto"/>
        <w:left w:val="none" w:sz="0" w:space="0" w:color="auto"/>
        <w:bottom w:val="none" w:sz="0" w:space="0" w:color="auto"/>
        <w:right w:val="none" w:sz="0" w:space="0" w:color="auto"/>
      </w:divBdr>
    </w:div>
    <w:div w:id="1496796105">
      <w:bodyDiv w:val="1"/>
      <w:marLeft w:val="0"/>
      <w:marRight w:val="0"/>
      <w:marTop w:val="0"/>
      <w:marBottom w:val="0"/>
      <w:divBdr>
        <w:top w:val="none" w:sz="0" w:space="0" w:color="auto"/>
        <w:left w:val="none" w:sz="0" w:space="0" w:color="auto"/>
        <w:bottom w:val="none" w:sz="0" w:space="0" w:color="auto"/>
        <w:right w:val="none" w:sz="0" w:space="0" w:color="auto"/>
      </w:divBdr>
    </w:div>
    <w:div w:id="1543976713">
      <w:bodyDiv w:val="1"/>
      <w:marLeft w:val="0"/>
      <w:marRight w:val="0"/>
      <w:marTop w:val="0"/>
      <w:marBottom w:val="0"/>
      <w:divBdr>
        <w:top w:val="none" w:sz="0" w:space="0" w:color="auto"/>
        <w:left w:val="none" w:sz="0" w:space="0" w:color="auto"/>
        <w:bottom w:val="none" w:sz="0" w:space="0" w:color="auto"/>
        <w:right w:val="none" w:sz="0" w:space="0" w:color="auto"/>
      </w:divBdr>
    </w:div>
    <w:div w:id="1582712387">
      <w:bodyDiv w:val="1"/>
      <w:marLeft w:val="0"/>
      <w:marRight w:val="0"/>
      <w:marTop w:val="0"/>
      <w:marBottom w:val="0"/>
      <w:divBdr>
        <w:top w:val="none" w:sz="0" w:space="0" w:color="auto"/>
        <w:left w:val="none" w:sz="0" w:space="0" w:color="auto"/>
        <w:bottom w:val="none" w:sz="0" w:space="0" w:color="auto"/>
        <w:right w:val="none" w:sz="0" w:space="0" w:color="auto"/>
      </w:divBdr>
    </w:div>
    <w:div w:id="1609847392">
      <w:bodyDiv w:val="1"/>
      <w:marLeft w:val="0"/>
      <w:marRight w:val="0"/>
      <w:marTop w:val="0"/>
      <w:marBottom w:val="0"/>
      <w:divBdr>
        <w:top w:val="none" w:sz="0" w:space="0" w:color="auto"/>
        <w:left w:val="none" w:sz="0" w:space="0" w:color="auto"/>
        <w:bottom w:val="none" w:sz="0" w:space="0" w:color="auto"/>
        <w:right w:val="none" w:sz="0" w:space="0" w:color="auto"/>
      </w:divBdr>
    </w:div>
    <w:div w:id="1616868775">
      <w:bodyDiv w:val="1"/>
      <w:marLeft w:val="0"/>
      <w:marRight w:val="0"/>
      <w:marTop w:val="0"/>
      <w:marBottom w:val="0"/>
      <w:divBdr>
        <w:top w:val="none" w:sz="0" w:space="0" w:color="auto"/>
        <w:left w:val="none" w:sz="0" w:space="0" w:color="auto"/>
        <w:bottom w:val="none" w:sz="0" w:space="0" w:color="auto"/>
        <w:right w:val="none" w:sz="0" w:space="0" w:color="auto"/>
      </w:divBdr>
    </w:div>
    <w:div w:id="1650478730">
      <w:bodyDiv w:val="1"/>
      <w:marLeft w:val="0"/>
      <w:marRight w:val="0"/>
      <w:marTop w:val="0"/>
      <w:marBottom w:val="0"/>
      <w:divBdr>
        <w:top w:val="none" w:sz="0" w:space="0" w:color="auto"/>
        <w:left w:val="none" w:sz="0" w:space="0" w:color="auto"/>
        <w:bottom w:val="none" w:sz="0" w:space="0" w:color="auto"/>
        <w:right w:val="none" w:sz="0" w:space="0" w:color="auto"/>
      </w:divBdr>
    </w:div>
    <w:div w:id="1703091184">
      <w:bodyDiv w:val="1"/>
      <w:marLeft w:val="0"/>
      <w:marRight w:val="0"/>
      <w:marTop w:val="0"/>
      <w:marBottom w:val="0"/>
      <w:divBdr>
        <w:top w:val="none" w:sz="0" w:space="0" w:color="auto"/>
        <w:left w:val="none" w:sz="0" w:space="0" w:color="auto"/>
        <w:bottom w:val="none" w:sz="0" w:space="0" w:color="auto"/>
        <w:right w:val="none" w:sz="0" w:space="0" w:color="auto"/>
      </w:divBdr>
    </w:div>
    <w:div w:id="1770811828">
      <w:bodyDiv w:val="1"/>
      <w:marLeft w:val="0"/>
      <w:marRight w:val="0"/>
      <w:marTop w:val="0"/>
      <w:marBottom w:val="0"/>
      <w:divBdr>
        <w:top w:val="none" w:sz="0" w:space="0" w:color="auto"/>
        <w:left w:val="none" w:sz="0" w:space="0" w:color="auto"/>
        <w:bottom w:val="none" w:sz="0" w:space="0" w:color="auto"/>
        <w:right w:val="none" w:sz="0" w:space="0" w:color="auto"/>
      </w:divBdr>
    </w:div>
    <w:div w:id="1778788094">
      <w:bodyDiv w:val="1"/>
      <w:marLeft w:val="0"/>
      <w:marRight w:val="0"/>
      <w:marTop w:val="0"/>
      <w:marBottom w:val="0"/>
      <w:divBdr>
        <w:top w:val="none" w:sz="0" w:space="0" w:color="auto"/>
        <w:left w:val="none" w:sz="0" w:space="0" w:color="auto"/>
        <w:bottom w:val="none" w:sz="0" w:space="0" w:color="auto"/>
        <w:right w:val="none" w:sz="0" w:space="0" w:color="auto"/>
      </w:divBdr>
    </w:div>
    <w:div w:id="1824856731">
      <w:bodyDiv w:val="1"/>
      <w:marLeft w:val="0"/>
      <w:marRight w:val="0"/>
      <w:marTop w:val="0"/>
      <w:marBottom w:val="0"/>
      <w:divBdr>
        <w:top w:val="none" w:sz="0" w:space="0" w:color="auto"/>
        <w:left w:val="none" w:sz="0" w:space="0" w:color="auto"/>
        <w:bottom w:val="none" w:sz="0" w:space="0" w:color="auto"/>
        <w:right w:val="none" w:sz="0" w:space="0" w:color="auto"/>
      </w:divBdr>
    </w:div>
    <w:div w:id="1859197861">
      <w:bodyDiv w:val="1"/>
      <w:marLeft w:val="0"/>
      <w:marRight w:val="0"/>
      <w:marTop w:val="0"/>
      <w:marBottom w:val="0"/>
      <w:divBdr>
        <w:top w:val="none" w:sz="0" w:space="0" w:color="auto"/>
        <w:left w:val="none" w:sz="0" w:space="0" w:color="auto"/>
        <w:bottom w:val="none" w:sz="0" w:space="0" w:color="auto"/>
        <w:right w:val="none" w:sz="0" w:space="0" w:color="auto"/>
      </w:divBdr>
    </w:div>
    <w:div w:id="1886988631">
      <w:bodyDiv w:val="1"/>
      <w:marLeft w:val="0"/>
      <w:marRight w:val="0"/>
      <w:marTop w:val="0"/>
      <w:marBottom w:val="0"/>
      <w:divBdr>
        <w:top w:val="none" w:sz="0" w:space="0" w:color="auto"/>
        <w:left w:val="none" w:sz="0" w:space="0" w:color="auto"/>
        <w:bottom w:val="none" w:sz="0" w:space="0" w:color="auto"/>
        <w:right w:val="none" w:sz="0" w:space="0" w:color="auto"/>
      </w:divBdr>
    </w:div>
    <w:div w:id="1933857603">
      <w:bodyDiv w:val="1"/>
      <w:marLeft w:val="0"/>
      <w:marRight w:val="0"/>
      <w:marTop w:val="0"/>
      <w:marBottom w:val="0"/>
      <w:divBdr>
        <w:top w:val="none" w:sz="0" w:space="0" w:color="auto"/>
        <w:left w:val="none" w:sz="0" w:space="0" w:color="auto"/>
        <w:bottom w:val="none" w:sz="0" w:space="0" w:color="auto"/>
        <w:right w:val="none" w:sz="0" w:space="0" w:color="auto"/>
      </w:divBdr>
    </w:div>
    <w:div w:id="1935167241">
      <w:bodyDiv w:val="1"/>
      <w:marLeft w:val="0"/>
      <w:marRight w:val="0"/>
      <w:marTop w:val="0"/>
      <w:marBottom w:val="0"/>
      <w:divBdr>
        <w:top w:val="none" w:sz="0" w:space="0" w:color="auto"/>
        <w:left w:val="none" w:sz="0" w:space="0" w:color="auto"/>
        <w:bottom w:val="none" w:sz="0" w:space="0" w:color="auto"/>
        <w:right w:val="none" w:sz="0" w:space="0" w:color="auto"/>
      </w:divBdr>
    </w:div>
    <w:div w:id="1959682542">
      <w:bodyDiv w:val="1"/>
      <w:marLeft w:val="0"/>
      <w:marRight w:val="0"/>
      <w:marTop w:val="0"/>
      <w:marBottom w:val="0"/>
      <w:divBdr>
        <w:top w:val="none" w:sz="0" w:space="0" w:color="auto"/>
        <w:left w:val="none" w:sz="0" w:space="0" w:color="auto"/>
        <w:bottom w:val="none" w:sz="0" w:space="0" w:color="auto"/>
        <w:right w:val="none" w:sz="0" w:space="0" w:color="auto"/>
      </w:divBdr>
    </w:div>
    <w:div w:id="1979651944">
      <w:bodyDiv w:val="1"/>
      <w:marLeft w:val="0"/>
      <w:marRight w:val="0"/>
      <w:marTop w:val="0"/>
      <w:marBottom w:val="0"/>
      <w:divBdr>
        <w:top w:val="none" w:sz="0" w:space="0" w:color="auto"/>
        <w:left w:val="none" w:sz="0" w:space="0" w:color="auto"/>
        <w:bottom w:val="none" w:sz="0" w:space="0" w:color="auto"/>
        <w:right w:val="none" w:sz="0" w:space="0" w:color="auto"/>
      </w:divBdr>
    </w:div>
    <w:div w:id="2029595589">
      <w:bodyDiv w:val="1"/>
      <w:marLeft w:val="0"/>
      <w:marRight w:val="0"/>
      <w:marTop w:val="0"/>
      <w:marBottom w:val="0"/>
      <w:divBdr>
        <w:top w:val="none" w:sz="0" w:space="0" w:color="auto"/>
        <w:left w:val="none" w:sz="0" w:space="0" w:color="auto"/>
        <w:bottom w:val="none" w:sz="0" w:space="0" w:color="auto"/>
        <w:right w:val="none" w:sz="0" w:space="0" w:color="auto"/>
      </w:divBdr>
    </w:div>
    <w:div w:id="2081756772">
      <w:bodyDiv w:val="1"/>
      <w:marLeft w:val="0"/>
      <w:marRight w:val="0"/>
      <w:marTop w:val="0"/>
      <w:marBottom w:val="0"/>
      <w:divBdr>
        <w:top w:val="none" w:sz="0" w:space="0" w:color="auto"/>
        <w:left w:val="none" w:sz="0" w:space="0" w:color="auto"/>
        <w:bottom w:val="none" w:sz="0" w:space="0" w:color="auto"/>
        <w:right w:val="none" w:sz="0" w:space="0" w:color="auto"/>
      </w:divBdr>
    </w:div>
    <w:div w:id="2118284858">
      <w:bodyDiv w:val="1"/>
      <w:marLeft w:val="0"/>
      <w:marRight w:val="0"/>
      <w:marTop w:val="0"/>
      <w:marBottom w:val="0"/>
      <w:divBdr>
        <w:top w:val="none" w:sz="0" w:space="0" w:color="auto"/>
        <w:left w:val="none" w:sz="0" w:space="0" w:color="auto"/>
        <w:bottom w:val="none" w:sz="0" w:space="0" w:color="auto"/>
        <w:right w:val="none" w:sz="0" w:space="0" w:color="auto"/>
      </w:divBdr>
    </w:div>
    <w:div w:id="213190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4391</Words>
  <Characters>25030</Characters>
  <Application>Microsoft Office Word</Application>
  <DocSecurity>0</DocSecurity>
  <Lines>208</Lines>
  <Paragraphs>58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이동규(예방의학교실)</dc:creator>
  <cp:keywords/>
  <dc:description/>
  <cp:lastModifiedBy>이동규 (예방의학교실)</cp:lastModifiedBy>
  <cp:revision>4</cp:revision>
  <dcterms:created xsi:type="dcterms:W3CDTF">2025-05-08T07:41:00Z</dcterms:created>
  <dcterms:modified xsi:type="dcterms:W3CDTF">2025-06-19T02:28:00Z</dcterms:modified>
</cp:coreProperties>
</file>