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7529" w14:textId="67B5EB38" w:rsidR="00AB1648" w:rsidRPr="00AB1648" w:rsidRDefault="00AB1648" w:rsidP="00AB1648">
      <w:pPr>
        <w:spacing w:line="240" w:lineRule="auto"/>
        <w:jc w:val="center"/>
        <w:rPr>
          <w:rFonts w:ascii="Arial" w:eastAsiaTheme="minorHAnsi" w:hAnsi="Arial" w:cs="Arial"/>
          <w:kern w:val="2"/>
          <w:sz w:val="36"/>
          <w:szCs w:val="36"/>
          <w:lang w:eastAsia="en-US"/>
          <w14:ligatures w14:val="standardContextual"/>
        </w:rPr>
      </w:pPr>
      <w:bookmarkStart w:id="0" w:name="_Hlk165365222"/>
      <w:bookmarkStart w:id="1" w:name="_Hlk152167798"/>
      <w:bookmarkStart w:id="2" w:name="_Hlk204273100"/>
      <w:r w:rsidRPr="00AB1648">
        <w:rPr>
          <w:rFonts w:ascii="Arial" w:eastAsiaTheme="minorHAnsi" w:hAnsi="Arial" w:cs="Arial"/>
          <w:kern w:val="2"/>
          <w:sz w:val="36"/>
          <w:szCs w:val="36"/>
          <w:lang w:eastAsia="en-US"/>
          <w14:ligatures w14:val="standardContextual"/>
        </w:rPr>
        <w:t>Wearable</w:t>
      </w:r>
      <w:r>
        <w:rPr>
          <w:rFonts w:ascii="Arial" w:eastAsiaTheme="minorHAnsi" w:hAnsi="Arial" w:cs="Arial"/>
          <w:kern w:val="2"/>
          <w:sz w:val="36"/>
          <w:szCs w:val="36"/>
          <w:lang w:eastAsia="en-US"/>
          <w14:ligatures w14:val="standardContextual"/>
        </w:rPr>
        <w:t xml:space="preserve"> device-based</w:t>
      </w:r>
      <w:r w:rsidRPr="00AB1648">
        <w:rPr>
          <w:rFonts w:ascii="Arial" w:eastAsiaTheme="minorHAnsi" w:hAnsi="Arial" w:cs="Arial"/>
          <w:kern w:val="2"/>
          <w:sz w:val="36"/>
          <w:szCs w:val="36"/>
          <w:lang w:eastAsia="en-US"/>
          <w14:ligatures w14:val="standardContextual"/>
        </w:rPr>
        <w:t xml:space="preserve"> interventions</w:t>
      </w:r>
    </w:p>
    <w:p w14:paraId="181659D3" w14:textId="77777777" w:rsidR="00AB1648" w:rsidRPr="00AB1648" w:rsidRDefault="00AB1648" w:rsidP="00AB1648">
      <w:pPr>
        <w:spacing w:line="240" w:lineRule="auto"/>
        <w:jc w:val="center"/>
        <w:rPr>
          <w:rFonts w:ascii="Arial" w:eastAsiaTheme="minorHAnsi" w:hAnsi="Arial" w:cs="Arial"/>
          <w:kern w:val="2"/>
          <w:sz w:val="36"/>
          <w:szCs w:val="36"/>
          <w:lang w:eastAsia="en-US"/>
          <w14:ligatures w14:val="standardContextual"/>
        </w:rPr>
      </w:pPr>
      <w:r w:rsidRPr="00AB1648">
        <w:rPr>
          <w:rFonts w:ascii="Arial" w:eastAsiaTheme="minorHAnsi" w:hAnsi="Arial" w:cs="Arial"/>
          <w:kern w:val="2"/>
          <w:sz w:val="36"/>
          <w:szCs w:val="36"/>
          <w:lang w:eastAsia="en-US"/>
          <w14:ligatures w14:val="standardContextual"/>
        </w:rPr>
        <w:t xml:space="preserve">in heat-exposed outdoor workers </w:t>
      </w:r>
      <w:bookmarkEnd w:id="0"/>
      <w:r w:rsidRPr="00AB1648">
        <w:rPr>
          <w:rFonts w:ascii="Arial" w:eastAsiaTheme="minorHAnsi" w:hAnsi="Arial" w:cs="Arial"/>
          <w:kern w:val="2"/>
          <w:sz w:val="36"/>
          <w:szCs w:val="36"/>
          <w:lang w:eastAsia="en-US"/>
          <w14:ligatures w14:val="standardContextual"/>
        </w:rPr>
        <w:t>– A scoping review</w:t>
      </w:r>
      <w:bookmarkEnd w:id="1"/>
      <w:r w:rsidRPr="00AB1648">
        <w:rPr>
          <w:rFonts w:ascii="Arial" w:eastAsiaTheme="minorHAnsi" w:hAnsi="Arial" w:cs="Arial"/>
          <w:kern w:val="2"/>
          <w:sz w:val="36"/>
          <w:szCs w:val="36"/>
          <w:lang w:eastAsia="en-US"/>
          <w14:ligatures w14:val="standardContextual"/>
        </w:rPr>
        <w:t xml:space="preserve"> and an explanatory intervention model</w:t>
      </w:r>
    </w:p>
    <w:p w14:paraId="2C80A269" w14:textId="77777777" w:rsidR="00AB1648" w:rsidRPr="00AB1648" w:rsidRDefault="00AB1648" w:rsidP="00AB1648">
      <w:pPr>
        <w:spacing w:line="240" w:lineRule="auto"/>
        <w:rPr>
          <w:rFonts w:ascii="Arial" w:eastAsiaTheme="minorHAnsi" w:hAnsi="Arial" w:cs="Arial"/>
          <w:caps/>
          <w:kern w:val="2"/>
          <w:szCs w:val="22"/>
          <w:lang w:eastAsia="en-US"/>
          <w14:ligatures w14:val="standardContextual"/>
        </w:rPr>
      </w:pPr>
    </w:p>
    <w:p w14:paraId="5DE356CE" w14:textId="77777777" w:rsidR="00AB1648" w:rsidRPr="00AB1648" w:rsidRDefault="00AB1648" w:rsidP="00AB1648">
      <w:pPr>
        <w:spacing w:line="240" w:lineRule="auto"/>
        <w:jc w:val="center"/>
        <w:rPr>
          <w:rFonts w:ascii="Arial" w:eastAsiaTheme="minorHAnsi" w:hAnsi="Arial" w:cs="Arial"/>
          <w:kern w:val="2"/>
          <w:szCs w:val="22"/>
          <w:lang w:eastAsia="en-US"/>
          <w14:ligatures w14:val="standardContextual"/>
        </w:rPr>
      </w:pPr>
      <w:bookmarkStart w:id="3" w:name="_Hlk152230788"/>
      <w:r w:rsidRPr="00AB1648">
        <w:rPr>
          <w:rFonts w:ascii="Arial" w:eastAsiaTheme="minorHAnsi" w:hAnsi="Arial" w:cs="Arial"/>
          <w:kern w:val="2"/>
          <w:szCs w:val="22"/>
          <w:lang w:eastAsia="en-US"/>
          <w14:ligatures w14:val="standardContextual"/>
        </w:rPr>
        <w:t>Julian Friedrich</w:t>
      </w:r>
      <w:r w:rsidRPr="00AB1648">
        <w:rPr>
          <w:rFonts w:ascii="Arial" w:eastAsiaTheme="minorHAnsi" w:hAnsi="Arial" w:cs="Arial"/>
          <w:kern w:val="2"/>
          <w:szCs w:val="22"/>
          <w:vertAlign w:val="superscript"/>
          <w:lang w:eastAsia="en-US"/>
          <w14:ligatures w14:val="standardContextual"/>
        </w:rPr>
        <w:t>1</w:t>
      </w:r>
      <w:r w:rsidRPr="00AB1648">
        <w:rPr>
          <w:rFonts w:ascii="Arial" w:eastAsiaTheme="minorHAnsi" w:hAnsi="Arial" w:cs="Arial"/>
          <w:kern w:val="2"/>
          <w:szCs w:val="22"/>
          <w:lang w:eastAsia="en-US"/>
          <w14:ligatures w14:val="standardContextual"/>
        </w:rPr>
        <w:t>*, Teresa S. Schick</w:t>
      </w:r>
      <w:r w:rsidRPr="00AB1648">
        <w:rPr>
          <w:rFonts w:ascii="Arial" w:eastAsiaTheme="minorHAnsi" w:hAnsi="Arial" w:cs="Arial"/>
          <w:kern w:val="2"/>
          <w:szCs w:val="22"/>
          <w:vertAlign w:val="superscript"/>
          <w:lang w:eastAsia="en-US"/>
          <w14:ligatures w14:val="standardContextual"/>
        </w:rPr>
        <w:t>1</w:t>
      </w:r>
      <w:r w:rsidRPr="00AB1648">
        <w:rPr>
          <w:rFonts w:ascii="Arial" w:eastAsiaTheme="minorHAnsi" w:hAnsi="Arial" w:cs="Arial"/>
          <w:kern w:val="2"/>
          <w:szCs w:val="22"/>
          <w:lang w:eastAsia="en-US"/>
          <w14:ligatures w14:val="standardContextual"/>
        </w:rPr>
        <w:t>, Filip Mess</w:t>
      </w:r>
      <w:r w:rsidRPr="00AB1648">
        <w:rPr>
          <w:rFonts w:ascii="Arial" w:eastAsiaTheme="minorHAnsi" w:hAnsi="Arial" w:cs="Arial"/>
          <w:kern w:val="2"/>
          <w:szCs w:val="22"/>
          <w:vertAlign w:val="superscript"/>
          <w:lang w:eastAsia="en-US"/>
          <w14:ligatures w14:val="standardContextual"/>
        </w:rPr>
        <w:t>1</w:t>
      </w:r>
      <w:r w:rsidRPr="00AB1648">
        <w:rPr>
          <w:rFonts w:ascii="Arial" w:eastAsiaTheme="minorHAnsi" w:hAnsi="Arial" w:cs="Arial"/>
          <w:kern w:val="2"/>
          <w:szCs w:val="22"/>
          <w:lang w:eastAsia="en-US"/>
          <w14:ligatures w14:val="standardContextual"/>
        </w:rPr>
        <w:t>, Simon Blaschke</w:t>
      </w:r>
      <w:r w:rsidRPr="00AB1648">
        <w:rPr>
          <w:rFonts w:ascii="Arial" w:eastAsiaTheme="minorHAnsi" w:hAnsi="Arial" w:cs="Arial"/>
          <w:kern w:val="2"/>
          <w:szCs w:val="22"/>
          <w:vertAlign w:val="superscript"/>
          <w:lang w:eastAsia="en-US"/>
          <w14:ligatures w14:val="standardContextual"/>
        </w:rPr>
        <w:t>1</w:t>
      </w:r>
      <w:r w:rsidRPr="00AB1648">
        <w:rPr>
          <w:rFonts w:ascii="Arial" w:eastAsiaTheme="minorHAnsi" w:hAnsi="Arial" w:cs="Arial"/>
          <w:kern w:val="2"/>
          <w:szCs w:val="22"/>
          <w:lang w:eastAsia="en-US"/>
          <w14:ligatures w14:val="standardContextual"/>
        </w:rPr>
        <w:t>*</w:t>
      </w:r>
      <w:bookmarkEnd w:id="3"/>
    </w:p>
    <w:p w14:paraId="758613AB" w14:textId="77777777" w:rsidR="00AB1648" w:rsidRPr="00AB1648" w:rsidRDefault="00AB1648" w:rsidP="00AB1648">
      <w:pPr>
        <w:spacing w:line="240" w:lineRule="auto"/>
        <w:jc w:val="center"/>
        <w:rPr>
          <w:rFonts w:ascii="Arial" w:eastAsiaTheme="minorHAnsi" w:hAnsi="Arial" w:cs="Arial"/>
          <w:kern w:val="2"/>
          <w:szCs w:val="22"/>
          <w:lang w:eastAsia="en-US"/>
          <w14:ligatures w14:val="standardContextual"/>
        </w:rPr>
      </w:pPr>
    </w:p>
    <w:p w14:paraId="33AD8A79" w14:textId="77777777" w:rsidR="00AB1648" w:rsidRPr="00AB1648" w:rsidRDefault="00AB1648" w:rsidP="00AB1648">
      <w:pPr>
        <w:spacing w:line="240" w:lineRule="auto"/>
        <w:jc w:val="center"/>
        <w:rPr>
          <w:rFonts w:ascii="Arial" w:eastAsiaTheme="minorHAnsi" w:hAnsi="Arial" w:cs="Arial"/>
          <w:kern w:val="2"/>
          <w:szCs w:val="22"/>
          <w:lang w:eastAsia="en-US"/>
          <w14:ligatures w14:val="standardContextual"/>
        </w:rPr>
      </w:pPr>
      <w:r w:rsidRPr="00AB1648">
        <w:rPr>
          <w:rFonts w:ascii="Arial" w:eastAsiaTheme="minorHAnsi" w:hAnsi="Arial" w:cs="Arial"/>
          <w:kern w:val="2"/>
          <w:szCs w:val="22"/>
          <w:vertAlign w:val="superscript"/>
          <w:lang w:eastAsia="en-US"/>
          <w14:ligatures w14:val="standardContextual"/>
        </w:rPr>
        <w:t>1</w:t>
      </w:r>
      <w:r w:rsidRPr="00AB1648">
        <w:rPr>
          <w:rFonts w:ascii="Arial" w:eastAsiaTheme="minorHAnsi" w:hAnsi="Arial" w:cs="Arial"/>
          <w:kern w:val="2"/>
          <w:szCs w:val="22"/>
          <w:lang w:eastAsia="en-US"/>
          <w14:ligatures w14:val="standardContextual"/>
        </w:rPr>
        <w:t>Technical University of Munich, TUM School of Medicine and Health, Department of Health and Sports Sciences, Munich, Germany</w:t>
      </w:r>
    </w:p>
    <w:p w14:paraId="23A60778" w14:textId="77777777" w:rsidR="00AB1648" w:rsidRPr="00AB1648" w:rsidRDefault="00AB1648" w:rsidP="00AB1648">
      <w:pPr>
        <w:spacing w:line="240" w:lineRule="auto"/>
        <w:jc w:val="center"/>
        <w:rPr>
          <w:rFonts w:ascii="Arial" w:eastAsiaTheme="minorHAnsi" w:hAnsi="Arial" w:cs="Arial"/>
          <w:kern w:val="2"/>
          <w:szCs w:val="22"/>
          <w:lang w:eastAsia="en-US"/>
          <w14:ligatures w14:val="standardContextual"/>
        </w:rPr>
      </w:pPr>
    </w:p>
    <w:p w14:paraId="33795352" w14:textId="77777777" w:rsidR="00AB1648" w:rsidRPr="00AB1648" w:rsidRDefault="00AB1648" w:rsidP="00AB1648">
      <w:pPr>
        <w:spacing w:line="240" w:lineRule="auto"/>
        <w:jc w:val="center"/>
        <w:rPr>
          <w:rFonts w:ascii="Arial" w:eastAsiaTheme="minorHAnsi" w:hAnsi="Arial" w:cs="Arial"/>
          <w:kern w:val="2"/>
          <w:szCs w:val="22"/>
          <w:lang w:eastAsia="en-US"/>
          <w14:ligatures w14:val="standardContextual"/>
        </w:rPr>
      </w:pPr>
      <w:r w:rsidRPr="00AB1648">
        <w:rPr>
          <w:rFonts w:ascii="Arial" w:eastAsiaTheme="minorHAnsi" w:hAnsi="Arial" w:cs="Arial"/>
          <w:kern w:val="2"/>
          <w:szCs w:val="22"/>
          <w:lang w:eastAsia="en-US"/>
          <w14:ligatures w14:val="standardContextual"/>
        </w:rPr>
        <w:t>* Corresponding authors</w:t>
      </w:r>
    </w:p>
    <w:p w14:paraId="507E4AA1" w14:textId="77777777" w:rsidR="00AB1648" w:rsidRPr="00AB1648" w:rsidRDefault="00AB1648" w:rsidP="00AB1648">
      <w:pPr>
        <w:spacing w:line="240" w:lineRule="auto"/>
        <w:jc w:val="center"/>
        <w:rPr>
          <w:rFonts w:ascii="Arial" w:eastAsiaTheme="minorHAnsi" w:hAnsi="Arial" w:cs="Arial"/>
          <w:kern w:val="2"/>
          <w:szCs w:val="22"/>
          <w:lang w:val="en-GB" w:eastAsia="en-US"/>
          <w14:ligatures w14:val="standardContextual"/>
        </w:rPr>
      </w:pPr>
      <w:r w:rsidRPr="00AB1648">
        <w:rPr>
          <w:rFonts w:ascii="Arial" w:eastAsiaTheme="minorHAnsi" w:hAnsi="Arial" w:cs="Arial"/>
          <w:kern w:val="2"/>
          <w:szCs w:val="22"/>
          <w:lang w:eastAsia="en-US"/>
          <w14:ligatures w14:val="standardContextual"/>
        </w:rPr>
        <w:t>E-mail:</w:t>
      </w:r>
      <w:r w:rsidRPr="00AB1648">
        <w:rPr>
          <w:rFonts w:ascii="Arial" w:eastAsiaTheme="minorHAnsi" w:hAnsi="Arial" w:cs="Arial"/>
          <w:kern w:val="2"/>
          <w:szCs w:val="22"/>
          <w:lang w:val="en-GB" w:eastAsia="en-US"/>
          <w14:ligatures w14:val="standardContextual"/>
        </w:rPr>
        <w:t xml:space="preserve"> julian.friedrich@tum.de (JF), simon.blaschke@tum.de (SB)</w:t>
      </w:r>
    </w:p>
    <w:p w14:paraId="2619F1FB" w14:textId="77777777" w:rsidR="00AB1648" w:rsidRPr="00AB1648" w:rsidRDefault="00AB1648" w:rsidP="001A772A">
      <w:pPr>
        <w:pStyle w:val="Beschriftung"/>
        <w:keepNext/>
        <w:jc w:val="both"/>
        <w:rPr>
          <w:rFonts w:ascii="Arial" w:hAnsi="Arial" w:cs="Arial"/>
          <w:b/>
          <w:sz w:val="22"/>
          <w:szCs w:val="22"/>
          <w:lang w:val="en-GB"/>
        </w:rPr>
      </w:pPr>
    </w:p>
    <w:p w14:paraId="7C024B93" w14:textId="39C5858F" w:rsidR="001A772A" w:rsidRPr="00AB1648" w:rsidRDefault="00AB1648" w:rsidP="001A772A">
      <w:pPr>
        <w:pStyle w:val="Beschriftung"/>
        <w:keepNext/>
        <w:jc w:val="both"/>
        <w:rPr>
          <w:rFonts w:ascii="Arial" w:hAnsi="Arial" w:cs="Arial"/>
          <w:b/>
          <w:szCs w:val="24"/>
          <w:lang w:val="en-US"/>
        </w:rPr>
      </w:pPr>
      <w:r w:rsidRPr="00AB1648">
        <w:rPr>
          <w:rFonts w:ascii="Arial" w:hAnsi="Arial" w:cs="Arial"/>
          <w:b/>
          <w:szCs w:val="24"/>
          <w:lang w:val="en-US"/>
        </w:rPr>
        <w:t>S4 File</w:t>
      </w:r>
      <w:r w:rsidR="001A772A" w:rsidRPr="00AB1648">
        <w:rPr>
          <w:rFonts w:ascii="Arial" w:hAnsi="Arial" w:cs="Arial"/>
          <w:b/>
          <w:szCs w:val="24"/>
          <w:lang w:val="en-US"/>
        </w:rPr>
        <w:t xml:space="preserve">. </w:t>
      </w:r>
      <w:r w:rsidRPr="00AB1648">
        <w:rPr>
          <w:rFonts w:ascii="Arial" w:hAnsi="Arial" w:cs="Arial"/>
          <w:b/>
          <w:szCs w:val="24"/>
          <w:lang w:val="en-US"/>
        </w:rPr>
        <w:t>Q</w:t>
      </w:r>
      <w:r w:rsidR="00DB2873" w:rsidRPr="00AB1648">
        <w:rPr>
          <w:rFonts w:ascii="Arial" w:hAnsi="Arial" w:cs="Arial"/>
          <w:b/>
          <w:szCs w:val="24"/>
          <w:lang w:val="en-US"/>
        </w:rPr>
        <w:t xml:space="preserve">uality </w:t>
      </w:r>
      <w:proofErr w:type="gramStart"/>
      <w:r w:rsidR="00DB2873" w:rsidRPr="00AB1648">
        <w:rPr>
          <w:rFonts w:ascii="Arial" w:hAnsi="Arial" w:cs="Arial"/>
          <w:b/>
          <w:szCs w:val="24"/>
          <w:lang w:val="en-US"/>
        </w:rPr>
        <w:t>appraisal of</w:t>
      </w:r>
      <w:proofErr w:type="gramEnd"/>
      <w:r w:rsidR="00DB2873" w:rsidRPr="00AB1648">
        <w:rPr>
          <w:rFonts w:ascii="Arial" w:hAnsi="Arial" w:cs="Arial"/>
          <w:b/>
          <w:szCs w:val="24"/>
          <w:lang w:val="en-US"/>
        </w:rPr>
        <w:t xml:space="preserve"> included studies based on relevance,</w:t>
      </w:r>
      <w:r w:rsidR="00842CC3">
        <w:rPr>
          <w:rFonts w:ascii="Arial" w:hAnsi="Arial" w:cs="Arial"/>
          <w:b/>
          <w:szCs w:val="24"/>
          <w:lang w:val="en-US"/>
        </w:rPr>
        <w:t xml:space="preserve"> richness, and</w:t>
      </w:r>
      <w:r w:rsidR="00DB2873" w:rsidRPr="00AB1648">
        <w:rPr>
          <w:rFonts w:ascii="Arial" w:hAnsi="Arial" w:cs="Arial"/>
          <w:b/>
          <w:szCs w:val="24"/>
          <w:lang w:val="en-US"/>
        </w:rPr>
        <w:t xml:space="preserve"> rigor</w:t>
      </w:r>
      <w:r w:rsidR="001A772A" w:rsidRPr="00AB1648">
        <w:rPr>
          <w:rFonts w:ascii="Arial" w:hAnsi="Arial" w:cs="Arial"/>
          <w:b/>
          <w:szCs w:val="24"/>
          <w:lang w:val="en-US"/>
        </w:rPr>
        <w:t>.</w:t>
      </w:r>
    </w:p>
    <w:tbl>
      <w:tblPr>
        <w:tblStyle w:val="Tabellenraster"/>
        <w:tblW w:w="1445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3827"/>
        <w:gridCol w:w="3543"/>
        <w:gridCol w:w="3543"/>
      </w:tblGrid>
      <w:tr w:rsidR="00842CC3" w:rsidRPr="00AB1648" w14:paraId="25025C66" w14:textId="07870DE8" w:rsidTr="00842CC3">
        <w:trPr>
          <w:cantSplit/>
          <w:trHeight w:val="157"/>
        </w:trPr>
        <w:tc>
          <w:tcPr>
            <w:tcW w:w="3544" w:type="dxa"/>
            <w:tcBorders>
              <w:top w:val="single" w:sz="4" w:space="0" w:color="auto"/>
              <w:bottom w:val="single" w:sz="4" w:space="0" w:color="auto"/>
            </w:tcBorders>
          </w:tcPr>
          <w:p w14:paraId="7F1A51B1" w14:textId="77777777" w:rsidR="00842CC3" w:rsidRPr="003C6A9C" w:rsidRDefault="00842CC3" w:rsidP="00842CC3">
            <w:pPr>
              <w:spacing w:before="144"/>
              <w:rPr>
                <w:rFonts w:ascii="Arial" w:hAnsi="Arial" w:cs="Arial"/>
                <w:b/>
                <w:bCs/>
                <w:sz w:val="20"/>
                <w:szCs w:val="20"/>
              </w:rPr>
            </w:pPr>
            <w:r w:rsidRPr="003C6A9C">
              <w:rPr>
                <w:rFonts w:ascii="Arial" w:hAnsi="Arial" w:cs="Arial"/>
                <w:b/>
                <w:bCs/>
                <w:sz w:val="20"/>
                <w:szCs w:val="20"/>
              </w:rPr>
              <w:t>Authors and years</w:t>
            </w:r>
          </w:p>
        </w:tc>
        <w:tc>
          <w:tcPr>
            <w:tcW w:w="3827" w:type="dxa"/>
            <w:tcBorders>
              <w:top w:val="single" w:sz="4" w:space="0" w:color="auto"/>
              <w:bottom w:val="single" w:sz="4" w:space="0" w:color="auto"/>
            </w:tcBorders>
          </w:tcPr>
          <w:p w14:paraId="7CF38355" w14:textId="1D80EA02" w:rsidR="00842CC3" w:rsidRPr="003C6A9C" w:rsidRDefault="00842CC3" w:rsidP="00842CC3">
            <w:pPr>
              <w:spacing w:before="144"/>
              <w:rPr>
                <w:rFonts w:ascii="Arial" w:hAnsi="Arial" w:cs="Arial"/>
                <w:b/>
                <w:bCs/>
                <w:sz w:val="20"/>
                <w:szCs w:val="20"/>
              </w:rPr>
            </w:pPr>
            <w:r w:rsidRPr="003C6A9C">
              <w:rPr>
                <w:rFonts w:ascii="Arial" w:hAnsi="Arial" w:cs="Arial"/>
                <w:b/>
                <w:bCs/>
                <w:sz w:val="20"/>
                <w:szCs w:val="20"/>
              </w:rPr>
              <w:t>Relevance</w:t>
            </w:r>
          </w:p>
        </w:tc>
        <w:tc>
          <w:tcPr>
            <w:tcW w:w="3543" w:type="dxa"/>
            <w:tcBorders>
              <w:top w:val="single" w:sz="4" w:space="0" w:color="auto"/>
              <w:bottom w:val="single" w:sz="4" w:space="0" w:color="auto"/>
            </w:tcBorders>
          </w:tcPr>
          <w:p w14:paraId="74B18B3F" w14:textId="612084F9" w:rsidR="00842CC3" w:rsidRPr="003C6A9C" w:rsidRDefault="00842CC3" w:rsidP="00842CC3">
            <w:pPr>
              <w:spacing w:before="144"/>
              <w:rPr>
                <w:rFonts w:ascii="Arial" w:hAnsi="Arial" w:cs="Arial"/>
                <w:b/>
                <w:bCs/>
                <w:sz w:val="20"/>
                <w:szCs w:val="20"/>
              </w:rPr>
            </w:pPr>
            <w:r w:rsidRPr="003C6A9C">
              <w:rPr>
                <w:rFonts w:ascii="Arial" w:hAnsi="Arial" w:cs="Arial"/>
                <w:b/>
                <w:bCs/>
                <w:sz w:val="20"/>
                <w:szCs w:val="20"/>
              </w:rPr>
              <w:t>Richness</w:t>
            </w:r>
          </w:p>
        </w:tc>
        <w:tc>
          <w:tcPr>
            <w:tcW w:w="3543" w:type="dxa"/>
            <w:tcBorders>
              <w:top w:val="single" w:sz="4" w:space="0" w:color="auto"/>
              <w:bottom w:val="single" w:sz="4" w:space="0" w:color="auto"/>
            </w:tcBorders>
          </w:tcPr>
          <w:p w14:paraId="2C76267A" w14:textId="4731A831" w:rsidR="00842CC3" w:rsidRPr="003C6A9C" w:rsidRDefault="00842CC3" w:rsidP="00842CC3">
            <w:pPr>
              <w:spacing w:before="144"/>
              <w:rPr>
                <w:rFonts w:ascii="Arial" w:hAnsi="Arial" w:cs="Arial"/>
                <w:b/>
                <w:bCs/>
                <w:sz w:val="20"/>
                <w:szCs w:val="20"/>
              </w:rPr>
            </w:pPr>
            <w:r w:rsidRPr="003C6A9C">
              <w:rPr>
                <w:rFonts w:ascii="Arial" w:hAnsi="Arial" w:cs="Arial"/>
                <w:b/>
                <w:bCs/>
                <w:sz w:val="20"/>
                <w:szCs w:val="20"/>
              </w:rPr>
              <w:t>Rigor</w:t>
            </w:r>
          </w:p>
        </w:tc>
      </w:tr>
      <w:tr w:rsidR="003C6A9C" w:rsidRPr="00AB1648" w14:paraId="32856935" w14:textId="5A1E5858" w:rsidTr="00842CC3">
        <w:trPr>
          <w:cantSplit/>
          <w:trHeight w:val="1134"/>
        </w:trPr>
        <w:tc>
          <w:tcPr>
            <w:tcW w:w="3544" w:type="dxa"/>
            <w:tcBorders>
              <w:top w:val="single" w:sz="4" w:space="0" w:color="auto"/>
            </w:tcBorders>
          </w:tcPr>
          <w:p w14:paraId="669F8D18" w14:textId="1167A904"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Al-Bouwarthan et al., 2020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{"citationID":"MgxA3YpQ","properties":{"formattedCitation":"(16)","plainCitation":"(16)","noteIndex":0},"citationItems":[{"id":6355,"uris":["http://zotero.org/users/5390204/items/DTJ7NYF7"],"itemData":{"id":6355,"type":"article-journal","abstract":"Abstract\n            \n              Objectives\n              Assess the impact of summer heat exposure (June–September) on residential construction workers in Al-Ahsa, Saudi Arabia by evaluating (i) heart rate (HR) responses, hydration status, and physical workload among workers in indoor and outdoor construction settings, (ii) factors related to physiological responses to work in hot conditions, and (iii) how well wet-bulb globe temperature-based occupational exposure limits (WBGTOELs) predict measures of heat strain.\n            \n            \n              Methods\n              Twenty-three construction workers (plasterers, tilers, and laborers) contributed 260 person-days of monitoring. Workload energy expenditure, HR, fluid intake, and pre- and postshift urine specific gravity (USG) were measured. Indoor and outdoor heat exposures (WBGT) were measured continuously and a WBGTOEL was calculated. The effects of heat exposure and workload on heart rate reserve (HRR), a measure of cardiovascular strain, were examined with linear mixed models. A metric called ‘heat stress exceedance’ (HSE) was constructed to summarize whether the environmental heat exposure (WBGT) exceeded the heat stress exposure limit (WBGTOEL). The sensitivity and specificity of the HSE as a predictor of cardiovascular strain (HRR ≥30%) were determined.\n            \n            \n              Results\n              The WBGTOEL was exceeded frequently, on 63 person-days indoors (44%) and 91(78%) outdoors. High-risk HRR occurred on 26 and 36 person-days indoors and outdoors, respectively. The HSE metric showed higher sensitivity for HRR ≥30% outdoors (89%) than indoors (58%) and greater specificity indoors (59%) than outdoors (27%). Workload intensity was generally moderate, with light intensity work more common outdoors. The ability to self-pace work was associated with a lower frequency of HRR ≥30%. USG concentrations indicated that workers began and ended their shifts dehydrated (USG ≥1.020).\n            \n            \n              Conclusions\n              Construction work where WBGTOEL is commonly exceeded poses health risks. The ability of workers to self-pace may help reduce risks.","container-title":"Annals of Work Exposures and Health","DOI":"10.1093/annweh/wxaa029","ISSN":"2398-7308, 2398-7316","issue":"5","language":"en","license":"https://academic.oup.com/journals/pages/open_access/funder_policies/chorus/standard_publication_model","page":"522-535","source":"DOI.org (Crossref)","title":"A Field Evaluation of Construction Workers’ Activity, Hydration Status, and Heat Strain in the Extreme Summer Heat of Saudi Arabia","volume":"64","author":[{"family":"Al-Bouwarthan","given":"Mohammed"},{"family":"Quinn","given":"Margaret M"},{"family":"Kriebel","given":"David"},{"family":"Wegman","given":"David H"}],"issued":{"date-parts":[["2020",6,24]]}}}],"schema":"https://github.com/citation-style-language/schema/raw/master/csl-citation.json"}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(16)</w:t>
            </w:r>
            <w:r w:rsidRPr="003C6A9C">
              <w:rPr>
                <w:rFonts w:ascii="Arial" w:hAnsi="Arial" w:cs="Arial"/>
                <w:sz w:val="20"/>
                <w:szCs w:val="20"/>
              </w:rPr>
              <w:fldChar w:fldCharType="end"/>
            </w:r>
          </w:p>
        </w:tc>
        <w:tc>
          <w:tcPr>
            <w:tcW w:w="3827" w:type="dxa"/>
            <w:tcBorders>
              <w:top w:val="single" w:sz="4" w:space="0" w:color="auto"/>
            </w:tcBorders>
          </w:tcPr>
          <w:p w14:paraId="74DBE24C" w14:textId="1321593B" w:rsidR="003C6A9C" w:rsidRPr="003C6A9C" w:rsidRDefault="003C6A9C" w:rsidP="003C6A9C">
            <w:pPr>
              <w:spacing w:before="144"/>
              <w:rPr>
                <w:rFonts w:ascii="Arial" w:hAnsi="Arial" w:cs="Arial"/>
                <w:sz w:val="20"/>
                <w:szCs w:val="20"/>
              </w:rPr>
            </w:pPr>
            <w:r w:rsidRPr="003C6A9C">
              <w:rPr>
                <w:rFonts w:ascii="Arial" w:hAnsi="Arial" w:cs="Arial"/>
                <w:sz w:val="20"/>
                <w:szCs w:val="20"/>
              </w:rPr>
              <w:t>High: directly measures heat strain, hydration, and activity in workers</w:t>
            </w:r>
          </w:p>
        </w:tc>
        <w:tc>
          <w:tcPr>
            <w:tcW w:w="3543" w:type="dxa"/>
            <w:tcBorders>
              <w:top w:val="single" w:sz="4" w:space="0" w:color="auto"/>
            </w:tcBorders>
          </w:tcPr>
          <w:p w14:paraId="2D6486BA" w14:textId="3D4C69AE" w:rsidR="003C6A9C" w:rsidRPr="003C6A9C" w:rsidRDefault="003C6A9C" w:rsidP="003C6A9C">
            <w:pPr>
              <w:spacing w:before="144"/>
              <w:rPr>
                <w:rFonts w:ascii="Arial" w:hAnsi="Arial" w:cs="Arial"/>
                <w:sz w:val="20"/>
                <w:szCs w:val="20"/>
              </w:rPr>
            </w:pPr>
            <w:r w:rsidRPr="003C6A9C">
              <w:rPr>
                <w:rFonts w:ascii="Arial" w:hAnsi="Arial" w:cs="Arial"/>
                <w:sz w:val="20"/>
                <w:szCs w:val="20"/>
              </w:rPr>
              <w:t>High: detailed physiological data and context</w:t>
            </w:r>
          </w:p>
        </w:tc>
        <w:tc>
          <w:tcPr>
            <w:tcW w:w="3543" w:type="dxa"/>
            <w:tcBorders>
              <w:top w:val="single" w:sz="4" w:space="0" w:color="auto"/>
            </w:tcBorders>
          </w:tcPr>
          <w:p w14:paraId="10F569EF" w14:textId="570E3F7C"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objective measures, limited causal inference</w:t>
            </w:r>
          </w:p>
        </w:tc>
      </w:tr>
      <w:tr w:rsidR="003C6A9C" w:rsidRPr="00AB1648" w14:paraId="18275B0A" w14:textId="21241AFC" w:rsidTr="00842CC3">
        <w:trPr>
          <w:cantSplit/>
          <w:trHeight w:val="1134"/>
        </w:trPr>
        <w:tc>
          <w:tcPr>
            <w:tcW w:w="3544" w:type="dxa"/>
          </w:tcPr>
          <w:p w14:paraId="4321E9CD" w14:textId="312DEC5E"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Culp &amp; Tonelli, 2019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{"citationID":"w6rda0gB","properties":{"formattedCitation":"(49)","plainCitation":"(49)","noteIndex":0},"citationItems":[{"id":6401,"uris":["http://zotero.org/users/5390204/items/FWSHBE2B"],"itemData":{"id":6401,"type":"article-journal","abstract":"Heat-related illness (HRI) is a largely undocumented phenomenon in Midwestern Hispanic migrant and seasonal farmworkers in the United States. Frequently, the physiological burden of crop production is overlooked while workers are in the fields. We completed a mixed-methods study using a cross-sectional survey among migrant and seasonal farmworkers about their experience with HRI symptoms ( N = 148) and conducted an intensive surveillance on a smaller group of workers ( N = 20) in field trials ( N = 57 trials) using a chest-strapped multi-parameter monitoring wearable sensor (MPMWS) that measured skin/body temperature, heart and breathing rate, kilocalories burned per hour, and provided a physiological intensity (PI) score. The field trials were conducted across three classes of climate conditions and three PI score categories. We found that those in the uncomfortable category (PI score &gt; 4.0) had a statistically significant ( F ratio = 16.41, p &lt; .001) higher body temperatures ( M = 100.05°F) than those with a mild PI (range = 0-5) score </w:instrText>
            </w:r>
            <w:r w:rsidRPr="003C6A9C">
              <w:rPr>
                <w:rFonts w:ascii="Cambria Math" w:hAnsi="Cambria Math" w:cs="Cambria Math"/>
                <w:sz w:val="20"/>
                <w:szCs w:val="20"/>
              </w:rPr>
              <w:instrText>⩽</w:instrText>
            </w:r>
            <w:r w:rsidRPr="003C6A9C">
              <w:rPr>
                <w:rFonts w:ascii="Arial" w:hAnsi="Arial" w:cs="Arial"/>
                <w:sz w:val="20"/>
                <w:szCs w:val="20"/>
              </w:rPr>
              <w:instrText xml:space="preserve"> 2.5 ( M = 99.56°F) or moderate PI score &gt; 2.5-4 (99.84°F). We also found that those in the uncomfortable climate condition category had a higher mean heart rate and breathing rate than those working under mild and moderate field trials.","container-title":"Workplace Health &amp; Safety","DOI":"10.1177/2165079918813380","ISSN":"2165-0799, 2165-0969","issue":"4","journalAbbreviation":"Workplace Health Saf","language":"en","page":"168-178","source":"DOI.org (Crossref)","title":"Heat-Related Illness in Midwestern Hispanic Farmworkers: A Descriptive Analysis of Hydration Status and Reported Symptoms","title-short":"Heat-Related Illness in Midwestern Hispanic Farmworkers","volume":"67","author":[{"family":"Culp","given":"Kennith"},{"family":"Tonelli","given":"Shalome"}],"issued":{"date-parts":[["2019",4]]}}}],"schema":"https://github.com/citation-style-language/schema/raw/master/csl-citation.json"}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(49)</w:t>
            </w:r>
            <w:r w:rsidRPr="003C6A9C">
              <w:rPr>
                <w:rFonts w:ascii="Arial" w:hAnsi="Arial" w:cs="Arial"/>
                <w:sz w:val="20"/>
                <w:szCs w:val="20"/>
              </w:rPr>
              <w:fldChar w:fldCharType="end"/>
            </w:r>
          </w:p>
        </w:tc>
        <w:tc>
          <w:tcPr>
            <w:tcW w:w="3827" w:type="dxa"/>
          </w:tcPr>
          <w:p w14:paraId="048908E8" w14:textId="2231BF65"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focuses on heat-related symptoms in farmworkers</w:t>
            </w:r>
          </w:p>
        </w:tc>
        <w:tc>
          <w:tcPr>
            <w:tcW w:w="3543" w:type="dxa"/>
          </w:tcPr>
          <w:p w14:paraId="572530BE" w14:textId="3B137A13"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self-reported symptoms and hydration</w:t>
            </w:r>
          </w:p>
        </w:tc>
        <w:tc>
          <w:tcPr>
            <w:tcW w:w="3543" w:type="dxa"/>
          </w:tcPr>
          <w:p w14:paraId="0442CF22" w14:textId="58A65029" w:rsidR="003C6A9C" w:rsidRPr="003C6A9C" w:rsidRDefault="003C6A9C" w:rsidP="003C6A9C">
            <w:pPr>
              <w:spacing w:before="144"/>
              <w:rPr>
                <w:rFonts w:ascii="Arial" w:hAnsi="Arial" w:cs="Arial"/>
                <w:sz w:val="20"/>
                <w:szCs w:val="20"/>
              </w:rPr>
            </w:pPr>
            <w:r w:rsidRPr="003C6A9C">
              <w:rPr>
                <w:rFonts w:ascii="Arial" w:hAnsi="Arial" w:cs="Arial"/>
                <w:sz w:val="20"/>
                <w:szCs w:val="20"/>
              </w:rPr>
              <w:t>Low: descriptive with limited methodological detail</w:t>
            </w:r>
          </w:p>
        </w:tc>
      </w:tr>
      <w:tr w:rsidR="003C6A9C" w:rsidRPr="00AB1648" w14:paraId="17AB89E9" w14:textId="11BEC17E" w:rsidTr="00842CC3">
        <w:trPr>
          <w:cantSplit/>
          <w:trHeight w:val="1134"/>
        </w:trPr>
        <w:tc>
          <w:tcPr>
            <w:tcW w:w="3544" w:type="dxa"/>
          </w:tcPr>
          <w:p w14:paraId="38DC4F4C" w14:textId="09DFD02F" w:rsidR="003C6A9C" w:rsidRPr="003C6A9C" w:rsidRDefault="003C6A9C" w:rsidP="003C6A9C">
            <w:pPr>
              <w:spacing w:before="144"/>
              <w:rPr>
                <w:rFonts w:ascii="Arial" w:hAnsi="Arial" w:cs="Arial"/>
                <w:sz w:val="20"/>
                <w:szCs w:val="20"/>
                <w:lang w:val="de-DE"/>
              </w:rPr>
            </w:pPr>
            <w:r w:rsidRPr="003C6A9C">
              <w:rPr>
                <w:rFonts w:ascii="Arial" w:hAnsi="Arial" w:cs="Arial"/>
                <w:sz w:val="20"/>
                <w:szCs w:val="20"/>
                <w:lang w:val="de-DE"/>
              </w:rPr>
              <w:t xml:space="preserve">Hertzberg et al., 2017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{"citationID":"dpPe8iYX","properties":{"formattedCitation":"(50)","plainCitation":"(50)","noteIndex":0},"citationItems":[{"id":6404,"uris":["http://zotero.org/users/5390204/items/XCPLEZYF"],"itemData":{"id":6404,"type":"article-journal","abstract":"Affordable measurement of core body temperature (T\n              c\n              ) in a continuous, real-time fashion is now possible. With this advance comes a new data analysis paradigm for occupational epidemiology. We characterize issues arising after obtaining T\n              c\n              data over 188 workdays for 83 participating farmworkers, a population vulnerable to effects of rising temperatures due to climate change. We describe a novel approach to these data using smoothing and functional data analysis. This approach highlights different data aspects compared with describing T\n              c\n              at a single time point or summaries of the time course into an indicator function (e.g., did T\n              c\n              ever exceed 38 °C, the threshold limit value for occupational heat exposure). Participants working in ferneries had significantly higher T\n              c\n              at some point during the workday compared with those working in nurseries, despite a shorter workday for fernery participants. Our results typify the challenges and opportunities in analyzing Big Data streams from real-time physiologic monitoring.","container-title":"Western Journal of Nursing Research","DOI":"10.1177/0193945916673058","ISSN":"0193-9459, 1552-8456","issue":"1","journalAbbreviation":"West J Nurs Res","language":"en","page":"95-111","source":"DOI.org (Crossref)","title":"Novel Analytic Methods Needed for Real-Time Continuous Core Body Temperature Data","volume":"39","author":[{"family":"Hertzberg","given":"Vicki"},{"family":"Mac","given":"Valerie"},{"family":"Elon","given":"Lisa"},{"family":"Mutic","given":"Nathan"},{"family":"Mutic","given":"Abby"},{"family":"Peterman","given":"Katherine"},{"family":"Tovar-Aguilar","given":"J. Antonio"},{"family":"Economos","given":"Eugenia"},{"family":"Flocks","given":"Joan"},{"family":"McCauley","given":"Linda"}],"issued":{"date-parts":[["2017",1]]}}}],"schema":"https://github.com/citation-style-language/schema/raw/master/csl-citation.json"}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(50)</w:t>
            </w:r>
            <w:r w:rsidRPr="003C6A9C">
              <w:rPr>
                <w:rFonts w:ascii="Arial" w:hAnsi="Arial" w:cs="Arial"/>
                <w:sz w:val="20"/>
                <w:szCs w:val="20"/>
              </w:rPr>
              <w:fldChar w:fldCharType="end"/>
            </w:r>
          </w:p>
        </w:tc>
        <w:tc>
          <w:tcPr>
            <w:tcW w:w="3827" w:type="dxa"/>
          </w:tcPr>
          <w:p w14:paraId="46DFED9D" w14:textId="0E8314BE"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develops tools for temperature data analysis</w:t>
            </w:r>
          </w:p>
        </w:tc>
        <w:tc>
          <w:tcPr>
            <w:tcW w:w="3543" w:type="dxa"/>
          </w:tcPr>
          <w:p w14:paraId="4B335324" w14:textId="716150E6"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limited real-world intervention context</w:t>
            </w:r>
          </w:p>
        </w:tc>
        <w:tc>
          <w:tcPr>
            <w:tcW w:w="3543" w:type="dxa"/>
          </w:tcPr>
          <w:p w14:paraId="31299B65" w14:textId="7F5E261C" w:rsidR="003C6A9C" w:rsidRPr="003C6A9C" w:rsidRDefault="003C6A9C" w:rsidP="003C6A9C">
            <w:pPr>
              <w:spacing w:before="144"/>
              <w:rPr>
                <w:rFonts w:ascii="Arial" w:hAnsi="Arial" w:cs="Arial"/>
                <w:sz w:val="20"/>
                <w:szCs w:val="20"/>
              </w:rPr>
            </w:pPr>
            <w:r w:rsidRPr="003C6A9C">
              <w:rPr>
                <w:rFonts w:ascii="Arial" w:hAnsi="Arial" w:cs="Arial"/>
                <w:sz w:val="20"/>
                <w:szCs w:val="20"/>
              </w:rPr>
              <w:t>High: strong analytical framework</w:t>
            </w:r>
          </w:p>
        </w:tc>
      </w:tr>
      <w:tr w:rsidR="003C6A9C" w:rsidRPr="00AB1648" w14:paraId="27CFF78A" w14:textId="6BDB5149" w:rsidTr="00842CC3">
        <w:trPr>
          <w:cantSplit/>
          <w:trHeight w:val="1134"/>
        </w:trPr>
        <w:tc>
          <w:tcPr>
            <w:tcW w:w="3544" w:type="dxa"/>
          </w:tcPr>
          <w:p w14:paraId="2AD67C5F" w14:textId="0C61EDAF" w:rsidR="003C6A9C" w:rsidRPr="003C6A9C" w:rsidRDefault="003C6A9C" w:rsidP="003C6A9C">
            <w:pPr>
              <w:spacing w:before="144"/>
              <w:rPr>
                <w:rFonts w:ascii="Arial" w:hAnsi="Arial" w:cs="Arial"/>
                <w:sz w:val="20"/>
                <w:szCs w:val="20"/>
                <w:lang w:val="de-DE"/>
              </w:rPr>
            </w:pPr>
            <w:proofErr w:type="spellStart"/>
            <w:r w:rsidRPr="003C6A9C">
              <w:rPr>
                <w:rFonts w:ascii="Arial" w:hAnsi="Arial" w:cs="Arial"/>
                <w:sz w:val="20"/>
                <w:szCs w:val="20"/>
                <w:lang w:val="de-DE"/>
              </w:rPr>
              <w:lastRenderedPageBreak/>
              <w:t>Kakamu</w:t>
            </w:r>
            <w:proofErr w:type="spellEnd"/>
            <w:r w:rsidRPr="003C6A9C">
              <w:rPr>
                <w:rFonts w:ascii="Arial" w:hAnsi="Arial" w:cs="Arial"/>
                <w:sz w:val="20"/>
                <w:szCs w:val="20"/>
                <w:lang w:val="de-DE"/>
              </w:rPr>
              <w:t xml:space="preserve"> et al., 2021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{"citationID":"4D93xQnJ","properties":{"formattedCitation":"(58)","plainCitation":"(58)","noteIndex":0},"citationItems":[{"id":6408,"uris":["http://zotero.org/users/5390204/items/USTII9VA"],"itemData":{"id":6408,"type":"article-journal","abstract":"Abstract\n            Heat-related illness (HRI) is a common occupational injury, especially in construction workers. To explore the factors related to HRI risk in construction workers under hot outdoor working conditions, we surveyed vital and environmental data of construction workers in the summer season. Sixty-one workers joined the study and the total number of days when their vital data during working hours and environmental data were recorded was 1165. Heart rate with high-risk HRI was determined using the following formula: 180 − 0.65 × age. As a result of the logistic regression analysis, age, working area, maximum skin temperature, and heart rate immediately after warming up were significantly positively related, and experience of construction was significantly negatively related to heart rate with high-risk HRI. Heart rate immediately after warming up may indicate morning fatigue due to reasons such as insufficient sleep, too much alcohol intake the night before, and sickness. Asking morning conditions may lead to the prevention of HRI. For occupational risk management, monitoring of environmental and personal conditions is required.","container-title":"Scientific Reports","DOI":"10.1038/s41598-020-79876-w","ISSN":"2045-2322","issue":"1","journalAbbreviation":"Sci Rep","language":"en","page":"1119","source":"DOI.org (Crossref)","title":"Heat-related illness risk and associated personal and environmental factors of construction workers during work in summer","volume":"11","author":[{"family":"Kakamu","given":"Takeyasu"},{"family":"Endo","given":"Shota"},{"family":"Hidaka","given":"Tomoo"},{"family":"Masuishi","given":"Yusuke"},{"family":"Kasuga","given":"Hideaki"},{"family":"Fukushima","given":"Tetsuhito"}],"issued":{"date-parts":[["2021",1,13]]}}}],"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(58)</w:t>
            </w:r>
            <w:r w:rsidRPr="003C6A9C">
              <w:rPr>
                <w:rFonts w:ascii="Arial" w:hAnsi="Arial" w:cs="Arial"/>
                <w:sz w:val="20"/>
                <w:szCs w:val="20"/>
              </w:rPr>
              <w:fldChar w:fldCharType="end"/>
            </w:r>
          </w:p>
        </w:tc>
        <w:tc>
          <w:tcPr>
            <w:tcW w:w="3827" w:type="dxa"/>
          </w:tcPr>
          <w:p w14:paraId="7928A85D" w14:textId="13AF790E" w:rsidR="003C6A9C" w:rsidRPr="003C6A9C" w:rsidRDefault="003C6A9C" w:rsidP="003C6A9C">
            <w:pPr>
              <w:spacing w:before="144"/>
              <w:rPr>
                <w:rFonts w:ascii="Arial" w:hAnsi="Arial" w:cs="Arial"/>
                <w:sz w:val="20"/>
                <w:szCs w:val="20"/>
              </w:rPr>
            </w:pPr>
            <w:r w:rsidRPr="003C6A9C">
              <w:rPr>
                <w:rFonts w:ascii="Arial" w:hAnsi="Arial" w:cs="Arial"/>
                <w:sz w:val="20"/>
                <w:szCs w:val="20"/>
              </w:rPr>
              <w:t>High: assesses heat illness risk in construction</w:t>
            </w:r>
          </w:p>
        </w:tc>
        <w:tc>
          <w:tcPr>
            <w:tcW w:w="3543" w:type="dxa"/>
          </w:tcPr>
          <w:p w14:paraId="00617386" w14:textId="47E21616" w:rsidR="003C6A9C" w:rsidRPr="003C6A9C" w:rsidRDefault="003C6A9C" w:rsidP="003C6A9C">
            <w:pPr>
              <w:spacing w:before="144"/>
              <w:rPr>
                <w:rFonts w:ascii="Arial" w:hAnsi="Arial" w:cs="Arial"/>
                <w:sz w:val="20"/>
                <w:szCs w:val="20"/>
              </w:rPr>
            </w:pPr>
            <w:r w:rsidRPr="003C6A9C">
              <w:rPr>
                <w:rFonts w:ascii="Arial" w:hAnsi="Arial" w:cs="Arial"/>
                <w:sz w:val="20"/>
                <w:szCs w:val="20"/>
              </w:rPr>
              <w:t>High: environmental and personal factors included</w:t>
            </w:r>
          </w:p>
        </w:tc>
        <w:tc>
          <w:tcPr>
            <w:tcW w:w="3543" w:type="dxa"/>
          </w:tcPr>
          <w:p w14:paraId="114EF7C6" w14:textId="59E8EB9E" w:rsidR="003C6A9C" w:rsidRPr="003C6A9C" w:rsidRDefault="003C6A9C" w:rsidP="003C6A9C">
            <w:pPr>
              <w:spacing w:before="144"/>
              <w:rPr>
                <w:rFonts w:ascii="Arial" w:hAnsi="Arial" w:cs="Arial"/>
                <w:sz w:val="20"/>
                <w:szCs w:val="20"/>
              </w:rPr>
            </w:pPr>
            <w:r w:rsidRPr="003C6A9C">
              <w:rPr>
                <w:rFonts w:ascii="Arial" w:hAnsi="Arial" w:cs="Arial"/>
                <w:sz w:val="20"/>
                <w:szCs w:val="20"/>
              </w:rPr>
              <w:t>High: systematic measures and analysis</w:t>
            </w:r>
          </w:p>
        </w:tc>
      </w:tr>
      <w:tr w:rsidR="003C6A9C" w:rsidRPr="00AB1648" w14:paraId="5B79D234" w14:textId="08CAFBEC" w:rsidTr="00842CC3">
        <w:trPr>
          <w:cantSplit/>
          <w:trHeight w:val="1134"/>
        </w:trPr>
        <w:tc>
          <w:tcPr>
            <w:tcW w:w="3544" w:type="dxa"/>
          </w:tcPr>
          <w:p w14:paraId="705842F8" w14:textId="170654DB" w:rsidR="003C6A9C" w:rsidRPr="003C6A9C" w:rsidRDefault="003C6A9C" w:rsidP="003C6A9C">
            <w:pPr>
              <w:spacing w:before="144"/>
              <w:rPr>
                <w:rFonts w:ascii="Arial" w:hAnsi="Arial" w:cs="Arial"/>
                <w:sz w:val="20"/>
                <w:szCs w:val="20"/>
                <w:lang w:val="de-DE"/>
              </w:rPr>
            </w:pPr>
            <w:proofErr w:type="spellStart"/>
            <w:r w:rsidRPr="003C6A9C">
              <w:rPr>
                <w:rFonts w:ascii="Arial" w:hAnsi="Arial" w:cs="Arial"/>
                <w:sz w:val="20"/>
                <w:szCs w:val="20"/>
                <w:lang w:val="de-DE"/>
              </w:rPr>
              <w:t>Kakamu</w:t>
            </w:r>
            <w:proofErr w:type="spellEnd"/>
            <w:r w:rsidRPr="003C6A9C">
              <w:rPr>
                <w:rFonts w:ascii="Arial" w:hAnsi="Arial" w:cs="Arial"/>
                <w:sz w:val="20"/>
                <w:szCs w:val="20"/>
                <w:lang w:val="de-DE"/>
              </w:rPr>
              <w:t xml:space="preserve"> et al., 2022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{"citationID":"hcl7fxQR","properties":{"formattedCitation":"(59)","plainCitation":"(59)","noteIndex":0},"citationItems":[{"id":6391,"uris":["http://zotero.org/users/5390204/items/J56YVWAW"],"itemData":{"id":6391,"type":"article-journal","container-title":"International Journal of Industrial Ergonomics","DOI":"10.1016/j.ergon.2022.103282","ISSN":"01698141","journalAbbreviation":"International Journal of Industrial Ergonomics","language":"en","page":"103282","source":"DOI.org (Crossref)","title":"Heart rate increase from rest as an early sign of heat-related illness risk in construction workers","volume":"89","author":[{"family":"Kakamu","given":"Takeyasu"},{"family":"Endo","given":"Shota"},{"family":"Tsutsui","given":"Yuha"},{"family":"Hidaka","given":"Tomoo"},{"family":"Masuishi","given":"Yusuke"},{"family":"Kasuga","given":"Hideaki"},{"family":"Fukushima","given":"Tetsuhito"}],"issued":{"date-parts":[["2022",5]]}}}],"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(59)</w:t>
            </w:r>
            <w:r w:rsidRPr="003C6A9C">
              <w:rPr>
                <w:rFonts w:ascii="Arial" w:hAnsi="Arial" w:cs="Arial"/>
                <w:sz w:val="20"/>
                <w:szCs w:val="20"/>
              </w:rPr>
              <w:fldChar w:fldCharType="end"/>
            </w:r>
          </w:p>
        </w:tc>
        <w:tc>
          <w:tcPr>
            <w:tcW w:w="3827" w:type="dxa"/>
          </w:tcPr>
          <w:p w14:paraId="0959F788" w14:textId="19EA9852" w:rsidR="003C6A9C" w:rsidRPr="003C6A9C" w:rsidRDefault="003C6A9C" w:rsidP="003C6A9C">
            <w:pPr>
              <w:spacing w:before="144"/>
              <w:rPr>
                <w:rFonts w:ascii="Arial" w:hAnsi="Arial" w:cs="Arial"/>
                <w:sz w:val="20"/>
                <w:szCs w:val="20"/>
              </w:rPr>
            </w:pPr>
            <w:r w:rsidRPr="003C6A9C">
              <w:rPr>
                <w:rFonts w:ascii="Arial" w:hAnsi="Arial" w:cs="Arial"/>
                <w:sz w:val="20"/>
                <w:szCs w:val="20"/>
              </w:rPr>
              <w:t>High: early sign detection via heart rate</w:t>
            </w:r>
          </w:p>
        </w:tc>
        <w:tc>
          <w:tcPr>
            <w:tcW w:w="3543" w:type="dxa"/>
          </w:tcPr>
          <w:p w14:paraId="5FF3193F" w14:textId="62A2ED48"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focused on one biomarker</w:t>
            </w:r>
          </w:p>
        </w:tc>
        <w:tc>
          <w:tcPr>
            <w:tcW w:w="3543" w:type="dxa"/>
          </w:tcPr>
          <w:p w14:paraId="6E522C55" w14:textId="57A3F885" w:rsidR="003C6A9C" w:rsidRPr="003C6A9C" w:rsidRDefault="003C6A9C" w:rsidP="003C6A9C">
            <w:pPr>
              <w:spacing w:before="144"/>
              <w:rPr>
                <w:rFonts w:ascii="Arial" w:hAnsi="Arial" w:cs="Arial"/>
                <w:sz w:val="20"/>
                <w:szCs w:val="20"/>
              </w:rPr>
            </w:pPr>
            <w:r w:rsidRPr="003C6A9C">
              <w:rPr>
                <w:rFonts w:ascii="Arial" w:hAnsi="Arial" w:cs="Arial"/>
                <w:sz w:val="20"/>
                <w:szCs w:val="20"/>
              </w:rPr>
              <w:t>High: rigorous physiological monitoring</w:t>
            </w:r>
          </w:p>
        </w:tc>
      </w:tr>
      <w:tr w:rsidR="003C6A9C" w:rsidRPr="00AB1648" w14:paraId="3C2508B8" w14:textId="25324FA1" w:rsidTr="00842CC3">
        <w:trPr>
          <w:cantSplit/>
          <w:trHeight w:val="1134"/>
        </w:trPr>
        <w:tc>
          <w:tcPr>
            <w:tcW w:w="3544" w:type="dxa"/>
          </w:tcPr>
          <w:p w14:paraId="6B81FEC3" w14:textId="287C8E01"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Kim, A. &amp; Yoo, 2023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{"citationID":"whgxSW0p","properties":{"formattedCitation":"(63)","plainCitation":"(63)","noteIndex":0},"citationItems":[{"id":6393,"uris":["http://zotero.org/users/5390204/items/YEBLJX8T"],"itemData":{"id":6393,"type":"article-journal","container-title":"Asia-Pacific Journal of Atmospheric Sciences","DOI":"10.1007/s13143-023-00326-4","ISSN":"1976-7633, 1976-7951","issue":"4","journalAbbreviation":"Asia-Pac J Atmos Sci","language":"en","page":"447-458","source":"DOI.org (Crossref)","title":"Field-based Heatwave Risk Assessment of Outdoor Workers Measured by Wearable Sensors","volume":"59","author":[{"family":"Kim","given":"Ara"},{"family":"Yoo","given":"Gayoung"}],"issued":{"date-parts":[["2023",8]]}}}],"schema":"https://github.com/citation-style-language/schema/raw/master/csl-citation.json"}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(63)</w:t>
            </w:r>
            <w:r w:rsidRPr="003C6A9C">
              <w:rPr>
                <w:rFonts w:ascii="Arial" w:hAnsi="Arial" w:cs="Arial"/>
                <w:sz w:val="20"/>
                <w:szCs w:val="20"/>
              </w:rPr>
              <w:fldChar w:fldCharType="end"/>
            </w:r>
          </w:p>
        </w:tc>
        <w:tc>
          <w:tcPr>
            <w:tcW w:w="3827" w:type="dxa"/>
          </w:tcPr>
          <w:p w14:paraId="1F7A914D" w14:textId="062AA56C" w:rsidR="003C6A9C" w:rsidRPr="003C6A9C" w:rsidRDefault="003C6A9C" w:rsidP="003C6A9C">
            <w:pPr>
              <w:spacing w:before="144"/>
              <w:rPr>
                <w:rFonts w:ascii="Arial" w:hAnsi="Arial" w:cs="Arial"/>
                <w:sz w:val="20"/>
                <w:szCs w:val="20"/>
              </w:rPr>
            </w:pPr>
            <w:r w:rsidRPr="003C6A9C">
              <w:rPr>
                <w:rFonts w:ascii="Arial" w:hAnsi="Arial" w:cs="Arial"/>
                <w:sz w:val="20"/>
                <w:szCs w:val="20"/>
              </w:rPr>
              <w:t>High: wearable sensors in practical settings</w:t>
            </w:r>
          </w:p>
        </w:tc>
        <w:tc>
          <w:tcPr>
            <w:tcW w:w="3543" w:type="dxa"/>
          </w:tcPr>
          <w:p w14:paraId="38184E2A" w14:textId="78660AF2" w:rsidR="003C6A9C" w:rsidRPr="003C6A9C" w:rsidRDefault="003C6A9C" w:rsidP="003C6A9C">
            <w:pPr>
              <w:spacing w:before="144"/>
              <w:rPr>
                <w:rFonts w:ascii="Arial" w:hAnsi="Arial" w:cs="Arial"/>
                <w:sz w:val="20"/>
                <w:szCs w:val="20"/>
              </w:rPr>
            </w:pPr>
            <w:r w:rsidRPr="003C6A9C">
              <w:rPr>
                <w:rFonts w:ascii="Arial" w:hAnsi="Arial" w:cs="Arial"/>
                <w:sz w:val="20"/>
                <w:szCs w:val="20"/>
              </w:rPr>
              <w:t>High: combined environmental and physiological data</w:t>
            </w:r>
          </w:p>
        </w:tc>
        <w:tc>
          <w:tcPr>
            <w:tcW w:w="3543" w:type="dxa"/>
          </w:tcPr>
          <w:p w14:paraId="6095421A" w14:textId="4881E447" w:rsidR="003C6A9C" w:rsidRPr="003C6A9C" w:rsidRDefault="003C6A9C" w:rsidP="003C6A9C">
            <w:pPr>
              <w:spacing w:before="144"/>
              <w:rPr>
                <w:rFonts w:ascii="Arial" w:hAnsi="Arial" w:cs="Arial"/>
                <w:sz w:val="20"/>
                <w:szCs w:val="20"/>
              </w:rPr>
            </w:pPr>
            <w:r w:rsidRPr="003C6A9C">
              <w:rPr>
                <w:rFonts w:ascii="Arial" w:hAnsi="Arial" w:cs="Arial"/>
                <w:sz w:val="20"/>
                <w:szCs w:val="20"/>
              </w:rPr>
              <w:t>Moderate: sound method, less generalizable</w:t>
            </w:r>
          </w:p>
        </w:tc>
      </w:tr>
      <w:tr w:rsidR="003C6A9C" w:rsidRPr="00AB1648" w14:paraId="5A82BC88" w14:textId="3A2D3297" w:rsidTr="00842CC3">
        <w:trPr>
          <w:cantSplit/>
          <w:trHeight w:val="1134"/>
        </w:trPr>
        <w:tc>
          <w:tcPr>
            <w:tcW w:w="3544" w:type="dxa"/>
          </w:tcPr>
          <w:p w14:paraId="73CC5B33" w14:textId="09DA23D2" w:rsidR="003C6A9C" w:rsidRPr="003C6A9C" w:rsidRDefault="003C6A9C" w:rsidP="003C6A9C">
            <w:pPr>
              <w:spacing w:before="144"/>
              <w:rPr>
                <w:rFonts w:ascii="Arial" w:hAnsi="Arial" w:cs="Arial"/>
                <w:sz w:val="20"/>
                <w:szCs w:val="20"/>
                <w:lang w:val="de-DE"/>
              </w:rPr>
            </w:pPr>
            <w:r w:rsidRPr="003C6A9C">
              <w:rPr>
                <w:rFonts w:ascii="Arial" w:hAnsi="Arial" w:cs="Arial"/>
                <w:sz w:val="20"/>
                <w:szCs w:val="20"/>
                <w:lang w:val="de-DE"/>
              </w:rPr>
              <w:t xml:space="preserve">Kim, Y.-S. et al., 2022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{"citationID":"jCG4y8Nf","properties":{"formattedCitation":"(51)","plainCitation":"(51)","noteIndex":0},"citationItems":[{"id":6448,"uris":["http://zotero.org/users/5390204/items/ZCHGQQE3"],"itemData":{"id":6448,"type":"article-journal","abstract":"Abstract\n            \n              Hotter summers caused by global warming and increased workload and duration are endangering the health of farmworkers, a high</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risk population for heat</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related illness (HRI), and deaths. Although prior studies using wearable sensors show the feasibility of employing field</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collected data for HRI monitoring, existing devices still have limitations, such as data loss from motion artifacts, device discomfort from rigid electronics, difficulties with administering ingestible sensors, and low temporal resolution. Here, this paper introduces a wireless, wearable bioelectronic system with functionalities for continuous monitoring of skin temperature, electrocardiograms (ECG), heart rates (HR), and activities, configured in a single integrated package. Advanced nanomanufacturing based on laser machining allows rapid device fabrication and direct incorporation of sensors with a highly breathable substrate, allowing for managing excessive sweating and multimodal stresses. To validate the device's performance in agricultural settings, the device is applied to multiple farmworkers at various operations, including fernery, nursery, and crop. The accurate data recording, including high</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fidelity ECG (signal</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to</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noise ratio: &gt;20 dB), accurate HR (\n              r\n              = 0.89,\n              r\n              2\n              = 0.65 in linear correlation), and reliable temperature/activity, confirms the device's capability for multiparameter health monitoring of farmworkers.","container-title":"Advanced Healthcare Materials","DOI":"10.1002/adhm.202200170","ISSN":"2192-2640, 2192-2659","issue":"13","journalAbbreviation":"Adv Healthcare Materials","language":"en","page":"2200170","source":"DOI.org (Crossref)","title":"Soft Wireless Bioelectronics Designed for Real</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Time, Continuous Health Monitoring of Farmworkers","volume":"11","author":[{"family":"Kim","given":"Yun</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Soung"},{"family":"Kim","given":"Jihoon"},{"family":"Chicas","given":"Roxana"},{"family":"Xiuhtecutli","given":"Nezahualcoyotl"},{"family":"Matthews","given":"Jared"},{"family":"Zavanelli","given":"Nathan"},{"family":"Kwon","given":"Shinjae"},{"family":"Lee","given":"Sung Hoon"},{"family":"Hertzberg","given":"Vicki S."},{"family":"Yeo","given":"Woon</w:instrText>
            </w:r>
            <w:r w:rsidRPr="003C6A9C">
              <w:rPr>
                <w:rFonts w:ascii="Cambria Math" w:hAnsi="Cambria Math" w:cs="Cambria Math"/>
                <w:sz w:val="20"/>
                <w:szCs w:val="20"/>
                <w:lang w:val="de-DE"/>
              </w:rPr>
              <w:instrText>‐</w:instrText>
            </w:r>
            <w:r w:rsidRPr="003C6A9C">
              <w:rPr>
                <w:rFonts w:ascii="Arial" w:hAnsi="Arial" w:cs="Arial"/>
                <w:sz w:val="20"/>
                <w:szCs w:val="20"/>
                <w:lang w:val="de-DE"/>
              </w:rPr>
              <w:instrText xml:space="preserve">Hong"}],"issued":{"date-parts":[["2022",7]]}}}],"schema":"https://github.com/citation-style-language/schema/raw/master/csl-citation.json"}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(51)</w:t>
            </w:r>
            <w:r w:rsidRPr="003C6A9C">
              <w:rPr>
                <w:rFonts w:ascii="Arial" w:hAnsi="Arial" w:cs="Arial"/>
                <w:sz w:val="20"/>
                <w:szCs w:val="20"/>
              </w:rPr>
              <w:fldChar w:fldCharType="end"/>
            </w:r>
          </w:p>
        </w:tc>
        <w:tc>
          <w:tcPr>
            <w:tcW w:w="3827" w:type="dxa"/>
          </w:tcPr>
          <w:p w14:paraId="2F4739D7" w14:textId="1D3EB94A" w:rsidR="003C6A9C" w:rsidRPr="003C6A9C" w:rsidRDefault="003C6A9C" w:rsidP="003C6A9C">
            <w:pPr>
              <w:spacing w:before="144"/>
              <w:rPr>
                <w:rFonts w:ascii="Arial" w:hAnsi="Arial" w:cs="Arial"/>
                <w:sz w:val="20"/>
                <w:szCs w:val="20"/>
              </w:rPr>
            </w:pPr>
            <w:r w:rsidRPr="003C6A9C">
              <w:rPr>
                <w:rFonts w:ascii="Arial" w:hAnsi="Arial" w:cs="Arial"/>
                <w:sz w:val="20"/>
                <w:szCs w:val="20"/>
              </w:rPr>
              <w:t>High: real-time monitoring with wearables</w:t>
            </w:r>
          </w:p>
        </w:tc>
        <w:tc>
          <w:tcPr>
            <w:tcW w:w="3543" w:type="dxa"/>
          </w:tcPr>
          <w:p w14:paraId="76D523C3" w14:textId="461C579F" w:rsidR="003C6A9C" w:rsidRPr="003C6A9C" w:rsidRDefault="003C6A9C" w:rsidP="003C6A9C">
            <w:pPr>
              <w:spacing w:before="144"/>
              <w:rPr>
                <w:rFonts w:ascii="Arial" w:hAnsi="Arial" w:cs="Arial"/>
                <w:sz w:val="20"/>
                <w:szCs w:val="20"/>
              </w:rPr>
            </w:pPr>
            <w:r w:rsidRPr="003C6A9C">
              <w:rPr>
                <w:rFonts w:ascii="Arial" w:hAnsi="Arial" w:cs="Arial"/>
                <w:sz w:val="20"/>
                <w:szCs w:val="20"/>
              </w:rPr>
              <w:t>High: application with context and data richness</w:t>
            </w:r>
          </w:p>
        </w:tc>
        <w:tc>
          <w:tcPr>
            <w:tcW w:w="3543" w:type="dxa"/>
          </w:tcPr>
          <w:p w14:paraId="32B108D6" w14:textId="3A1F4917" w:rsidR="003C6A9C" w:rsidRPr="003C6A9C" w:rsidRDefault="003C6A9C" w:rsidP="003C6A9C">
            <w:pPr>
              <w:spacing w:before="144"/>
              <w:rPr>
                <w:rFonts w:ascii="Arial" w:hAnsi="Arial" w:cs="Arial"/>
                <w:sz w:val="20"/>
                <w:szCs w:val="20"/>
              </w:rPr>
            </w:pPr>
            <w:r w:rsidRPr="003C6A9C">
              <w:rPr>
                <w:rFonts w:ascii="Arial" w:hAnsi="Arial" w:cs="Arial"/>
                <w:sz w:val="20"/>
                <w:szCs w:val="20"/>
              </w:rPr>
              <w:t>High: integrated engineering and validation</w:t>
            </w:r>
          </w:p>
        </w:tc>
      </w:tr>
      <w:tr w:rsidR="003C6A9C" w:rsidRPr="00AB1648" w14:paraId="0593563B" w14:textId="14AF90C9" w:rsidTr="00842CC3">
        <w:trPr>
          <w:cantSplit/>
          <w:trHeight w:val="1134"/>
        </w:trPr>
        <w:tc>
          <w:tcPr>
            <w:tcW w:w="3544" w:type="dxa"/>
          </w:tcPr>
          <w:p w14:paraId="64878C90" w14:textId="6F2CD9EE"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Mitchell et al., 2017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{"citationID":"1z8Hbe9i","properties":{"formattedCitation":"(52)","plainCitation":"(52)","noteIndex":0},"citationItems":[{"id":6394,"uris":["http://zotero.org/users/5390204/items/MMDU543T"],"itemData":{"id":6394,"type":"article-journal","container-title":"Journal of Occupational &amp; Environmental Medicine","DOI":"10.1097/JOM.0000000000000988","ISSN":"1076-2752","issue":"7","language":"en","page":"649-658","source":"DOI.org (Crossref)","title":"Recruitment, Methods, and Descriptive Results of a Physiologic Assessment of Latino Farmworkers: The California Heat Illness Prevention Study","title-short":"Recruitment, Methods, and Descriptive Results of a Physiologic Assessment of Latino Farmworkers","volume":"59","author":[{"family":"Mitchell","given":"Diane C."},{"family":"Castro","given":"Javier"},{"family":"Armitage","given":"Tracey L."},{"family":"Vega-Arroyo","given":"Alondra J."},{"family":"Moyce","given":"Sally C."},{"family":"Tancredi","given":"Daniel J."},{"family":"Bennett","given":"Deborah H."},{"family":"Jones","given":"James H."},{"family":"Kjellstrom","given":"Tord"},{"family":"Schenker","given":"Marc B."}],"issued":{"date-parts":[["2017",7]]}}}],"schema":"https://github.com/citation-style-language/schema/raw/master/csl-citation.json"}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(52)</w:t>
            </w:r>
            <w:r w:rsidRPr="003C6A9C">
              <w:rPr>
                <w:rFonts w:ascii="Arial" w:hAnsi="Arial" w:cs="Arial"/>
                <w:sz w:val="20"/>
                <w:szCs w:val="20"/>
              </w:rPr>
              <w:fldChar w:fldCharType="end"/>
            </w:r>
          </w:p>
        </w:tc>
        <w:tc>
          <w:tcPr>
            <w:tcW w:w="3827" w:type="dxa"/>
          </w:tcPr>
          <w:p w14:paraId="0B9F9E94" w14:textId="4D7A2CC5"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evaluates physiological heat strain in farmworkers</w:t>
            </w:r>
          </w:p>
        </w:tc>
        <w:tc>
          <w:tcPr>
            <w:tcW w:w="3543" w:type="dxa"/>
          </w:tcPr>
          <w:p w14:paraId="7F1F74F3" w14:textId="6E64A5CF"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detailed demographic, exposure, and physiological data</w:t>
            </w:r>
          </w:p>
        </w:tc>
        <w:tc>
          <w:tcPr>
            <w:tcW w:w="3543" w:type="dxa"/>
          </w:tcPr>
          <w:p w14:paraId="1D9CA889" w14:textId="5D43D444"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robust recruitment and protocol</w:t>
            </w:r>
          </w:p>
        </w:tc>
      </w:tr>
      <w:tr w:rsidR="003C6A9C" w:rsidRPr="00AB1648" w14:paraId="73A3BA7F" w14:textId="240D0541" w:rsidTr="00842CC3">
        <w:trPr>
          <w:cantSplit/>
          <w:trHeight w:val="1134"/>
        </w:trPr>
        <w:tc>
          <w:tcPr>
            <w:tcW w:w="3544" w:type="dxa"/>
          </w:tcPr>
          <w:p w14:paraId="005FCD56" w14:textId="01FFD3FF" w:rsidR="003C6A9C" w:rsidRPr="003C6A9C" w:rsidRDefault="003C6A9C" w:rsidP="003C6A9C">
            <w:pPr>
              <w:spacing w:before="144"/>
              <w:rPr>
                <w:rFonts w:ascii="Arial" w:hAnsi="Arial" w:cs="Arial"/>
                <w:sz w:val="20"/>
                <w:szCs w:val="20"/>
              </w:rPr>
            </w:pPr>
            <w:proofErr w:type="spellStart"/>
            <w:r w:rsidRPr="003C6A9C">
              <w:rPr>
                <w:rFonts w:ascii="Arial" w:hAnsi="Arial" w:cs="Arial"/>
                <w:sz w:val="20"/>
                <w:szCs w:val="20"/>
              </w:rPr>
              <w:t>Pancardo</w:t>
            </w:r>
            <w:proofErr w:type="spellEnd"/>
            <w:r w:rsidRPr="003C6A9C">
              <w:rPr>
                <w:rFonts w:ascii="Arial" w:hAnsi="Arial" w:cs="Arial"/>
                <w:sz w:val="20"/>
                <w:szCs w:val="20"/>
              </w:rPr>
              <w:t xml:space="preserve"> et al., 2015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{"citationID":"rmBzPkje","properties":{"formattedCitation":"(9)","plainCitation":"(9)","noteIndex":0},"citationItems":[{"id":6343,"uris":["http://zotero.org/users/5390204/items/ZSNZFBHQ"],"itemData":{"id":6343,"type":"article-journal","abstract":"Ambient Assisted Working (AAW) is a discipline aiming to provide comfort and safety in the workplace through customization and technology. Workers’ comfort may be compromised in many labor situations, including those depending on environmental conditions, like extremely hot weather conduces to heat stress. Occupational heat stress (OHS) happens when a worker is in an uninterrupted physical activity and in a hot environment. OHS can produce strain on the body, which leads to discomfort and eventually to heat illness and even death. Related ISO standards contain methods to estimate OHS and to ensure the safety and health of workers, but they are subjective, impersonal, performed a posteriori and even invasive. This paper focuses on the design and development of real-time personalized monitoring for a more effective and objective estimation of OHS, taking into account the individual user profile, fusing data from environmental and unobtrusive body sensors. Formulas employed in this work were taken from different domains and joined in the method that we propose. It is based on calculations that enable continuous surveillance of physical activity performance in a comfortable and healthy manner. In this proposal, we found that OHS can be estimated by satisfying the following criteria: objective, personalized, in situ, in real time, just in time and in an unobtrusive way. This enables timely notice for workers to make decisions based on objective information to control OHS.","container-title":"Sensors","DOI":"10.3390/s150716956","ISSN":"1424-8220","issue":"7","journalAbbreviation":"Sensors","language":"en","license":"https://creativecommons.org/licenses/by/4.0/","page":"16956-16980","source":"DOI.org (Crossref)","title":"Real-Time Personalized Monitoring to Estimate Occupational Heat Stress in Ambient Assisted Working","volume":"15","author":[{"family":"Pancardo","given":"Pablo"},{"family":"Acosta","given":"Francisco"},{"family":"Hernández-Nolasco","given":"José"},{"family":"Wister","given":"Miguel"},{"family":"López-de-Ipiña","given":"Diego"}],"issued":{"date-parts":[["2015",7,13]]}}}],"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(9)</w:t>
            </w:r>
            <w:r w:rsidRPr="003C6A9C">
              <w:rPr>
                <w:rFonts w:ascii="Arial" w:hAnsi="Arial" w:cs="Arial"/>
                <w:sz w:val="20"/>
                <w:szCs w:val="20"/>
              </w:rPr>
              <w:fldChar w:fldCharType="end"/>
            </w:r>
          </w:p>
        </w:tc>
        <w:tc>
          <w:tcPr>
            <w:tcW w:w="3827" w:type="dxa"/>
          </w:tcPr>
          <w:p w14:paraId="356EB85E" w14:textId="164D3A96"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heat stress estimation model using wearables</w:t>
            </w:r>
          </w:p>
        </w:tc>
        <w:tc>
          <w:tcPr>
            <w:tcW w:w="3543" w:type="dxa"/>
          </w:tcPr>
          <w:p w14:paraId="653C00FB" w14:textId="04EC2591"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lacks deep user context or field deployment</w:t>
            </w:r>
          </w:p>
        </w:tc>
        <w:tc>
          <w:tcPr>
            <w:tcW w:w="3543" w:type="dxa"/>
          </w:tcPr>
          <w:p w14:paraId="277F1C34" w14:textId="0E331789"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Moderate: includes validation, but limited real-world application</w:t>
            </w:r>
          </w:p>
        </w:tc>
      </w:tr>
      <w:tr w:rsidR="003C6A9C" w:rsidRPr="00AB1648" w14:paraId="5819A47B" w14:textId="6EB8E913" w:rsidTr="00842CC3">
        <w:trPr>
          <w:cantSplit/>
          <w:trHeight w:val="1134"/>
        </w:trPr>
        <w:tc>
          <w:tcPr>
            <w:tcW w:w="3544" w:type="dxa"/>
          </w:tcPr>
          <w:p w14:paraId="6B369DDC" w14:textId="66AE1134" w:rsidR="003C6A9C" w:rsidRPr="003C6A9C" w:rsidRDefault="003C6A9C" w:rsidP="003C6A9C">
            <w:pPr>
              <w:spacing w:before="144"/>
              <w:rPr>
                <w:rFonts w:ascii="Arial" w:hAnsi="Arial" w:cs="Arial"/>
                <w:sz w:val="20"/>
                <w:szCs w:val="20"/>
                <w:lang w:val="de-DE"/>
              </w:rPr>
            </w:pPr>
            <w:proofErr w:type="spellStart"/>
            <w:r w:rsidRPr="003C6A9C">
              <w:rPr>
                <w:rFonts w:ascii="Arial" w:hAnsi="Arial" w:cs="Arial"/>
                <w:sz w:val="20"/>
                <w:szCs w:val="20"/>
                <w:lang w:val="de-DE"/>
              </w:rPr>
              <w:t>Ruas</w:t>
            </w:r>
            <w:proofErr w:type="spellEnd"/>
            <w:r w:rsidRPr="003C6A9C">
              <w:rPr>
                <w:rFonts w:ascii="Arial" w:hAnsi="Arial" w:cs="Arial"/>
                <w:sz w:val="20"/>
                <w:szCs w:val="20"/>
                <w:lang w:val="de-DE"/>
              </w:rPr>
              <w:t xml:space="preserve"> et al., 2020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{"citationID":"QeHHQEwP","properties":{"formattedCitation":"(61)","plainCitation":"(61)","noteIndex":0},"citationItems":[{"id":6407,"uris":["http://zotero.org/users/5390204/items/TBGR6ZUQ"],"itemData":{"id":6407,"type":"article-journal","container-title":"Revista Brasileira de Medicina do Trabalho","DOI":"10.47626/1679-4435-2020-449","ISSN":"16794435, 24470147","issue":"02","journalAbbreviation":"Rev Bras Med Trab","page":"232-240","source":"DOI.org (Crossref)","title":"Heat stress monitoring based on heart rate measurements","volume":"18","author":[{"family":"Ruas","given":"Alvaro Cesar"},{"family":"Maia","given":"Paulo Alves"},{"family":"Roscani","given":"Rodrigo Cauduro"},{"family":"Bitencourt","given":"Daniel Pires"},{"family":"Amorim","given":"Fabiano Trigueiro"}],"issued":{"date-parts":[["2020"]]}}}],"schema":"https://github.com/citation-style-language/schema/raw/master/csl-citation.json"}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(61)</w:t>
            </w:r>
            <w:r w:rsidRPr="003C6A9C">
              <w:rPr>
                <w:rFonts w:ascii="Arial" w:hAnsi="Arial" w:cs="Arial"/>
                <w:sz w:val="20"/>
                <w:szCs w:val="20"/>
              </w:rPr>
              <w:fldChar w:fldCharType="end"/>
            </w:r>
          </w:p>
        </w:tc>
        <w:tc>
          <w:tcPr>
            <w:tcW w:w="3827" w:type="dxa"/>
          </w:tcPr>
          <w:p w14:paraId="6C8226DC" w14:textId="6454B94F"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heart rate monitoring in occupational settings</w:t>
            </w:r>
          </w:p>
        </w:tc>
        <w:tc>
          <w:tcPr>
            <w:tcW w:w="3543" w:type="dxa"/>
          </w:tcPr>
          <w:p w14:paraId="42796F3B" w14:textId="545FF742"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physiological focus, limited context</w:t>
            </w:r>
          </w:p>
        </w:tc>
        <w:tc>
          <w:tcPr>
            <w:tcW w:w="3543" w:type="dxa"/>
          </w:tcPr>
          <w:p w14:paraId="3E31E1DC" w14:textId="591AACA6"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Moderate: practical application, but lacks robust design</w:t>
            </w:r>
          </w:p>
        </w:tc>
      </w:tr>
      <w:tr w:rsidR="003C6A9C" w:rsidRPr="00AB1648" w14:paraId="269A924B" w14:textId="11DB3EFA" w:rsidTr="00842CC3">
        <w:trPr>
          <w:cantSplit/>
          <w:trHeight w:val="1134"/>
        </w:trPr>
        <w:tc>
          <w:tcPr>
            <w:tcW w:w="3544" w:type="dxa"/>
          </w:tcPr>
          <w:p w14:paraId="6AC7E583" w14:textId="534138B5" w:rsidR="003C6A9C" w:rsidRPr="003C6A9C" w:rsidRDefault="003C6A9C" w:rsidP="003C6A9C">
            <w:pPr>
              <w:spacing w:before="144"/>
              <w:rPr>
                <w:rFonts w:ascii="Arial" w:hAnsi="Arial" w:cs="Arial"/>
                <w:sz w:val="20"/>
                <w:szCs w:val="20"/>
                <w:lang w:val="de-DE"/>
              </w:rPr>
            </w:pPr>
            <w:proofErr w:type="spellStart"/>
            <w:r w:rsidRPr="003C6A9C">
              <w:rPr>
                <w:rFonts w:ascii="Arial" w:hAnsi="Arial" w:cs="Arial"/>
                <w:sz w:val="20"/>
                <w:szCs w:val="20"/>
                <w:lang w:val="de-DE"/>
              </w:rPr>
              <w:lastRenderedPageBreak/>
              <w:t>Runkle</w:t>
            </w:r>
            <w:proofErr w:type="spellEnd"/>
            <w:r w:rsidRPr="003C6A9C">
              <w:rPr>
                <w:rFonts w:ascii="Arial" w:hAnsi="Arial" w:cs="Arial"/>
                <w:sz w:val="20"/>
                <w:szCs w:val="20"/>
                <w:lang w:val="de-DE"/>
              </w:rPr>
              <w:t xml:space="preserve"> et al., 2019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{"citationID":"IHKbNaQs","properties":{"formattedCitation":"(37)","plainCitation":"(37)","noteIndex":0},"citationItems":[{"id":6387,"uris":["http://zotero.org/users/5390204/items/2J5Z6JYU"],"itemData":{"id":6387,"type":"article-journal","container-title":"Environment International","DOI":"10.1016/j.envint.2019.05.026","ISSN":"01604120","journalAbbreviation":"Environment International","language":"en","page":"229-238","source":"DOI.org (Crossref)","title":"Evaluation of wearable sensors for physiologic monitoring of individually experienced temperatures in outdoor workers in southeastern U.S.","volume":"129","author":[{"family":"Runkle","given":"Jennifer D."},{"family":"Cui","given":"Can"},{"family":"Fuhrmann","given":"Chris"},{"family":"Stevens","given":"Scott"},{"family":"Del Pinal","given":"Jeff"},{"family":"Sugg","given":"Margaret M."}],"issued":{"date-parts":[["2019",8]]}}}],"schema":"https://github.com/citation-style-language/schema/raw/master/csl-citation.json"}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(37)</w:t>
            </w:r>
            <w:r w:rsidRPr="003C6A9C">
              <w:rPr>
                <w:rFonts w:ascii="Arial" w:hAnsi="Arial" w:cs="Arial"/>
                <w:sz w:val="20"/>
                <w:szCs w:val="20"/>
              </w:rPr>
              <w:fldChar w:fldCharType="end"/>
            </w:r>
          </w:p>
        </w:tc>
        <w:tc>
          <w:tcPr>
            <w:tcW w:w="3827" w:type="dxa"/>
          </w:tcPr>
          <w:p w14:paraId="118B431E" w14:textId="37E830CB"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evaluates wearable sensors in real outdoor conditions</w:t>
            </w:r>
          </w:p>
        </w:tc>
        <w:tc>
          <w:tcPr>
            <w:tcW w:w="3543" w:type="dxa"/>
          </w:tcPr>
          <w:p w14:paraId="536D0465" w14:textId="473A15CC"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rich environmental and physiological context</w:t>
            </w:r>
          </w:p>
        </w:tc>
        <w:tc>
          <w:tcPr>
            <w:tcW w:w="3543" w:type="dxa"/>
          </w:tcPr>
          <w:p w14:paraId="4DEDCE17" w14:textId="6F5E39E3"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sensor comparison and application</w:t>
            </w:r>
          </w:p>
        </w:tc>
      </w:tr>
      <w:tr w:rsidR="003C6A9C" w:rsidRPr="00AB1648" w14:paraId="428832FC" w14:textId="1223C909" w:rsidTr="00842CC3">
        <w:trPr>
          <w:cantSplit/>
          <w:trHeight w:val="1134"/>
        </w:trPr>
        <w:tc>
          <w:tcPr>
            <w:tcW w:w="3544" w:type="dxa"/>
          </w:tcPr>
          <w:p w14:paraId="12EB0A29" w14:textId="34C73EE8"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Shakerian et al., 2021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{"citationID":"CwU6C2pq","properties":{"formattedCitation":"(53)","plainCitation":"(53)","noteIndex":0},"citationItems":[{"id":6396,"uris":["http://zotero.org/users/5390204/items/ASGHIZIT"],"itemData":{"id":6396,"type":"article-journal","container-title":"Safety Science","DOI":"10.1016/j.ssci.2021.105395","ISSN":"09257535","journalAbbreviation":"Safety Science","language":"en","page":"105395","source":"DOI.org (Crossref)","title":"Assessing occupational risk of heat stress at construction: A worker-centric wearable sensor-based approach","title-short":"Assessing occupational risk of heat stress at construction","volume":"142","author":[{"family":"Shakerian","given":"Shahrad"},{"family":"Habibnezhad","given":"Mahmoud"},{"family":"Ojha","given":"Amit"},{"family":"Lee","given":"Gaang"},{"family":"Liu","given":"Yizhi"},{"family":"Jebelli","given":"Houtan"},{"family":"Lee","given":"SangHyun"}],"issued":{"date-parts":[["2021",10]]}}}],"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(53)</w:t>
            </w:r>
            <w:r w:rsidRPr="003C6A9C">
              <w:rPr>
                <w:rFonts w:ascii="Arial" w:hAnsi="Arial" w:cs="Arial"/>
                <w:sz w:val="20"/>
                <w:szCs w:val="20"/>
              </w:rPr>
              <w:fldChar w:fldCharType="end"/>
            </w:r>
          </w:p>
        </w:tc>
        <w:tc>
          <w:tcPr>
            <w:tcW w:w="3827" w:type="dxa"/>
          </w:tcPr>
          <w:p w14:paraId="151E329B" w14:textId="6408E28D"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focuses on construction site risk profiling</w:t>
            </w:r>
          </w:p>
        </w:tc>
        <w:tc>
          <w:tcPr>
            <w:tcW w:w="3543" w:type="dxa"/>
          </w:tcPr>
          <w:p w14:paraId="149BDEF1" w14:textId="57F9F7A4"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real-world task and environmental detail</w:t>
            </w:r>
          </w:p>
        </w:tc>
        <w:tc>
          <w:tcPr>
            <w:tcW w:w="3543" w:type="dxa"/>
          </w:tcPr>
          <w:p w14:paraId="4F9E781E" w14:textId="0CDFB4A7"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robust technical integration</w:t>
            </w:r>
          </w:p>
        </w:tc>
      </w:tr>
      <w:tr w:rsidR="003C6A9C" w:rsidRPr="00AB1648" w14:paraId="4EB2FBBE" w14:textId="2621F735" w:rsidTr="00842CC3">
        <w:trPr>
          <w:cantSplit/>
          <w:trHeight w:val="1134"/>
        </w:trPr>
        <w:tc>
          <w:tcPr>
            <w:tcW w:w="3544" w:type="dxa"/>
          </w:tcPr>
          <w:p w14:paraId="7E18BCBE" w14:textId="591B7E84"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Sharma et al., 2022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{"citationID":"6w31ESTB","properties":{"formattedCitation":"(62)","plainCitation":"(62)","noteIndex":0},"citationItems":[{"id":6397,"uris":["http://zotero.org/users/5390204/items/2CWUBPIQ"],"itemData":{"id":6397,"type":"article-journal","container-title":"International Journal of Environmental Science and Technology","DOI":"10.1007/s13762-021-03862-6","ISSN":"1735-1472, 1735-2630","issue":"11","journalAbbreviation":"Int. J. Environ. Sci. Technol.","language":"en","page":"11421-11434","source":"DOI.org (Crossref)","title":"Analyzing occupational heat stress using sensor-based monitoring: a wearable approach with environmental ergonomics perspective","title-short":"Analyzing occupational heat stress using sensor-based monitoring","volume":"19","author":[{"family":"Sharma","given":"M."},{"family":"Suri","given":"N. M."},{"family":"Kant","given":"S."}],"issued":{"date-parts":[["2022",11]]}}}],"schema":"https://github.com/citation-style-language/schema/raw/master/csl-citation.json"}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(62)</w:t>
            </w:r>
            <w:r w:rsidRPr="003C6A9C">
              <w:rPr>
                <w:rFonts w:ascii="Arial" w:hAnsi="Arial" w:cs="Arial"/>
                <w:sz w:val="20"/>
                <w:szCs w:val="20"/>
              </w:rPr>
              <w:fldChar w:fldCharType="end"/>
            </w:r>
          </w:p>
        </w:tc>
        <w:tc>
          <w:tcPr>
            <w:tcW w:w="3827" w:type="dxa"/>
          </w:tcPr>
          <w:p w14:paraId="294B7422" w14:textId="6E89D6A4"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analyzes occupational stress using environmental ergonomics</w:t>
            </w:r>
          </w:p>
        </w:tc>
        <w:tc>
          <w:tcPr>
            <w:tcW w:w="3543" w:type="dxa"/>
          </w:tcPr>
          <w:p w14:paraId="2141B4BF" w14:textId="7B366958"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environmental parameters included</w:t>
            </w:r>
          </w:p>
        </w:tc>
        <w:tc>
          <w:tcPr>
            <w:tcW w:w="3543" w:type="dxa"/>
          </w:tcPr>
          <w:p w14:paraId="0F19E25C" w14:textId="7D220F74"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Moderate: mostly descriptive, not interventional</w:t>
            </w:r>
          </w:p>
        </w:tc>
      </w:tr>
      <w:tr w:rsidR="003C6A9C" w:rsidRPr="00AB1648" w14:paraId="414E2A72" w14:textId="50B87E14" w:rsidTr="00842CC3">
        <w:trPr>
          <w:cantSplit/>
          <w:trHeight w:val="1134"/>
        </w:trPr>
        <w:tc>
          <w:tcPr>
            <w:tcW w:w="3544" w:type="dxa"/>
          </w:tcPr>
          <w:p w14:paraId="43707520" w14:textId="166A3BAD"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Spook et al., 2019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{"citationID":"GQLxxFgm","properties":{"formattedCitation":"(36)","plainCitation":"(36)","noteIndex":0},"citationItems":[{"id":6384,"uris":["http://zotero.org/users/5390204/items/QBGGQ4VL"],"itemData":{"id":6384,"type":"article-journal","container-title":"BMC Public Health","DOI":"10.1186/s12889-019-7364-2","ISSN":"1471-2458","issue":"1","journalAbbreviation":"BMC Public Health","language":"en","page":"1100","source":"DOI.org (Crossref)","title":"Implementing sensor technology applications for workplace health promotion: a needs assessment among workers with physically demanding work","title-short":"Implementing sensor technology applications for workplace health promotion","volume":"19","author":[{"family":"Spook","given":"Sander Mathijn"},{"family":"Koolhaas","given":"Wendy"},{"family":"Bültmann","given":"Ute"},{"family":"Brouwer","given":"Sandra"}],"issued":{"date-parts":[["2019",12]]}}}],"schema":"https://github.com/citation-style-language/schema/raw/master/csl-citation.json"}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(36)</w:t>
            </w:r>
            <w:r w:rsidRPr="003C6A9C">
              <w:rPr>
                <w:rFonts w:ascii="Arial" w:hAnsi="Arial" w:cs="Arial"/>
                <w:sz w:val="20"/>
                <w:szCs w:val="20"/>
              </w:rPr>
              <w:fldChar w:fldCharType="end"/>
            </w:r>
          </w:p>
        </w:tc>
        <w:tc>
          <w:tcPr>
            <w:tcW w:w="3827" w:type="dxa"/>
          </w:tcPr>
          <w:p w14:paraId="532B5AFB" w14:textId="15257FA1"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assesses user perspectives and organizational context</w:t>
            </w:r>
          </w:p>
        </w:tc>
        <w:tc>
          <w:tcPr>
            <w:tcW w:w="3543" w:type="dxa"/>
          </w:tcPr>
          <w:p w14:paraId="09D65FEC" w14:textId="6CC109D1"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valuable contextual data on implementation</w:t>
            </w:r>
          </w:p>
        </w:tc>
        <w:tc>
          <w:tcPr>
            <w:tcW w:w="3543" w:type="dxa"/>
          </w:tcPr>
          <w:p w14:paraId="77B62379" w14:textId="1EB7DC77"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thorough qualitative methodology</w:t>
            </w:r>
          </w:p>
        </w:tc>
      </w:tr>
      <w:tr w:rsidR="003C6A9C" w:rsidRPr="00AB1648" w14:paraId="1555329C" w14:textId="64F78AF0" w:rsidTr="00842CC3">
        <w:trPr>
          <w:cantSplit/>
          <w:trHeight w:val="1134"/>
        </w:trPr>
        <w:tc>
          <w:tcPr>
            <w:tcW w:w="3544" w:type="dxa"/>
          </w:tcPr>
          <w:p w14:paraId="6EBF3A64" w14:textId="3ED040B9"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Sugg et al., 2018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{"citationID":"XcyMcpbU","properties":{"formattedCitation":"(54)","plainCitation":"(54)","noteIndex":0},"citationItems":[{"id":6399,"uris":["http://zotero.org/users/5390204/items/HL58SPUD"],"itemData":{"id":6399,"type":"article-journal","container-title":"International Journal of Biometeorology","DOI":"10.1007/s00484-018-1553-z","ISSN":"0020-7128, 1432-1254","issue":"8","journalAbbreviation":"Int J Biometeorol","language":"en","page":"1521-1534","source":"DOI.org (Crossref)","title":"Temporal and spatial variation in personal ambient temperatures for outdoor working populations in the southeastern USA","volume":"62","author":[{"family":"Sugg","given":"Margaret M."},{"family":"Fuhrmann","given":"Christopher M."},{"family":"Runkle","given":"Jennifer D."}],"issued":{"date-parts":[["2018",8]]}}}],"schema":"https://github.com/citation-style-language/schema/raw/master/csl-citation.json"}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(54)</w:t>
            </w:r>
            <w:r w:rsidRPr="003C6A9C">
              <w:rPr>
                <w:rFonts w:ascii="Arial" w:hAnsi="Arial" w:cs="Arial"/>
                <w:sz w:val="20"/>
                <w:szCs w:val="20"/>
              </w:rPr>
              <w:fldChar w:fldCharType="end"/>
            </w:r>
          </w:p>
        </w:tc>
        <w:tc>
          <w:tcPr>
            <w:tcW w:w="3827" w:type="dxa"/>
          </w:tcPr>
          <w:p w14:paraId="035CAC93" w14:textId="28BE2A81"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evaluates personal ambient temperature variation</w:t>
            </w:r>
          </w:p>
        </w:tc>
        <w:tc>
          <w:tcPr>
            <w:tcW w:w="3543" w:type="dxa"/>
          </w:tcPr>
          <w:p w14:paraId="7B14BDD7" w14:textId="08E18147"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less emphasis on subjective or behavioral factors</w:t>
            </w:r>
          </w:p>
        </w:tc>
        <w:tc>
          <w:tcPr>
            <w:tcW w:w="3543" w:type="dxa"/>
          </w:tcPr>
          <w:p w14:paraId="268ED3EC" w14:textId="0E917682"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clear protocol and analysis</w:t>
            </w:r>
          </w:p>
        </w:tc>
      </w:tr>
      <w:tr w:rsidR="003C6A9C" w:rsidRPr="00AB1648" w14:paraId="026DE5DB" w14:textId="3CCFEE62" w:rsidTr="00842CC3">
        <w:trPr>
          <w:cantSplit/>
          <w:trHeight w:val="1134"/>
        </w:trPr>
        <w:tc>
          <w:tcPr>
            <w:tcW w:w="3544" w:type="dxa"/>
          </w:tcPr>
          <w:p w14:paraId="00834EC9" w14:textId="4EA28D91"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Sugg et al., 2020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{"citationID":"fRgGaUBv","properties":{"formattedCitation":"(55)","plainCitation":"(55)","noteIndex":0},"citationItems":[{"id":6400,"uris":["http://zotero.org/users/5390204/items/JTRKFMIJ"],"itemData":{"id":6400,"type":"article-journal","container-title":"International Journal of Biometeorology","DOI":"10.1007/s00484-019-01833-8","ISSN":"0020-7128, 1432-1254","issue":"3","journalAbbreviation":"Int J Biometeorol","language":"en","page":"471-483","source":"DOI.org (Crossref)","title":"Perceptions and experiences of outdoor occupational workers using digital devices for geospatial biometeorological monitoring","volume":"64","author":[{"family":"Sugg","given":"Margaret M."},{"family":"Fuhrmann","given":"Christopher M."},{"family":"Runkle","given":"Jennifer D."}],"issued":{"date-parts":[["2020",3]]}}}],"schema":"https://github.com/citation-style-language/schema/raw/master/csl-citation.json"}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(55)</w:t>
            </w:r>
            <w:r w:rsidRPr="003C6A9C">
              <w:rPr>
                <w:rFonts w:ascii="Arial" w:hAnsi="Arial" w:cs="Arial"/>
                <w:sz w:val="20"/>
                <w:szCs w:val="20"/>
              </w:rPr>
              <w:fldChar w:fldCharType="end"/>
            </w:r>
          </w:p>
        </w:tc>
        <w:tc>
          <w:tcPr>
            <w:tcW w:w="3827" w:type="dxa"/>
          </w:tcPr>
          <w:p w14:paraId="3ECABAD2" w14:textId="1BA7C52F"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 xml:space="preserve">High: </w:t>
            </w:r>
            <w:proofErr w:type="gramStart"/>
            <w:r w:rsidRPr="003C6A9C">
              <w:rPr>
                <w:rFonts w:ascii="Arial" w:eastAsiaTheme="minorHAnsi" w:hAnsi="Arial" w:cs="Arial"/>
                <w:kern w:val="2"/>
                <w:sz w:val="20"/>
                <w:szCs w:val="20"/>
                <w:lang w:eastAsia="en-US"/>
                <w14:ligatures w14:val="standardContextual"/>
              </w:rPr>
              <w:t>explores</w:t>
            </w:r>
            <w:proofErr w:type="gramEnd"/>
            <w:r w:rsidRPr="003C6A9C">
              <w:rPr>
                <w:rFonts w:ascii="Arial" w:eastAsiaTheme="minorHAnsi" w:hAnsi="Arial" w:cs="Arial"/>
                <w:kern w:val="2"/>
                <w:sz w:val="20"/>
                <w:szCs w:val="20"/>
                <w:lang w:eastAsia="en-US"/>
                <w14:ligatures w14:val="standardContextual"/>
              </w:rPr>
              <w:t xml:space="preserve"> perceptions of wearable use among workers</w:t>
            </w:r>
          </w:p>
        </w:tc>
        <w:tc>
          <w:tcPr>
            <w:tcW w:w="3543" w:type="dxa"/>
          </w:tcPr>
          <w:p w14:paraId="2526452A" w14:textId="144A9FB8"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detailed behavioral and acceptance insights</w:t>
            </w:r>
          </w:p>
        </w:tc>
        <w:tc>
          <w:tcPr>
            <w:tcW w:w="3543" w:type="dxa"/>
          </w:tcPr>
          <w:p w14:paraId="433DDE51" w14:textId="7D7C1252"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rigorous qualitative analysis</w:t>
            </w:r>
          </w:p>
        </w:tc>
      </w:tr>
      <w:tr w:rsidR="003C6A9C" w:rsidRPr="00AB1648" w14:paraId="1B5AA66D" w14:textId="5B3648B5" w:rsidTr="00842CC3">
        <w:trPr>
          <w:cantSplit/>
          <w:trHeight w:val="1134"/>
        </w:trPr>
        <w:tc>
          <w:tcPr>
            <w:tcW w:w="3544" w:type="dxa"/>
          </w:tcPr>
          <w:p w14:paraId="4D17B4AF" w14:textId="0BD50D75" w:rsidR="003C6A9C" w:rsidRPr="003C6A9C" w:rsidRDefault="003C6A9C" w:rsidP="003C6A9C">
            <w:pPr>
              <w:spacing w:before="144"/>
              <w:rPr>
                <w:rFonts w:ascii="Arial" w:hAnsi="Arial" w:cs="Arial"/>
                <w:sz w:val="20"/>
                <w:szCs w:val="20"/>
              </w:rPr>
            </w:pPr>
            <w:r w:rsidRPr="003C6A9C">
              <w:rPr>
                <w:rFonts w:ascii="Arial" w:hAnsi="Arial" w:cs="Arial"/>
                <w:sz w:val="20"/>
                <w:szCs w:val="20"/>
              </w:rPr>
              <w:t xml:space="preserve">Togo &amp; Hirata, 2021 </w:t>
            </w:r>
            <w:r w:rsidRPr="003C6A9C">
              <w:rPr>
                <w:rFonts w:ascii="Arial" w:hAnsi="Arial" w:cs="Arial"/>
                <w:sz w:val="20"/>
                <w:szCs w:val="20"/>
              </w:rPr>
              <w:fldChar w:fldCharType="begin"/>
            </w:r>
            <w:r w:rsidRPr="003C6A9C">
              <w:rPr>
                <w:rFonts w:ascii="Arial" w:hAnsi="Arial" w:cs="Arial"/>
                <w:sz w:val="20"/>
                <w:szCs w:val="20"/>
              </w:rPr>
              <w:instrText xml:space="preserve"> ADDIN ZOTERO_ITEM CSL_CITATION {"citationID":"NKU0NBk3","properties":{"formattedCitation":"(60)","plainCitation":"(60)","noteIndex":0},"citationItems":[{"id":6392,"uris":["http://zotero.org/users/5390204/items/PQ5QASMK"],"itemData":{"id":6392,"type":"article-journal","container-title":"IEEE Pulse","DOI":"10.1109/MPULS.2021.3094253","ISSN":"2154-2287, 2154-2317","issue":"4","journalAbbreviation":"IEEE Pulse","page":"24-27","source":"DOI.org (Crossref)","title":"Novel Health Risk Alert System for Occupational Safety in Hot Environments","volume":"12","author":[{"family":"Togo","given":"Hiroyoshi"},{"family":"Hirata","given":"Akimasa"}],"issued":{"date-parts":[["2021",7]]}}}],"schema":"https://github.com/citation-style-language/schema/raw/master/csl-citation.json"}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(60)</w:t>
            </w:r>
            <w:r w:rsidRPr="003C6A9C">
              <w:rPr>
                <w:rFonts w:ascii="Arial" w:hAnsi="Arial" w:cs="Arial"/>
                <w:sz w:val="20"/>
                <w:szCs w:val="20"/>
              </w:rPr>
              <w:fldChar w:fldCharType="end"/>
            </w:r>
          </w:p>
        </w:tc>
        <w:tc>
          <w:tcPr>
            <w:tcW w:w="3827" w:type="dxa"/>
          </w:tcPr>
          <w:p w14:paraId="1B9AC3EA" w14:textId="1BECEB62"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heat alert system development</w:t>
            </w:r>
          </w:p>
        </w:tc>
        <w:tc>
          <w:tcPr>
            <w:tcW w:w="3543" w:type="dxa"/>
          </w:tcPr>
          <w:p w14:paraId="2C4733DF" w14:textId="039E478B"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 xml:space="preserve">Moderate: focus on </w:t>
            </w:r>
            <w:proofErr w:type="gramStart"/>
            <w:r w:rsidRPr="003C6A9C">
              <w:rPr>
                <w:rFonts w:ascii="Arial" w:eastAsiaTheme="minorHAnsi" w:hAnsi="Arial" w:cs="Arial"/>
                <w:kern w:val="2"/>
                <w:sz w:val="20"/>
                <w:szCs w:val="20"/>
                <w:lang w:eastAsia="en-US"/>
                <w14:ligatures w14:val="standardContextual"/>
              </w:rPr>
              <w:t>technology</w:t>
            </w:r>
            <w:proofErr w:type="gramEnd"/>
            <w:r w:rsidRPr="003C6A9C">
              <w:rPr>
                <w:rFonts w:ascii="Arial" w:eastAsiaTheme="minorHAnsi" w:hAnsi="Arial" w:cs="Arial"/>
                <w:kern w:val="2"/>
                <w:sz w:val="20"/>
                <w:szCs w:val="20"/>
                <w:lang w:eastAsia="en-US"/>
                <w14:ligatures w14:val="standardContextual"/>
              </w:rPr>
              <w:t xml:space="preserve"> features rather than user context</w:t>
            </w:r>
          </w:p>
        </w:tc>
        <w:tc>
          <w:tcPr>
            <w:tcW w:w="3543" w:type="dxa"/>
          </w:tcPr>
          <w:p w14:paraId="406C3952" w14:textId="1BD7BD5E"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Moderate: limited real-world testing</w:t>
            </w:r>
          </w:p>
        </w:tc>
      </w:tr>
      <w:tr w:rsidR="003C6A9C" w:rsidRPr="00AB1648" w14:paraId="7F19D6AC" w14:textId="547BE6D1" w:rsidTr="00842CC3">
        <w:trPr>
          <w:cantSplit/>
          <w:trHeight w:val="1134"/>
        </w:trPr>
        <w:tc>
          <w:tcPr>
            <w:tcW w:w="3544" w:type="dxa"/>
          </w:tcPr>
          <w:p w14:paraId="7FAF62D5" w14:textId="3809E74A" w:rsidR="003C6A9C" w:rsidRPr="003C6A9C" w:rsidRDefault="003C6A9C" w:rsidP="003C6A9C">
            <w:pPr>
              <w:spacing w:before="144"/>
              <w:rPr>
                <w:rFonts w:ascii="Arial" w:hAnsi="Arial" w:cs="Arial"/>
                <w:sz w:val="20"/>
                <w:szCs w:val="20"/>
                <w:lang w:val="de-DE"/>
              </w:rPr>
            </w:pPr>
            <w:proofErr w:type="spellStart"/>
            <w:r w:rsidRPr="003C6A9C">
              <w:rPr>
                <w:rFonts w:ascii="Arial" w:hAnsi="Arial" w:cs="Arial"/>
                <w:sz w:val="20"/>
                <w:szCs w:val="20"/>
                <w:lang w:val="de-DE"/>
              </w:rPr>
              <w:lastRenderedPageBreak/>
              <w:t>Uejio</w:t>
            </w:r>
            <w:proofErr w:type="spellEnd"/>
            <w:r w:rsidRPr="003C6A9C">
              <w:rPr>
                <w:rFonts w:ascii="Arial" w:hAnsi="Arial" w:cs="Arial"/>
                <w:sz w:val="20"/>
                <w:szCs w:val="20"/>
                <w:lang w:val="de-DE"/>
              </w:rPr>
              <w:t xml:space="preserve"> et al., 2018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{"citationID":"D2vItSQz","properties":{"formattedCitation":"(56)","plainCitation":"(56)","noteIndex":0},"citationItems":[{"id":6403,"uris":["http://zotero.org/users/5390204/items/IBYTGMWS"],"itemData":{"id":6403,"type":"article-journal","container-title":"International Archives of Occupational and Environmental Health","DOI":"10.1007/s00420-018-1318-3","ISSN":"0340-0131, 1432-1246","issue":"6","journalAbbreviation":"Int Arch Occup Environ Health","language":"en","page":"705-715","source":"DOI.org (Crossref)","title":"Occupational heat exposure among municipal workers","volume":"91","author":[{"family":"Uejio","given":"Christopher K."},{"family":"Morano","given":"Laurel Harduar"},{"family":"Jung","given":"Jihoon"},{"family":"Kintziger","given":"Kristina"},{"family":"Jagger","given":"Meredith"},{"family":"Chalmers","given":"Juanita"},{"family":"Holmes","given":"Tisha"}],"issued":{"date-parts":[["2018",8]]}}}],"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(56)</w:t>
            </w:r>
            <w:r w:rsidRPr="003C6A9C">
              <w:rPr>
                <w:rFonts w:ascii="Arial" w:hAnsi="Arial" w:cs="Arial"/>
                <w:sz w:val="20"/>
                <w:szCs w:val="20"/>
              </w:rPr>
              <w:fldChar w:fldCharType="end"/>
            </w:r>
          </w:p>
        </w:tc>
        <w:tc>
          <w:tcPr>
            <w:tcW w:w="3827" w:type="dxa"/>
          </w:tcPr>
          <w:p w14:paraId="0124E2B4" w14:textId="1B4EA9CE"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occupational exposure across roles and settings</w:t>
            </w:r>
          </w:p>
        </w:tc>
        <w:tc>
          <w:tcPr>
            <w:tcW w:w="3543" w:type="dxa"/>
          </w:tcPr>
          <w:p w14:paraId="3996E7E5" w14:textId="2DD555D7"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descriptive exposure patterns</w:t>
            </w:r>
          </w:p>
        </w:tc>
        <w:tc>
          <w:tcPr>
            <w:tcW w:w="3543" w:type="dxa"/>
          </w:tcPr>
          <w:p w14:paraId="2DC629D9" w14:textId="3E887014"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Moderate: generalizable, but not intervention-based</w:t>
            </w:r>
          </w:p>
        </w:tc>
      </w:tr>
      <w:tr w:rsidR="003C6A9C" w:rsidRPr="00AB1648" w14:paraId="19569BDB" w14:textId="7006AD60" w:rsidTr="00842CC3">
        <w:trPr>
          <w:cantSplit/>
          <w:trHeight w:val="1134"/>
        </w:trPr>
        <w:tc>
          <w:tcPr>
            <w:tcW w:w="3544" w:type="dxa"/>
          </w:tcPr>
          <w:p w14:paraId="1D4D8909" w14:textId="28929C78" w:rsidR="003C6A9C" w:rsidRPr="003C6A9C" w:rsidRDefault="003C6A9C" w:rsidP="003C6A9C">
            <w:pPr>
              <w:spacing w:before="144"/>
              <w:rPr>
                <w:rFonts w:ascii="Arial" w:hAnsi="Arial" w:cs="Arial"/>
                <w:sz w:val="20"/>
                <w:szCs w:val="20"/>
                <w:lang w:val="de-DE"/>
              </w:rPr>
            </w:pPr>
            <w:r w:rsidRPr="003C6A9C">
              <w:rPr>
                <w:rFonts w:ascii="Arial" w:hAnsi="Arial" w:cs="Arial"/>
                <w:sz w:val="20"/>
                <w:szCs w:val="20"/>
                <w:lang w:val="de-DE"/>
              </w:rPr>
              <w:t xml:space="preserve">Wang et al., 2019 </w:t>
            </w:r>
            <w:r w:rsidRPr="003C6A9C">
              <w:rPr>
                <w:rFonts w:ascii="Arial" w:hAnsi="Arial" w:cs="Arial"/>
                <w:sz w:val="20"/>
                <w:szCs w:val="20"/>
              </w:rPr>
              <w:fldChar w:fldCharType="begin"/>
            </w:r>
            <w:r w:rsidRPr="003C6A9C">
              <w:rPr>
                <w:rFonts w:ascii="Arial" w:hAnsi="Arial" w:cs="Arial"/>
                <w:sz w:val="20"/>
                <w:szCs w:val="20"/>
                <w:lang w:val="de-DE"/>
              </w:rPr>
              <w:instrText xml:space="preserve"> ADDIN ZOTERO_ITEM CSL_CITATION {"citationID":"VlvmPxd7","properties":{"formattedCitation":"(57)","plainCitation":"(57)","noteIndex":0},"citationItems":[{"id":6450,"uris":["http://zotero.org/users/5390204/items/WWCC7K5T"],"itemData":{"id":6450,"type":"article-journal","container-title":"Journal of Occupational &amp; Environmental Medicine","DOI":"10.1097/JOM.0000000000001604","ISSN":"1076-2752","issue":"6","language":"en","page":"518-524","source":"DOI.org (Crossref)","title":"Estimating Occupational Heat Exposure From Personal Sampling of Public Works Employees in Birmingham, Alabama","volume":"61","author":[{"family":"Wang","given":"Suwei"},{"family":"Richardson","given":"Molly B."},{"family":"Wu","given":"Connor Y.H."},{"family":"Cholewa","given":"Carly D."},{"family":"Lungu","given":"Claudiu T."},{"family":"Zaitchik","given":"Benjamin F."},{"family":"Gohlke","given":"Julia M."}],"issued":{"date-parts":[["2019",6]]}}}],"schema":"https://github.com/citation-style-language/schema/raw/master/csl-citation.json"} </w:instrText>
            </w:r>
            <w:r w:rsidRPr="003C6A9C">
              <w:rPr>
                <w:rFonts w:ascii="Arial" w:hAnsi="Arial" w:cs="Arial"/>
                <w:sz w:val="20"/>
                <w:szCs w:val="20"/>
              </w:rPr>
              <w:fldChar w:fldCharType="separate"/>
            </w:r>
            <w:r w:rsidRPr="003C6A9C">
              <w:rPr>
                <w:rFonts w:ascii="Arial" w:hAnsi="Arial" w:cs="Arial"/>
                <w:sz w:val="20"/>
                <w:szCs w:val="20"/>
              </w:rPr>
              <w:t>(57)</w:t>
            </w:r>
            <w:r w:rsidRPr="003C6A9C">
              <w:rPr>
                <w:rFonts w:ascii="Arial" w:hAnsi="Arial" w:cs="Arial"/>
                <w:sz w:val="20"/>
                <w:szCs w:val="20"/>
              </w:rPr>
              <w:fldChar w:fldCharType="end"/>
            </w:r>
          </w:p>
        </w:tc>
        <w:tc>
          <w:tcPr>
            <w:tcW w:w="3827" w:type="dxa"/>
          </w:tcPr>
          <w:p w14:paraId="7FA934AC" w14:textId="12B2FB73"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High: occupational heat exposure with personal sensors</w:t>
            </w:r>
          </w:p>
        </w:tc>
        <w:tc>
          <w:tcPr>
            <w:tcW w:w="3543" w:type="dxa"/>
          </w:tcPr>
          <w:p w14:paraId="747963FF" w14:textId="4F0B5432" w:rsidR="003C6A9C" w:rsidRPr="003C6A9C" w:rsidRDefault="003C6A9C" w:rsidP="003C6A9C">
            <w:pPr>
              <w:spacing w:before="144"/>
              <w:rPr>
                <w:rFonts w:ascii="Arial" w:hAnsi="Arial" w:cs="Arial"/>
                <w:sz w:val="20"/>
                <w:szCs w:val="20"/>
              </w:rPr>
            </w:pPr>
            <w:r w:rsidRPr="003C6A9C">
              <w:rPr>
                <w:rFonts w:ascii="Arial" w:eastAsiaTheme="minorHAnsi" w:hAnsi="Arial" w:cs="Arial"/>
                <w:kern w:val="2"/>
                <w:sz w:val="20"/>
                <w:szCs w:val="20"/>
                <w:lang w:eastAsia="en-US"/>
                <w14:ligatures w14:val="standardContextual"/>
              </w:rPr>
              <w:t>Moderate: less focus on behavior or intervention mechanisms</w:t>
            </w:r>
          </w:p>
        </w:tc>
        <w:tc>
          <w:tcPr>
            <w:tcW w:w="3543" w:type="dxa"/>
          </w:tcPr>
          <w:p w14:paraId="06747D12" w14:textId="13407A32" w:rsidR="003C6A9C" w:rsidRPr="003C6A9C" w:rsidRDefault="003C6A9C" w:rsidP="003C6A9C">
            <w:pPr>
              <w:spacing w:before="144"/>
              <w:rPr>
                <w:rFonts w:ascii="Arial" w:eastAsiaTheme="minorHAnsi" w:hAnsi="Arial" w:cs="Arial"/>
                <w:kern w:val="2"/>
                <w:sz w:val="20"/>
                <w:szCs w:val="20"/>
                <w:lang w:eastAsia="en-US"/>
                <w14:ligatures w14:val="standardContextual"/>
              </w:rPr>
            </w:pPr>
            <w:r w:rsidRPr="003C6A9C">
              <w:rPr>
                <w:rFonts w:ascii="Arial" w:eastAsiaTheme="minorHAnsi" w:hAnsi="Arial" w:cs="Arial"/>
                <w:kern w:val="2"/>
                <w:sz w:val="20"/>
                <w:szCs w:val="20"/>
                <w:lang w:eastAsia="en-US"/>
                <w14:ligatures w14:val="standardContextual"/>
              </w:rPr>
              <w:t>High: robust environmental measurements</w:t>
            </w:r>
          </w:p>
        </w:tc>
      </w:tr>
      <w:bookmarkEnd w:id="2"/>
    </w:tbl>
    <w:p w14:paraId="73F5EE5D" w14:textId="77777777" w:rsidR="00101642" w:rsidRPr="00940F26" w:rsidRDefault="00101642">
      <w:pPr>
        <w:rPr>
          <w:rFonts w:ascii="Arial" w:hAnsi="Arial" w:cs="Arial"/>
          <w:sz w:val="22"/>
          <w:szCs w:val="22"/>
        </w:rPr>
      </w:pPr>
    </w:p>
    <w:sectPr w:rsidR="00101642" w:rsidRPr="00940F26" w:rsidSect="00940F26">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2A"/>
    <w:rsid w:val="000450ED"/>
    <w:rsid w:val="00101642"/>
    <w:rsid w:val="001A772A"/>
    <w:rsid w:val="001D3DB4"/>
    <w:rsid w:val="00266E00"/>
    <w:rsid w:val="00296070"/>
    <w:rsid w:val="003C6A9C"/>
    <w:rsid w:val="003D61D9"/>
    <w:rsid w:val="00441411"/>
    <w:rsid w:val="006A7DC1"/>
    <w:rsid w:val="006C16DF"/>
    <w:rsid w:val="00842CC3"/>
    <w:rsid w:val="00940F26"/>
    <w:rsid w:val="00AB1648"/>
    <w:rsid w:val="00AF405A"/>
    <w:rsid w:val="00BD0B52"/>
    <w:rsid w:val="00CB3DC5"/>
    <w:rsid w:val="00CD1288"/>
    <w:rsid w:val="00CF6FAC"/>
    <w:rsid w:val="00D823AC"/>
    <w:rsid w:val="00DB2873"/>
    <w:rsid w:val="00EA47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B3D0E"/>
  <w15:chartTrackingRefBased/>
  <w15:docId w15:val="{214190D2-1C1C-4AD3-8A1A-20E0B910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772A"/>
    <w:pPr>
      <w:spacing w:line="480" w:lineRule="auto"/>
    </w:pPr>
    <w:rPr>
      <w:rFonts w:ascii="Times New Roman" w:eastAsia="PMingLiU" w:hAnsi="Times New Roman" w:cs="Times New Roman"/>
      <w:kern w:val="0"/>
      <w:szCs w:val="24"/>
      <w:lang w:val="en-US" w:eastAsia="de-DE"/>
      <w14:ligatures w14:val="none"/>
    </w:rPr>
  </w:style>
  <w:style w:type="paragraph" w:styleId="berschrift1">
    <w:name w:val="heading 1"/>
    <w:basedOn w:val="Standard"/>
    <w:next w:val="Standard"/>
    <w:link w:val="berschrift1Zchn"/>
    <w:uiPriority w:val="9"/>
    <w:qFormat/>
    <w:rsid w:val="001A772A"/>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lang w:val="de-DE" w:eastAsia="en-US"/>
      <w14:ligatures w14:val="standardContextual"/>
    </w:rPr>
  </w:style>
  <w:style w:type="paragraph" w:styleId="berschrift2">
    <w:name w:val="heading 2"/>
    <w:basedOn w:val="Standard"/>
    <w:next w:val="Standard"/>
    <w:link w:val="berschrift2Zchn"/>
    <w:uiPriority w:val="9"/>
    <w:semiHidden/>
    <w:unhideWhenUsed/>
    <w:qFormat/>
    <w:rsid w:val="001A772A"/>
    <w:pPr>
      <w:keepNext/>
      <w:keepLines/>
      <w:spacing w:before="160" w:after="80" w:line="240" w:lineRule="auto"/>
      <w:outlineLvl w:val="1"/>
    </w:pPr>
    <w:rPr>
      <w:rFonts w:asciiTheme="majorHAnsi" w:eastAsiaTheme="majorEastAsia" w:hAnsiTheme="majorHAnsi" w:cstheme="majorBidi"/>
      <w:color w:val="2E74B5" w:themeColor="accent1" w:themeShade="BF"/>
      <w:kern w:val="2"/>
      <w:sz w:val="32"/>
      <w:szCs w:val="32"/>
      <w:lang w:val="de-DE" w:eastAsia="en-US"/>
      <w14:ligatures w14:val="standardContextual"/>
    </w:rPr>
  </w:style>
  <w:style w:type="paragraph" w:styleId="berschrift3">
    <w:name w:val="heading 3"/>
    <w:basedOn w:val="Standard"/>
    <w:next w:val="Standard"/>
    <w:link w:val="berschrift3Zchn"/>
    <w:uiPriority w:val="9"/>
    <w:semiHidden/>
    <w:unhideWhenUsed/>
    <w:qFormat/>
    <w:rsid w:val="001A772A"/>
    <w:pPr>
      <w:keepNext/>
      <w:keepLines/>
      <w:spacing w:before="160" w:after="80" w:line="240" w:lineRule="auto"/>
      <w:outlineLvl w:val="2"/>
    </w:pPr>
    <w:rPr>
      <w:rFonts w:asciiTheme="minorHAnsi" w:eastAsiaTheme="majorEastAsia" w:hAnsiTheme="minorHAnsi" w:cstheme="majorBidi"/>
      <w:color w:val="2E74B5" w:themeColor="accent1" w:themeShade="BF"/>
      <w:kern w:val="2"/>
      <w:sz w:val="28"/>
      <w:szCs w:val="28"/>
      <w:lang w:val="de-DE" w:eastAsia="en-US"/>
      <w14:ligatures w14:val="standardContextual"/>
    </w:rPr>
  </w:style>
  <w:style w:type="paragraph" w:styleId="berschrift4">
    <w:name w:val="heading 4"/>
    <w:basedOn w:val="Standard"/>
    <w:next w:val="Standard"/>
    <w:link w:val="berschrift4Zchn"/>
    <w:uiPriority w:val="9"/>
    <w:semiHidden/>
    <w:unhideWhenUsed/>
    <w:qFormat/>
    <w:rsid w:val="001A772A"/>
    <w:pPr>
      <w:keepNext/>
      <w:keepLines/>
      <w:spacing w:before="80" w:after="40" w:line="240" w:lineRule="auto"/>
      <w:outlineLvl w:val="3"/>
    </w:pPr>
    <w:rPr>
      <w:rFonts w:asciiTheme="minorHAnsi" w:eastAsiaTheme="majorEastAsia" w:hAnsiTheme="minorHAnsi" w:cstheme="majorBidi"/>
      <w:i/>
      <w:iCs/>
      <w:color w:val="2E74B5" w:themeColor="accent1" w:themeShade="BF"/>
      <w:kern w:val="2"/>
      <w:szCs w:val="22"/>
      <w:lang w:val="de-DE" w:eastAsia="en-US"/>
      <w14:ligatures w14:val="standardContextual"/>
    </w:rPr>
  </w:style>
  <w:style w:type="paragraph" w:styleId="berschrift5">
    <w:name w:val="heading 5"/>
    <w:basedOn w:val="Standard"/>
    <w:next w:val="Standard"/>
    <w:link w:val="berschrift5Zchn"/>
    <w:uiPriority w:val="9"/>
    <w:semiHidden/>
    <w:unhideWhenUsed/>
    <w:qFormat/>
    <w:rsid w:val="001A772A"/>
    <w:pPr>
      <w:keepNext/>
      <w:keepLines/>
      <w:spacing w:before="80" w:after="40" w:line="240" w:lineRule="auto"/>
      <w:outlineLvl w:val="4"/>
    </w:pPr>
    <w:rPr>
      <w:rFonts w:asciiTheme="minorHAnsi" w:eastAsiaTheme="majorEastAsia" w:hAnsiTheme="minorHAnsi" w:cstheme="majorBidi"/>
      <w:color w:val="2E74B5" w:themeColor="accent1" w:themeShade="BF"/>
      <w:kern w:val="2"/>
      <w:szCs w:val="22"/>
      <w:lang w:val="de-DE" w:eastAsia="en-US"/>
      <w14:ligatures w14:val="standardContextual"/>
    </w:rPr>
  </w:style>
  <w:style w:type="paragraph" w:styleId="berschrift6">
    <w:name w:val="heading 6"/>
    <w:basedOn w:val="Standard"/>
    <w:next w:val="Standard"/>
    <w:link w:val="berschrift6Zchn"/>
    <w:uiPriority w:val="9"/>
    <w:semiHidden/>
    <w:unhideWhenUsed/>
    <w:qFormat/>
    <w:rsid w:val="001A772A"/>
    <w:pPr>
      <w:keepNext/>
      <w:keepLines/>
      <w:spacing w:before="40" w:line="240" w:lineRule="auto"/>
      <w:outlineLvl w:val="5"/>
    </w:pPr>
    <w:rPr>
      <w:rFonts w:asciiTheme="minorHAnsi" w:eastAsiaTheme="majorEastAsia" w:hAnsiTheme="minorHAnsi" w:cstheme="majorBidi"/>
      <w:i/>
      <w:iCs/>
      <w:color w:val="595959" w:themeColor="text1" w:themeTint="A6"/>
      <w:kern w:val="2"/>
      <w:szCs w:val="22"/>
      <w:lang w:val="de-DE" w:eastAsia="en-US"/>
      <w14:ligatures w14:val="standardContextual"/>
    </w:rPr>
  </w:style>
  <w:style w:type="paragraph" w:styleId="berschrift7">
    <w:name w:val="heading 7"/>
    <w:basedOn w:val="Standard"/>
    <w:next w:val="Standard"/>
    <w:link w:val="berschrift7Zchn"/>
    <w:uiPriority w:val="9"/>
    <w:semiHidden/>
    <w:unhideWhenUsed/>
    <w:qFormat/>
    <w:rsid w:val="001A772A"/>
    <w:pPr>
      <w:keepNext/>
      <w:keepLines/>
      <w:spacing w:before="40" w:line="240" w:lineRule="auto"/>
      <w:outlineLvl w:val="6"/>
    </w:pPr>
    <w:rPr>
      <w:rFonts w:asciiTheme="minorHAnsi" w:eastAsiaTheme="majorEastAsia" w:hAnsiTheme="minorHAnsi" w:cstheme="majorBidi"/>
      <w:color w:val="595959" w:themeColor="text1" w:themeTint="A6"/>
      <w:kern w:val="2"/>
      <w:szCs w:val="22"/>
      <w:lang w:val="de-DE" w:eastAsia="en-US"/>
      <w14:ligatures w14:val="standardContextual"/>
    </w:rPr>
  </w:style>
  <w:style w:type="paragraph" w:styleId="berschrift8">
    <w:name w:val="heading 8"/>
    <w:basedOn w:val="Standard"/>
    <w:next w:val="Standard"/>
    <w:link w:val="berschrift8Zchn"/>
    <w:uiPriority w:val="9"/>
    <w:semiHidden/>
    <w:unhideWhenUsed/>
    <w:qFormat/>
    <w:rsid w:val="001A772A"/>
    <w:pPr>
      <w:keepNext/>
      <w:keepLines/>
      <w:spacing w:line="240" w:lineRule="auto"/>
      <w:outlineLvl w:val="7"/>
    </w:pPr>
    <w:rPr>
      <w:rFonts w:asciiTheme="minorHAnsi" w:eastAsiaTheme="majorEastAsia" w:hAnsiTheme="minorHAnsi" w:cstheme="majorBidi"/>
      <w:i/>
      <w:iCs/>
      <w:color w:val="272727" w:themeColor="text1" w:themeTint="D8"/>
      <w:kern w:val="2"/>
      <w:szCs w:val="22"/>
      <w:lang w:val="de-DE" w:eastAsia="en-US"/>
      <w14:ligatures w14:val="standardContextual"/>
    </w:rPr>
  </w:style>
  <w:style w:type="paragraph" w:styleId="berschrift9">
    <w:name w:val="heading 9"/>
    <w:basedOn w:val="Standard"/>
    <w:next w:val="Standard"/>
    <w:link w:val="berschrift9Zchn"/>
    <w:uiPriority w:val="9"/>
    <w:semiHidden/>
    <w:unhideWhenUsed/>
    <w:qFormat/>
    <w:rsid w:val="001A772A"/>
    <w:pPr>
      <w:keepNext/>
      <w:keepLines/>
      <w:spacing w:line="240" w:lineRule="auto"/>
      <w:outlineLvl w:val="8"/>
    </w:pPr>
    <w:rPr>
      <w:rFonts w:asciiTheme="minorHAnsi" w:eastAsiaTheme="majorEastAsia" w:hAnsiTheme="minorHAnsi" w:cstheme="majorBidi"/>
      <w:color w:val="272727" w:themeColor="text1" w:themeTint="D8"/>
      <w:kern w:val="2"/>
      <w:szCs w:val="22"/>
      <w:lang w:val="de-DE"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772A"/>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1A772A"/>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1A772A"/>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1A772A"/>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1A772A"/>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1A772A"/>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A772A"/>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A772A"/>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A772A"/>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A772A"/>
    <w:pPr>
      <w:spacing w:after="80" w:line="240" w:lineRule="auto"/>
      <w:contextualSpacing/>
    </w:pPr>
    <w:rPr>
      <w:rFonts w:asciiTheme="majorHAnsi" w:eastAsiaTheme="majorEastAsia" w:hAnsiTheme="majorHAnsi" w:cstheme="majorBidi"/>
      <w:spacing w:val="-10"/>
      <w:kern w:val="28"/>
      <w:sz w:val="56"/>
      <w:szCs w:val="56"/>
      <w:lang w:val="de-DE" w:eastAsia="en-US"/>
      <w14:ligatures w14:val="standardContextual"/>
    </w:rPr>
  </w:style>
  <w:style w:type="character" w:customStyle="1" w:styleId="TitelZchn">
    <w:name w:val="Titel Zchn"/>
    <w:basedOn w:val="Absatz-Standardschriftart"/>
    <w:link w:val="Titel"/>
    <w:uiPriority w:val="10"/>
    <w:rsid w:val="001A772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A772A"/>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de-DE" w:eastAsia="en-US"/>
      <w14:ligatures w14:val="standardContextual"/>
    </w:rPr>
  </w:style>
  <w:style w:type="character" w:customStyle="1" w:styleId="UntertitelZchn">
    <w:name w:val="Untertitel Zchn"/>
    <w:basedOn w:val="Absatz-Standardschriftart"/>
    <w:link w:val="Untertitel"/>
    <w:uiPriority w:val="11"/>
    <w:rsid w:val="001A772A"/>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1A772A"/>
    <w:pPr>
      <w:spacing w:before="160" w:after="160" w:line="240" w:lineRule="auto"/>
      <w:jc w:val="center"/>
    </w:pPr>
    <w:rPr>
      <w:rFonts w:ascii="Arial" w:eastAsiaTheme="minorHAnsi" w:hAnsi="Arial" w:cstheme="minorBidi"/>
      <w:i/>
      <w:iCs/>
      <w:color w:val="404040" w:themeColor="text1" w:themeTint="BF"/>
      <w:kern w:val="2"/>
      <w:szCs w:val="22"/>
      <w:lang w:val="de-DE" w:eastAsia="en-US"/>
      <w14:ligatures w14:val="standardContextual"/>
    </w:rPr>
  </w:style>
  <w:style w:type="character" w:customStyle="1" w:styleId="ZitatZchn">
    <w:name w:val="Zitat Zchn"/>
    <w:basedOn w:val="Absatz-Standardschriftart"/>
    <w:link w:val="Zitat"/>
    <w:uiPriority w:val="29"/>
    <w:rsid w:val="001A772A"/>
    <w:rPr>
      <w:i/>
      <w:iCs/>
      <w:color w:val="404040" w:themeColor="text1" w:themeTint="BF"/>
    </w:rPr>
  </w:style>
  <w:style w:type="paragraph" w:styleId="Listenabsatz">
    <w:name w:val="List Paragraph"/>
    <w:basedOn w:val="Standard"/>
    <w:uiPriority w:val="34"/>
    <w:qFormat/>
    <w:rsid w:val="001A772A"/>
    <w:pPr>
      <w:spacing w:line="240" w:lineRule="auto"/>
      <w:ind w:left="720"/>
      <w:contextualSpacing/>
    </w:pPr>
    <w:rPr>
      <w:rFonts w:ascii="Arial" w:eastAsiaTheme="minorHAnsi" w:hAnsi="Arial" w:cstheme="minorBidi"/>
      <w:kern w:val="2"/>
      <w:szCs w:val="22"/>
      <w:lang w:val="de-DE" w:eastAsia="en-US"/>
      <w14:ligatures w14:val="standardContextual"/>
    </w:rPr>
  </w:style>
  <w:style w:type="character" w:styleId="IntensiveHervorhebung">
    <w:name w:val="Intense Emphasis"/>
    <w:basedOn w:val="Absatz-Standardschriftart"/>
    <w:uiPriority w:val="21"/>
    <w:qFormat/>
    <w:rsid w:val="001A772A"/>
    <w:rPr>
      <w:i/>
      <w:iCs/>
      <w:color w:val="2E74B5" w:themeColor="accent1" w:themeShade="BF"/>
    </w:rPr>
  </w:style>
  <w:style w:type="paragraph" w:styleId="IntensivesZitat">
    <w:name w:val="Intense Quote"/>
    <w:basedOn w:val="Standard"/>
    <w:next w:val="Standard"/>
    <w:link w:val="IntensivesZitatZchn"/>
    <w:uiPriority w:val="30"/>
    <w:qFormat/>
    <w:rsid w:val="001A772A"/>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Arial" w:eastAsiaTheme="minorHAnsi" w:hAnsi="Arial" w:cstheme="minorBidi"/>
      <w:i/>
      <w:iCs/>
      <w:color w:val="2E74B5" w:themeColor="accent1" w:themeShade="BF"/>
      <w:kern w:val="2"/>
      <w:szCs w:val="22"/>
      <w:lang w:val="de-DE" w:eastAsia="en-US"/>
      <w14:ligatures w14:val="standardContextual"/>
    </w:rPr>
  </w:style>
  <w:style w:type="character" w:customStyle="1" w:styleId="IntensivesZitatZchn">
    <w:name w:val="Intensives Zitat Zchn"/>
    <w:basedOn w:val="Absatz-Standardschriftart"/>
    <w:link w:val="IntensivesZitat"/>
    <w:uiPriority w:val="30"/>
    <w:rsid w:val="001A772A"/>
    <w:rPr>
      <w:i/>
      <w:iCs/>
      <w:color w:val="2E74B5" w:themeColor="accent1" w:themeShade="BF"/>
    </w:rPr>
  </w:style>
  <w:style w:type="character" w:styleId="IntensiverVerweis">
    <w:name w:val="Intense Reference"/>
    <w:basedOn w:val="Absatz-Standardschriftart"/>
    <w:uiPriority w:val="32"/>
    <w:qFormat/>
    <w:rsid w:val="001A772A"/>
    <w:rPr>
      <w:b/>
      <w:bCs/>
      <w:smallCaps/>
      <w:color w:val="2E74B5" w:themeColor="accent1" w:themeShade="BF"/>
      <w:spacing w:val="5"/>
    </w:rPr>
  </w:style>
  <w:style w:type="table" w:styleId="Tabellenraster">
    <w:name w:val="Table Grid"/>
    <w:basedOn w:val="NormaleTabelle"/>
    <w:uiPriority w:val="39"/>
    <w:rsid w:val="001A772A"/>
    <w:rPr>
      <w:rFonts w:ascii="Cambria" w:eastAsia="Cambria" w:hAnsi="Cambria" w:cs="Times New Roman"/>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chriftung">
    <w:name w:val="caption"/>
    <w:basedOn w:val="Standard"/>
    <w:next w:val="Standard"/>
    <w:uiPriority w:val="35"/>
    <w:qFormat/>
    <w:rsid w:val="001A772A"/>
    <w:rPr>
      <w:rFonts w:eastAsia="Cambria"/>
      <w:bCs/>
      <w:szCs w:val="18"/>
      <w:lang w:val="de-DE" w:eastAsia="en-US"/>
    </w:rPr>
  </w:style>
  <w:style w:type="character" w:styleId="Kommentarzeichen">
    <w:name w:val="annotation reference"/>
    <w:basedOn w:val="Absatz-Standardschriftart"/>
    <w:uiPriority w:val="99"/>
    <w:semiHidden/>
    <w:unhideWhenUsed/>
    <w:rsid w:val="00EA4703"/>
    <w:rPr>
      <w:sz w:val="16"/>
      <w:szCs w:val="16"/>
    </w:rPr>
  </w:style>
  <w:style w:type="paragraph" w:styleId="Kommentartext">
    <w:name w:val="annotation text"/>
    <w:basedOn w:val="Standard"/>
    <w:link w:val="KommentartextZchn"/>
    <w:uiPriority w:val="99"/>
    <w:semiHidden/>
    <w:unhideWhenUsed/>
    <w:rsid w:val="00EA470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A4703"/>
    <w:rPr>
      <w:rFonts w:ascii="Times New Roman" w:eastAsia="PMingLiU" w:hAnsi="Times New Roman" w:cs="Times New Roman"/>
      <w:kern w:val="0"/>
      <w:sz w:val="20"/>
      <w:szCs w:val="20"/>
      <w:lang w:val="en-US" w:eastAsia="de-DE"/>
      <w14:ligatures w14:val="none"/>
    </w:rPr>
  </w:style>
  <w:style w:type="paragraph" w:styleId="Kommentarthema">
    <w:name w:val="annotation subject"/>
    <w:basedOn w:val="Kommentartext"/>
    <w:next w:val="Kommentartext"/>
    <w:link w:val="KommentarthemaZchn"/>
    <w:uiPriority w:val="99"/>
    <w:semiHidden/>
    <w:unhideWhenUsed/>
    <w:rsid w:val="00EA4703"/>
    <w:rPr>
      <w:b/>
      <w:bCs/>
    </w:rPr>
  </w:style>
  <w:style w:type="character" w:customStyle="1" w:styleId="KommentarthemaZchn">
    <w:name w:val="Kommentarthema Zchn"/>
    <w:basedOn w:val="KommentartextZchn"/>
    <w:link w:val="Kommentarthema"/>
    <w:uiPriority w:val="99"/>
    <w:semiHidden/>
    <w:rsid w:val="00EA4703"/>
    <w:rPr>
      <w:rFonts w:ascii="Times New Roman" w:eastAsia="PMingLiU" w:hAnsi="Times New Roman" w:cs="Times New Roman"/>
      <w:b/>
      <w:bCs/>
      <w:kern w:val="0"/>
      <w:sz w:val="20"/>
      <w:szCs w:val="20"/>
      <w:lang w:val="en-US"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7957288E1696748ACB9B1190D244976" ma:contentTypeVersion="5" ma:contentTypeDescription="Ein neues Dokument erstellen." ma:contentTypeScope="" ma:versionID="2539fdc4ec765eaa33ceb5d7ee901d3d">
  <xsd:schema xmlns:xsd="http://www.w3.org/2001/XMLSchema" xmlns:xs="http://www.w3.org/2001/XMLSchema" xmlns:p="http://schemas.microsoft.com/office/2006/metadata/properties" xmlns:ns3="250d94b7-64a2-4d1a-b516-0a6698649cd0" targetNamespace="http://schemas.microsoft.com/office/2006/metadata/properties" ma:root="true" ma:fieldsID="7f4a89b108a5a036460294cf424a8254" ns3:_="">
    <xsd:import namespace="250d94b7-64a2-4d1a-b516-0a6698649cd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d94b7-64a2-4d1a-b516-0a669864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73F7A-B69A-4B61-956F-37B7382C9B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3F26EE-86C6-419C-9381-930198F9A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d94b7-64a2-4d1a-b516-0a669864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45B5C-32B5-4234-B7C9-73FB34897F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3331</Characters>
  <Application>Microsoft Office Word</Application>
  <DocSecurity>0</DocSecurity>
  <Lines>141</Lines>
  <Paragraphs>87</Paragraphs>
  <ScaleCrop>false</ScaleCrop>
  <HeadingPairs>
    <vt:vector size="2" baseType="variant">
      <vt:variant>
        <vt:lpstr>Titel</vt:lpstr>
      </vt:variant>
      <vt:variant>
        <vt:i4>1</vt:i4>
      </vt:variant>
    </vt:vector>
  </HeadingPairs>
  <TitlesOfParts>
    <vt:vector size="1" baseType="lpstr">
      <vt:lpstr/>
    </vt:vector>
  </TitlesOfParts>
  <Company>Leibniz-Rechenzentrum</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Friedrich</dc:creator>
  <cp:keywords/>
  <dc:description/>
  <cp:lastModifiedBy>Julian Friedrich</cp:lastModifiedBy>
  <cp:revision>5</cp:revision>
  <dcterms:created xsi:type="dcterms:W3CDTF">2025-07-24T16:14:00Z</dcterms:created>
  <dcterms:modified xsi:type="dcterms:W3CDTF">2025-07-30T07:39:00Z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a3ee5d01-b9e1-4b17-a81a-1e6106fc387c</vt:lpwstr>
  </property>
  <property fmtid="{D5CDD505-2E9C-101B-9397-08002B2CF9AE}" pid="3" name="ContentTypeId">
    <vt:lpwstr>0x010100E7957288E1696748ACB9B1190D244976</vt:lpwstr>
  </property>
</Properties>
</file>