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F30" w:rsidRDefault="00FA1E1B">
      <w:pPr>
        <w:jc w:val="center"/>
        <w:rPr>
          <w:b/>
          <w:color w:val="000000" w:themeColor="text1"/>
        </w:rPr>
      </w:pPr>
      <w:bookmarkStart w:id="0" w:name="_Hlk120196194"/>
      <w:bookmarkStart w:id="1" w:name="_Hlk194824643"/>
      <w:r>
        <w:rPr>
          <w:rFonts w:hint="eastAsia"/>
          <w:b/>
          <w:color w:val="000000" w:themeColor="text1"/>
          <w:sz w:val="32"/>
          <w:szCs w:val="32"/>
          <w:lang w:eastAsia="zh-CN"/>
        </w:rPr>
        <w:t>Real-world risk stratification for coronary heart disease: a one-year prediction model using Health Information Exchange data</w:t>
      </w:r>
    </w:p>
    <w:bookmarkEnd w:id="0"/>
    <w:p w:rsidR="00462F30" w:rsidRDefault="00462F30">
      <w:pPr>
        <w:rPr>
          <w:rFonts w:cs="Times New Roman"/>
          <w:b/>
          <w:bCs/>
          <w:szCs w:val="24"/>
          <w:lang w:eastAsia="zh-CN"/>
        </w:rPr>
      </w:pPr>
    </w:p>
    <w:p w:rsidR="00462F30" w:rsidRDefault="00FA1E1B">
      <w:pPr>
        <w:rPr>
          <w:rFonts w:cs="Times New Roman"/>
          <w:szCs w:val="24"/>
          <w:lang w:eastAsia="zh-CN"/>
        </w:rPr>
      </w:pPr>
      <w:r>
        <w:rPr>
          <w:rFonts w:cs="Times New Roman"/>
          <w:b/>
          <w:bCs/>
          <w:szCs w:val="24"/>
          <w:lang w:eastAsia="zh-CN"/>
        </w:rPr>
        <w:t>Additional file 1</w:t>
      </w:r>
      <w:r>
        <w:rPr>
          <w:rFonts w:cs="Times New Roman"/>
          <w:szCs w:val="24"/>
          <w:lang w:eastAsia="zh-CN"/>
        </w:rPr>
        <w:t>:</w:t>
      </w:r>
      <w:bookmarkEnd w:id="1"/>
      <w:r>
        <w:rPr>
          <w:rFonts w:cs="Times New Roman"/>
          <w:szCs w:val="24"/>
          <w:lang w:eastAsia="zh-CN"/>
        </w:rPr>
        <w:t xml:space="preserve"> </w:t>
      </w:r>
      <w:r>
        <w:rPr>
          <w:rFonts w:cs="Times New Roman" w:hint="eastAsia"/>
          <w:szCs w:val="24"/>
          <w:lang w:eastAsia="zh-CN"/>
        </w:rPr>
        <w:t>Model technical aspects</w:t>
      </w:r>
      <w:r>
        <w:rPr>
          <w:rFonts w:cs="Times New Roman"/>
          <w:szCs w:val="24"/>
          <w:lang w:eastAsia="zh-CN"/>
        </w:rPr>
        <w:t>.</w:t>
      </w:r>
    </w:p>
    <w:sdt>
      <w:sdtPr>
        <w:rPr>
          <w:rFonts w:ascii="Times New Roman" w:eastAsiaTheme="minorEastAsia" w:hAnsi="Times New Roman" w:cs="Times New Roman"/>
          <w:b w:val="0"/>
          <w:bCs w:val="0"/>
          <w:color w:val="auto"/>
          <w:sz w:val="24"/>
          <w:szCs w:val="24"/>
        </w:rPr>
        <w:id w:val="2140911728"/>
        <w:docPartObj>
          <w:docPartGallery w:val="Table of Contents"/>
          <w:docPartUnique/>
        </w:docPartObj>
      </w:sdtPr>
      <w:sdtEndPr/>
      <w:sdtContent>
        <w:p w:rsidR="00462F30" w:rsidRDefault="00FA1E1B">
          <w:pPr>
            <w:pStyle w:val="TOCHeading1"/>
            <w:jc w:val="center"/>
            <w:rPr>
              <w:rFonts w:ascii="Times New Roman" w:hAnsi="Times New Roman" w:cs="Times New Roman"/>
              <w:sz w:val="24"/>
              <w:szCs w:val="24"/>
            </w:rPr>
          </w:pPr>
          <w:r>
            <w:rPr>
              <w:rFonts w:ascii="Times New Roman" w:hAnsi="Times New Roman" w:cs="Times New Roman"/>
              <w:sz w:val="24"/>
              <w:szCs w:val="24"/>
            </w:rPr>
            <w:t>Table of Cont</w:t>
          </w:r>
          <w:bookmarkStart w:id="2" w:name="_GoBack"/>
          <w:bookmarkEnd w:id="2"/>
          <w:r>
            <w:rPr>
              <w:rFonts w:ascii="Times New Roman" w:hAnsi="Times New Roman" w:cs="Times New Roman"/>
              <w:sz w:val="24"/>
              <w:szCs w:val="24"/>
            </w:rPr>
            <w:t>ents</w:t>
          </w:r>
        </w:p>
        <w:p w:rsidR="00462F30" w:rsidRDefault="00FA1E1B">
          <w:pPr>
            <w:pStyle w:val="TOC1"/>
            <w:tabs>
              <w:tab w:val="left" w:pos="480"/>
              <w:tab w:val="right" w:leader="dot" w:pos="9767"/>
            </w:tabs>
            <w:rPr>
              <w:rFonts w:cstheme="minorBidi"/>
              <w:b w:val="0"/>
              <w:bCs w:val="0"/>
              <w:i w:val="0"/>
              <w:iCs w:val="0"/>
              <w:kern w:val="2"/>
              <w:lang w:eastAsia="zh-CN"/>
              <w14:ligatures w14:val="standardContextual"/>
            </w:rPr>
          </w:pPr>
          <w:r>
            <w:rPr>
              <w:rFonts w:ascii="Times New Roman" w:hAnsi="Times New Roman" w:cs="Times New Roman"/>
              <w:b w:val="0"/>
              <w:bCs w:val="0"/>
            </w:rPr>
            <w:fldChar w:fldCharType="begin"/>
          </w:r>
          <w:r>
            <w:rPr>
              <w:rFonts w:ascii="Times New Roman" w:hAnsi="Times New Roman" w:cs="Times New Roman"/>
            </w:rPr>
            <w:instrText xml:space="preserve"> TOC \o "1-3" \h \z \u </w:instrText>
          </w:r>
          <w:r>
            <w:rPr>
              <w:rFonts w:ascii="Times New Roman" w:hAnsi="Times New Roman" w:cs="Times New Roman"/>
              <w:b w:val="0"/>
              <w:bCs w:val="0"/>
            </w:rPr>
            <w:fldChar w:fldCharType="separate"/>
          </w:r>
          <w:hyperlink w:anchor="_Toc202800140" w:history="1">
            <w:r>
              <w:rPr>
                <w:rStyle w:val="Hyperlink"/>
                <w:lang w:eastAsia="zh-CN"/>
              </w:rPr>
              <w:t>1</w:t>
            </w:r>
            <w:r>
              <w:rPr>
                <w:rFonts w:cstheme="minorBidi"/>
                <w:b w:val="0"/>
                <w:bCs w:val="0"/>
                <w:i w:val="0"/>
                <w:iCs w:val="0"/>
                <w:kern w:val="2"/>
                <w:lang w:eastAsia="zh-CN"/>
                <w14:ligatures w14:val="standardContextual"/>
              </w:rPr>
              <w:tab/>
            </w:r>
            <w:r>
              <w:rPr>
                <w:rStyle w:val="Hyperlink"/>
              </w:rPr>
              <w:t>Clarification on the Relationship Between Main Text and Supplement</w:t>
            </w:r>
            <w:r>
              <w:tab/>
            </w:r>
            <w:r>
              <w:fldChar w:fldCharType="begin"/>
            </w:r>
            <w:r>
              <w:instrText xml:space="preserve"> PAGEREF _Toc202800140 \h </w:instrText>
            </w:r>
            <w:r>
              <w:fldChar w:fldCharType="separate"/>
            </w:r>
            <w:r>
              <w:t>2</w:t>
            </w:r>
            <w:r>
              <w:fldChar w:fldCharType="end"/>
            </w:r>
          </w:hyperlink>
        </w:p>
        <w:p w:rsidR="00462F30" w:rsidRDefault="00FA1E1B">
          <w:pPr>
            <w:pStyle w:val="TOC1"/>
            <w:tabs>
              <w:tab w:val="left" w:pos="480"/>
              <w:tab w:val="right" w:leader="dot" w:pos="9767"/>
            </w:tabs>
            <w:rPr>
              <w:rFonts w:cstheme="minorBidi"/>
              <w:b w:val="0"/>
              <w:bCs w:val="0"/>
              <w:i w:val="0"/>
              <w:iCs w:val="0"/>
              <w:kern w:val="2"/>
              <w:lang w:eastAsia="zh-CN"/>
              <w14:ligatures w14:val="standardContextual"/>
            </w:rPr>
          </w:pPr>
          <w:hyperlink w:anchor="_Toc202800141" w:history="1">
            <w:r>
              <w:rPr>
                <w:rStyle w:val="Hyperlink"/>
                <w:lang w:eastAsia="zh-CN"/>
              </w:rPr>
              <w:t>2</w:t>
            </w:r>
            <w:r>
              <w:rPr>
                <w:rFonts w:cstheme="minorBidi"/>
                <w:b w:val="0"/>
                <w:bCs w:val="0"/>
                <w:i w:val="0"/>
                <w:iCs w:val="0"/>
                <w:kern w:val="2"/>
                <w:lang w:eastAsia="zh-CN"/>
                <w14:ligatures w14:val="standardContextual"/>
              </w:rPr>
              <w:tab/>
            </w:r>
            <w:r>
              <w:rPr>
                <w:rStyle w:val="Hyperlink"/>
              </w:rPr>
              <w:t>Reporting of Confidence Intervals</w:t>
            </w:r>
            <w:r>
              <w:tab/>
            </w:r>
            <w:r>
              <w:fldChar w:fldCharType="begin"/>
            </w:r>
            <w:r>
              <w:instrText xml:space="preserve"> PAGEREF _Toc202800141 \h </w:instrText>
            </w:r>
            <w:r>
              <w:fldChar w:fldCharType="separate"/>
            </w:r>
            <w:r>
              <w:t>2</w:t>
            </w:r>
            <w:r>
              <w:fldChar w:fldCharType="end"/>
            </w:r>
          </w:hyperlink>
        </w:p>
        <w:p w:rsidR="00462F30" w:rsidRDefault="00FA1E1B">
          <w:pPr>
            <w:pStyle w:val="TOC1"/>
            <w:tabs>
              <w:tab w:val="left" w:pos="480"/>
              <w:tab w:val="right" w:leader="dot" w:pos="9767"/>
            </w:tabs>
            <w:rPr>
              <w:rFonts w:cstheme="minorBidi"/>
              <w:b w:val="0"/>
              <w:bCs w:val="0"/>
              <w:i w:val="0"/>
              <w:iCs w:val="0"/>
              <w:kern w:val="2"/>
              <w:lang w:eastAsia="zh-CN"/>
              <w14:ligatures w14:val="standardContextual"/>
            </w:rPr>
          </w:pPr>
          <w:hyperlink w:anchor="_Toc202800142" w:history="1">
            <w:r>
              <w:rPr>
                <w:rStyle w:val="Hyperlink"/>
                <w:lang w:eastAsia="zh-CN"/>
              </w:rPr>
              <w:t>3</w:t>
            </w:r>
            <w:r>
              <w:rPr>
                <w:rFonts w:cstheme="minorBidi"/>
                <w:b w:val="0"/>
                <w:bCs w:val="0"/>
                <w:i w:val="0"/>
                <w:iCs w:val="0"/>
                <w:kern w:val="2"/>
                <w:lang w:eastAsia="zh-CN"/>
                <w14:ligatures w14:val="standardContextual"/>
              </w:rPr>
              <w:tab/>
            </w:r>
            <w:r>
              <w:rPr>
                <w:rStyle w:val="Hyperlink"/>
              </w:rPr>
              <w:t>Feature Selection Pipeline and Justification</w:t>
            </w:r>
            <w:r>
              <w:tab/>
            </w:r>
            <w:r>
              <w:fldChar w:fldCharType="begin"/>
            </w:r>
            <w:r>
              <w:instrText xml:space="preserve"> PAGEREF _Toc202800142 \h </w:instrText>
            </w:r>
            <w:r>
              <w:fldChar w:fldCharType="separate"/>
            </w:r>
            <w:r>
              <w:t>3</w:t>
            </w:r>
            <w:r>
              <w:fldChar w:fldCharType="end"/>
            </w:r>
          </w:hyperlink>
        </w:p>
        <w:p w:rsidR="00462F30" w:rsidRDefault="00FA1E1B">
          <w:pPr>
            <w:pStyle w:val="TOC1"/>
            <w:tabs>
              <w:tab w:val="left" w:pos="480"/>
              <w:tab w:val="right" w:leader="dot" w:pos="9767"/>
            </w:tabs>
            <w:rPr>
              <w:rFonts w:cstheme="minorBidi"/>
              <w:b w:val="0"/>
              <w:bCs w:val="0"/>
              <w:i w:val="0"/>
              <w:iCs w:val="0"/>
              <w:kern w:val="2"/>
              <w:lang w:eastAsia="zh-CN"/>
              <w14:ligatures w14:val="standardContextual"/>
            </w:rPr>
          </w:pPr>
          <w:hyperlink w:anchor="_Toc202800143" w:history="1">
            <w:r>
              <w:rPr>
                <w:rStyle w:val="Hyperlink"/>
                <w:lang w:eastAsia="zh-CN"/>
              </w:rPr>
              <w:t>4</w:t>
            </w:r>
            <w:r>
              <w:rPr>
                <w:rFonts w:cstheme="minorBidi"/>
                <w:b w:val="0"/>
                <w:bCs w:val="0"/>
                <w:i w:val="0"/>
                <w:iCs w:val="0"/>
                <w:kern w:val="2"/>
                <w:lang w:eastAsia="zh-CN"/>
                <w14:ligatures w14:val="standardContextual"/>
              </w:rPr>
              <w:tab/>
            </w:r>
            <w:r>
              <w:rPr>
                <w:rStyle w:val="Hyperlink"/>
              </w:rPr>
              <w:t>Data Leakage Avoidance and Feature Selection Workflow</w:t>
            </w:r>
            <w:r>
              <w:tab/>
            </w:r>
            <w:r>
              <w:fldChar w:fldCharType="begin"/>
            </w:r>
            <w:r>
              <w:instrText xml:space="preserve"> PAGEREF _Toc202800143 \h </w:instrText>
            </w:r>
            <w:r>
              <w:fldChar w:fldCharType="separate"/>
            </w:r>
            <w:r>
              <w:t>4</w:t>
            </w:r>
            <w:r>
              <w:fldChar w:fldCharType="end"/>
            </w:r>
          </w:hyperlink>
        </w:p>
        <w:p w:rsidR="00462F30" w:rsidRDefault="00FA1E1B">
          <w:pPr>
            <w:pStyle w:val="TOC1"/>
            <w:tabs>
              <w:tab w:val="left" w:pos="480"/>
              <w:tab w:val="right" w:leader="dot" w:pos="9767"/>
            </w:tabs>
            <w:rPr>
              <w:rFonts w:cstheme="minorBidi"/>
              <w:b w:val="0"/>
              <w:bCs w:val="0"/>
              <w:i w:val="0"/>
              <w:iCs w:val="0"/>
              <w:kern w:val="2"/>
              <w:lang w:eastAsia="zh-CN"/>
              <w14:ligatures w14:val="standardContextual"/>
            </w:rPr>
          </w:pPr>
          <w:hyperlink w:anchor="_Toc202800144" w:history="1">
            <w:r>
              <w:rPr>
                <w:rStyle w:val="Hyperlink"/>
                <w:lang w:eastAsia="zh-CN"/>
              </w:rPr>
              <w:t>5</w:t>
            </w:r>
            <w:r>
              <w:rPr>
                <w:rFonts w:cstheme="minorBidi"/>
                <w:b w:val="0"/>
                <w:bCs w:val="0"/>
                <w:i w:val="0"/>
                <w:iCs w:val="0"/>
                <w:kern w:val="2"/>
                <w:lang w:eastAsia="zh-CN"/>
                <w14:ligatures w14:val="standardContextual"/>
              </w:rPr>
              <w:tab/>
            </w:r>
            <w:r>
              <w:rPr>
                <w:rStyle w:val="Hyperlink"/>
              </w:rPr>
              <w:t>Model Calibration Meth</w:t>
            </w:r>
            <w:r>
              <w:rPr>
                <w:rStyle w:val="Hyperlink"/>
              </w:rPr>
              <w:t>odology</w:t>
            </w:r>
            <w:r>
              <w:tab/>
            </w:r>
            <w:r>
              <w:fldChar w:fldCharType="begin"/>
            </w:r>
            <w:r>
              <w:instrText xml:space="preserve"> PAGEREF _Toc202800144 \h </w:instrText>
            </w:r>
            <w:r>
              <w:fldChar w:fldCharType="separate"/>
            </w:r>
            <w:r>
              <w:t>4</w:t>
            </w:r>
            <w:r>
              <w:fldChar w:fldCharType="end"/>
            </w:r>
          </w:hyperlink>
        </w:p>
        <w:p w:rsidR="00462F30" w:rsidRDefault="00FA1E1B">
          <w:pPr>
            <w:pStyle w:val="TOC1"/>
            <w:tabs>
              <w:tab w:val="left" w:pos="480"/>
              <w:tab w:val="right" w:leader="dot" w:pos="9767"/>
            </w:tabs>
            <w:rPr>
              <w:rFonts w:cstheme="minorBidi"/>
              <w:b w:val="0"/>
              <w:bCs w:val="0"/>
              <w:i w:val="0"/>
              <w:iCs w:val="0"/>
              <w:kern w:val="2"/>
              <w:lang w:eastAsia="zh-CN"/>
              <w14:ligatures w14:val="standardContextual"/>
            </w:rPr>
          </w:pPr>
          <w:hyperlink w:anchor="_Toc202800145" w:history="1">
            <w:r>
              <w:rPr>
                <w:rStyle w:val="Hyperlink"/>
                <w:lang w:eastAsia="zh-CN"/>
              </w:rPr>
              <w:t>6</w:t>
            </w:r>
            <w:r>
              <w:rPr>
                <w:rFonts w:cstheme="minorBidi"/>
                <w:b w:val="0"/>
                <w:bCs w:val="0"/>
                <w:i w:val="0"/>
                <w:iCs w:val="0"/>
                <w:kern w:val="2"/>
                <w:lang w:eastAsia="zh-CN"/>
                <w14:ligatures w14:val="standardContextual"/>
              </w:rPr>
              <w:tab/>
            </w:r>
            <w:r>
              <w:rPr>
                <w:rStyle w:val="Hyperlink"/>
              </w:rPr>
              <w:t>Model Comparison and Performance Interpretation</w:t>
            </w:r>
            <w:r>
              <w:tab/>
            </w:r>
            <w:r>
              <w:fldChar w:fldCharType="begin"/>
            </w:r>
            <w:r>
              <w:instrText xml:space="preserve"> PAGEREF _Toc202800145 \h </w:instrText>
            </w:r>
            <w:r>
              <w:fldChar w:fldCharType="separate"/>
            </w:r>
            <w:r>
              <w:t>5</w:t>
            </w:r>
            <w:r>
              <w:fldChar w:fldCharType="end"/>
            </w:r>
          </w:hyperlink>
        </w:p>
        <w:p w:rsidR="00462F30" w:rsidRDefault="00FA1E1B">
          <w:pPr>
            <w:pStyle w:val="TOC1"/>
            <w:tabs>
              <w:tab w:val="left" w:pos="480"/>
              <w:tab w:val="right" w:leader="dot" w:pos="9767"/>
            </w:tabs>
            <w:rPr>
              <w:rFonts w:cstheme="minorBidi"/>
              <w:b w:val="0"/>
              <w:bCs w:val="0"/>
              <w:i w:val="0"/>
              <w:iCs w:val="0"/>
              <w:kern w:val="2"/>
              <w:lang w:eastAsia="zh-CN"/>
              <w14:ligatures w14:val="standardContextual"/>
            </w:rPr>
          </w:pPr>
          <w:hyperlink w:anchor="_Toc202800146" w:history="1">
            <w:r>
              <w:rPr>
                <w:rStyle w:val="Hyperlink"/>
                <w:lang w:eastAsia="zh-CN"/>
              </w:rPr>
              <w:t>7</w:t>
            </w:r>
            <w:r>
              <w:rPr>
                <w:rFonts w:cstheme="minorBidi"/>
                <w:b w:val="0"/>
                <w:bCs w:val="0"/>
                <w:i w:val="0"/>
                <w:iCs w:val="0"/>
                <w:kern w:val="2"/>
                <w:lang w:eastAsia="zh-CN"/>
                <w14:ligatures w14:val="standardContextual"/>
              </w:rPr>
              <w:tab/>
            </w:r>
            <w:r>
              <w:rPr>
                <w:rStyle w:val="Hyperlink"/>
              </w:rPr>
              <w:t>Rationale for Selecting XGBoost over LASSO as the Final Model</w:t>
            </w:r>
            <w:r>
              <w:tab/>
            </w:r>
            <w:r>
              <w:fldChar w:fldCharType="begin"/>
            </w:r>
            <w:r>
              <w:instrText xml:space="preserve"> PAGEREF _Toc202800146 \h </w:instrText>
            </w:r>
            <w:r>
              <w:fldChar w:fldCharType="separate"/>
            </w:r>
            <w:r>
              <w:t>6</w:t>
            </w:r>
            <w:r>
              <w:fldChar w:fldCharType="end"/>
            </w:r>
          </w:hyperlink>
        </w:p>
        <w:p w:rsidR="00462F30" w:rsidRDefault="00FA1E1B">
          <w:pPr>
            <w:pStyle w:val="TOC1"/>
            <w:tabs>
              <w:tab w:val="left" w:pos="480"/>
              <w:tab w:val="right" w:leader="dot" w:pos="9767"/>
            </w:tabs>
            <w:rPr>
              <w:rFonts w:cstheme="minorBidi"/>
              <w:b w:val="0"/>
              <w:bCs w:val="0"/>
              <w:i w:val="0"/>
              <w:iCs w:val="0"/>
              <w:kern w:val="2"/>
              <w:lang w:eastAsia="zh-CN"/>
              <w14:ligatures w14:val="standardContextual"/>
            </w:rPr>
          </w:pPr>
          <w:hyperlink w:anchor="_Toc202800147" w:history="1">
            <w:r>
              <w:rPr>
                <w:rStyle w:val="Hyperlink"/>
                <w:lang w:eastAsia="zh-CN"/>
              </w:rPr>
              <w:t>8</w:t>
            </w:r>
            <w:r>
              <w:rPr>
                <w:rFonts w:cstheme="minorBidi"/>
                <w:b w:val="0"/>
                <w:bCs w:val="0"/>
                <w:i w:val="0"/>
                <w:iCs w:val="0"/>
                <w:kern w:val="2"/>
                <w:lang w:eastAsia="zh-CN"/>
                <w14:ligatures w14:val="standardContextual"/>
              </w:rPr>
              <w:tab/>
            </w:r>
            <w:r>
              <w:rPr>
                <w:rStyle w:val="Hyperlink"/>
              </w:rPr>
              <w:t>Time</w:t>
            </w:r>
            <w:r>
              <w:rPr>
                <w:rStyle w:val="Hyperlink"/>
              </w:rPr>
              <w:t>-to-Event Analysis Using Cox Regression</w:t>
            </w:r>
            <w:r>
              <w:tab/>
            </w:r>
            <w:r>
              <w:fldChar w:fldCharType="begin"/>
            </w:r>
            <w:r>
              <w:instrText xml:space="preserve"> PAGEREF _Toc202800147 \h </w:instrText>
            </w:r>
            <w:r>
              <w:fldChar w:fldCharType="separate"/>
            </w:r>
            <w:r>
              <w:t>7</w:t>
            </w:r>
            <w:r>
              <w:fldChar w:fldCharType="end"/>
            </w:r>
          </w:hyperlink>
        </w:p>
        <w:p w:rsidR="00462F30" w:rsidRDefault="00FA1E1B">
          <w:pPr>
            <w:pStyle w:val="TOC1"/>
            <w:tabs>
              <w:tab w:val="left" w:pos="480"/>
              <w:tab w:val="right" w:leader="dot" w:pos="9767"/>
            </w:tabs>
            <w:rPr>
              <w:rFonts w:cstheme="minorBidi"/>
              <w:b w:val="0"/>
              <w:bCs w:val="0"/>
              <w:i w:val="0"/>
              <w:iCs w:val="0"/>
              <w:kern w:val="2"/>
              <w:lang w:eastAsia="zh-CN"/>
              <w14:ligatures w14:val="standardContextual"/>
            </w:rPr>
          </w:pPr>
          <w:hyperlink w:anchor="_Toc202800148" w:history="1">
            <w:r>
              <w:rPr>
                <w:rStyle w:val="Hyperlink"/>
                <w:lang w:eastAsia="zh-CN"/>
              </w:rPr>
              <w:t>9</w:t>
            </w:r>
            <w:r>
              <w:rPr>
                <w:rFonts w:cstheme="minorBidi"/>
                <w:b w:val="0"/>
                <w:bCs w:val="0"/>
                <w:i w:val="0"/>
                <w:iCs w:val="0"/>
                <w:kern w:val="2"/>
                <w:lang w:eastAsia="zh-CN"/>
                <w14:ligatures w14:val="standardContextual"/>
              </w:rPr>
              <w:tab/>
            </w:r>
            <w:r>
              <w:rPr>
                <w:rStyle w:val="Hyperlink"/>
              </w:rPr>
              <w:t>Risk Stratification and Group Definition</w:t>
            </w:r>
            <w:r>
              <w:tab/>
            </w:r>
            <w:r>
              <w:fldChar w:fldCharType="begin"/>
            </w:r>
            <w:r>
              <w:instrText xml:space="preserve"> PAGEREF _Toc202800148 \h </w:instrText>
            </w:r>
            <w:r>
              <w:fldChar w:fldCharType="separate"/>
            </w:r>
            <w:r>
              <w:t>7</w:t>
            </w:r>
            <w:r>
              <w:fldChar w:fldCharType="end"/>
            </w:r>
          </w:hyperlink>
        </w:p>
        <w:p w:rsidR="00462F30" w:rsidRDefault="00FA1E1B">
          <w:pPr>
            <w:pStyle w:val="TOC1"/>
            <w:tabs>
              <w:tab w:val="left" w:pos="720"/>
              <w:tab w:val="right" w:leader="dot" w:pos="9767"/>
            </w:tabs>
            <w:rPr>
              <w:rFonts w:cstheme="minorBidi"/>
              <w:b w:val="0"/>
              <w:bCs w:val="0"/>
              <w:i w:val="0"/>
              <w:iCs w:val="0"/>
              <w:kern w:val="2"/>
              <w:lang w:eastAsia="zh-CN"/>
              <w14:ligatures w14:val="standardContextual"/>
            </w:rPr>
          </w:pPr>
          <w:hyperlink w:anchor="_Toc202800149" w:history="1">
            <w:r>
              <w:rPr>
                <w:rStyle w:val="Hyperlink"/>
                <w:lang w:eastAsia="zh-CN"/>
              </w:rPr>
              <w:t>10</w:t>
            </w:r>
            <w:r>
              <w:rPr>
                <w:rFonts w:cstheme="minorBidi"/>
                <w:b w:val="0"/>
                <w:bCs w:val="0"/>
                <w:i w:val="0"/>
                <w:iCs w:val="0"/>
                <w:kern w:val="2"/>
                <w:lang w:eastAsia="zh-CN"/>
                <w14:ligatures w14:val="standardContextual"/>
              </w:rPr>
              <w:tab/>
            </w:r>
            <w:r>
              <w:rPr>
                <w:rStyle w:val="Hyperlink"/>
              </w:rPr>
              <w:t>Uncertainty Quantification and Interpretation of Risk Stratification Metrics</w:t>
            </w:r>
            <w:r>
              <w:tab/>
            </w:r>
            <w:r>
              <w:fldChar w:fldCharType="begin"/>
            </w:r>
            <w:r>
              <w:instrText xml:space="preserve"> PAGEREF _Toc202800149 \h </w:instrText>
            </w:r>
            <w:r>
              <w:fldChar w:fldCharType="separate"/>
            </w:r>
            <w:r>
              <w:t>8</w:t>
            </w:r>
            <w:r>
              <w:fldChar w:fldCharType="end"/>
            </w:r>
          </w:hyperlink>
        </w:p>
        <w:p w:rsidR="00462F30" w:rsidRDefault="00FA1E1B">
          <w:pPr>
            <w:pStyle w:val="TOC1"/>
            <w:tabs>
              <w:tab w:val="left" w:pos="720"/>
              <w:tab w:val="right" w:leader="dot" w:pos="9767"/>
            </w:tabs>
            <w:rPr>
              <w:rFonts w:cstheme="minorBidi"/>
              <w:b w:val="0"/>
              <w:bCs w:val="0"/>
              <w:i w:val="0"/>
              <w:iCs w:val="0"/>
              <w:kern w:val="2"/>
              <w:lang w:eastAsia="zh-CN"/>
              <w14:ligatures w14:val="standardContextual"/>
            </w:rPr>
          </w:pPr>
          <w:hyperlink w:anchor="_Toc202800150" w:history="1">
            <w:r>
              <w:rPr>
                <w:rStyle w:val="Hyperlink"/>
                <w:lang w:eastAsia="zh-CN"/>
              </w:rPr>
              <w:t>11</w:t>
            </w:r>
            <w:r>
              <w:rPr>
                <w:rFonts w:cstheme="minorBidi"/>
                <w:b w:val="0"/>
                <w:bCs w:val="0"/>
                <w:i w:val="0"/>
                <w:iCs w:val="0"/>
                <w:kern w:val="2"/>
                <w:lang w:eastAsia="zh-CN"/>
                <w14:ligatures w14:val="standardContextual"/>
              </w:rPr>
              <w:tab/>
            </w:r>
            <w:r>
              <w:rPr>
                <w:rStyle w:val="Hyperlink"/>
              </w:rPr>
              <w:t>Final Model Validation Procedures and Metrics</w:t>
            </w:r>
            <w:r>
              <w:tab/>
            </w:r>
            <w:r>
              <w:fldChar w:fldCharType="begin"/>
            </w:r>
            <w:r>
              <w:instrText xml:space="preserve"> PAGEREF _Toc202800150 \h </w:instrText>
            </w:r>
            <w:r>
              <w:fldChar w:fldCharType="separate"/>
            </w:r>
            <w:r>
              <w:t>9</w:t>
            </w:r>
            <w:r>
              <w:fldChar w:fldCharType="end"/>
            </w:r>
          </w:hyperlink>
        </w:p>
        <w:p w:rsidR="00462F30" w:rsidRDefault="00FA1E1B">
          <w:pPr>
            <w:pStyle w:val="TOC1"/>
            <w:tabs>
              <w:tab w:val="left" w:pos="720"/>
              <w:tab w:val="right" w:leader="dot" w:pos="9767"/>
            </w:tabs>
            <w:rPr>
              <w:rFonts w:cstheme="minorBidi"/>
              <w:b w:val="0"/>
              <w:bCs w:val="0"/>
              <w:i w:val="0"/>
              <w:iCs w:val="0"/>
              <w:kern w:val="2"/>
              <w:lang w:eastAsia="zh-CN"/>
              <w14:ligatures w14:val="standardContextual"/>
            </w:rPr>
          </w:pPr>
          <w:hyperlink w:anchor="_Toc202800151" w:history="1">
            <w:r>
              <w:rPr>
                <w:rStyle w:val="Hyperlink"/>
                <w:rFonts w:eastAsia="Arial"/>
                <w:lang w:eastAsia="en-GB"/>
              </w:rPr>
              <w:t>12</w:t>
            </w:r>
            <w:r>
              <w:rPr>
                <w:rFonts w:cstheme="minorBidi"/>
                <w:b w:val="0"/>
                <w:bCs w:val="0"/>
                <w:i w:val="0"/>
                <w:iCs w:val="0"/>
                <w:kern w:val="2"/>
                <w:lang w:eastAsia="zh-CN"/>
                <w14:ligatures w14:val="standardContextual"/>
              </w:rPr>
              <w:tab/>
            </w:r>
            <w:r>
              <w:rPr>
                <w:rStyle w:val="Hyperlink"/>
                <w:rFonts w:eastAsia="SimSun"/>
                <w:lang w:eastAsia="zh-CN"/>
              </w:rPr>
              <w:t>Imputation strategy</w:t>
            </w:r>
            <w:r>
              <w:tab/>
            </w:r>
            <w:r>
              <w:fldChar w:fldCharType="begin"/>
            </w:r>
            <w:r>
              <w:instrText xml:space="preserve"> PAGE</w:instrText>
            </w:r>
            <w:r>
              <w:instrText xml:space="preserve">REF _Toc202800151 \h </w:instrText>
            </w:r>
            <w:r>
              <w:fldChar w:fldCharType="separate"/>
            </w:r>
            <w:r>
              <w:t>10</w:t>
            </w:r>
            <w:r>
              <w:fldChar w:fldCharType="end"/>
            </w:r>
          </w:hyperlink>
        </w:p>
        <w:p w:rsidR="00462F30" w:rsidRDefault="00FA1E1B">
          <w:pPr>
            <w:pStyle w:val="TOC1"/>
            <w:tabs>
              <w:tab w:val="left" w:pos="720"/>
              <w:tab w:val="right" w:leader="dot" w:pos="9767"/>
            </w:tabs>
            <w:rPr>
              <w:rFonts w:cstheme="minorBidi"/>
              <w:b w:val="0"/>
              <w:bCs w:val="0"/>
              <w:i w:val="0"/>
              <w:iCs w:val="0"/>
              <w:kern w:val="2"/>
              <w:lang w:eastAsia="zh-CN"/>
              <w14:ligatures w14:val="standardContextual"/>
            </w:rPr>
          </w:pPr>
          <w:hyperlink w:anchor="_Toc202800152" w:history="1">
            <w:r>
              <w:rPr>
                <w:rStyle w:val="Hyperlink"/>
                <w:rFonts w:eastAsia="Arial"/>
              </w:rPr>
              <w:t>13</w:t>
            </w:r>
            <w:r>
              <w:rPr>
                <w:rFonts w:cstheme="minorBidi"/>
                <w:b w:val="0"/>
                <w:bCs w:val="0"/>
                <w:i w:val="0"/>
                <w:iCs w:val="0"/>
                <w:kern w:val="2"/>
                <w:lang w:eastAsia="zh-CN"/>
                <w14:ligatures w14:val="standardContextual"/>
              </w:rPr>
              <w:tab/>
            </w:r>
            <w:r>
              <w:rPr>
                <w:rStyle w:val="Hyperlink"/>
                <w:rFonts w:eastAsia="Arial"/>
              </w:rPr>
              <w:t>Correlation networks</w:t>
            </w:r>
            <w:r>
              <w:tab/>
            </w:r>
            <w:r>
              <w:fldChar w:fldCharType="begin"/>
            </w:r>
            <w:r>
              <w:instrText xml:space="preserve"> PAGEREF _Toc202800152 \h </w:instrText>
            </w:r>
            <w:r>
              <w:fldChar w:fldCharType="separate"/>
            </w:r>
            <w:r>
              <w:t>11</w:t>
            </w:r>
            <w:r>
              <w:fldChar w:fldCharType="end"/>
            </w:r>
          </w:hyperlink>
        </w:p>
        <w:p w:rsidR="00462F30" w:rsidRDefault="00FA1E1B">
          <w:pPr>
            <w:rPr>
              <w:rFonts w:cs="Times New Roman"/>
              <w:szCs w:val="24"/>
            </w:rPr>
          </w:pPr>
          <w:r>
            <w:rPr>
              <w:rFonts w:cs="Times New Roman"/>
              <w:b/>
              <w:bCs/>
              <w:szCs w:val="24"/>
            </w:rPr>
            <w:fldChar w:fldCharType="end"/>
          </w:r>
        </w:p>
      </w:sdtContent>
    </w:sdt>
    <w:p w:rsidR="00462F30" w:rsidRDefault="00FA1E1B">
      <w:pPr>
        <w:spacing w:before="0" w:after="0"/>
        <w:rPr>
          <w:rFonts w:cs="Times New Roman"/>
          <w:szCs w:val="24"/>
          <w:lang w:eastAsia="zh-CN"/>
        </w:rPr>
      </w:pPr>
      <w:r>
        <w:rPr>
          <w:rFonts w:cs="Times New Roman"/>
          <w:szCs w:val="24"/>
          <w:lang w:eastAsia="zh-CN"/>
        </w:rPr>
        <w:br w:type="page"/>
      </w:r>
    </w:p>
    <w:p w:rsidR="00462F30" w:rsidRDefault="00FA1E1B">
      <w:pPr>
        <w:pStyle w:val="Heading1"/>
        <w:rPr>
          <w:lang w:eastAsia="zh-CN"/>
        </w:rPr>
      </w:pPr>
      <w:bookmarkStart w:id="3" w:name="_Toc202800140"/>
      <w:r>
        <w:rPr>
          <w:rStyle w:val="Strong"/>
          <w:b/>
          <w:bCs w:val="0"/>
        </w:rPr>
        <w:lastRenderedPageBreak/>
        <w:t xml:space="preserve">Clarification on the Relationship </w:t>
      </w:r>
      <w:proofErr w:type="gramStart"/>
      <w:r>
        <w:rPr>
          <w:rStyle w:val="Strong"/>
          <w:b/>
          <w:bCs w:val="0"/>
        </w:rPr>
        <w:t>Between</w:t>
      </w:r>
      <w:proofErr w:type="gramEnd"/>
      <w:r>
        <w:rPr>
          <w:rStyle w:val="Strong"/>
          <w:b/>
          <w:bCs w:val="0"/>
        </w:rPr>
        <w:t xml:space="preserve"> Main Text and Supplement</w:t>
      </w:r>
      <w:bookmarkEnd w:id="3"/>
    </w:p>
    <w:p w:rsidR="00462F30" w:rsidRDefault="00FA1E1B">
      <w:pPr>
        <w:pStyle w:val="NormalWeb"/>
      </w:pPr>
      <w:r>
        <w:t>In response to reviewer feedbac</w:t>
      </w:r>
      <w:r>
        <w:t xml:space="preserve">k, we have </w:t>
      </w:r>
      <w:r>
        <w:rPr>
          <w:rStyle w:val="Strong"/>
          <w:b w:val="0"/>
          <w:bCs w:val="0"/>
        </w:rPr>
        <w:t>elevated key methodological components</w:t>
      </w:r>
      <w:r>
        <w:t xml:space="preserve"> to the main text to ensure the paper is self-contained and accessible. Specifically, the revised </w:t>
      </w:r>
      <w:r>
        <w:rPr>
          <w:rStyle w:val="Strong"/>
          <w:b w:val="0"/>
          <w:bCs w:val="0"/>
        </w:rPr>
        <w:t>Methods</w:t>
      </w:r>
      <w:r>
        <w:t xml:space="preserve"> sec</w:t>
      </w:r>
      <w:r>
        <w:t>tion in the main manuscript now includes:</w:t>
      </w:r>
    </w:p>
    <w:p w:rsidR="00462F30" w:rsidRDefault="00FA1E1B">
      <w:pPr>
        <w:pStyle w:val="NormalWeb"/>
        <w:numPr>
          <w:ilvl w:val="0"/>
          <w:numId w:val="3"/>
        </w:numPr>
      </w:pPr>
      <w:r>
        <w:rPr>
          <w:rStyle w:val="Strong"/>
        </w:rPr>
        <w:t>Cohort definition</w:t>
      </w:r>
      <w:r>
        <w:t>: Timeframes and population sizes for both the retrospective (training/calibration) and prospective (validation) cohorts, including criteria for CHD event labeling based on ICD-10-CM definitions.</w:t>
      </w:r>
    </w:p>
    <w:p w:rsidR="00462F30" w:rsidRDefault="00FA1E1B">
      <w:pPr>
        <w:pStyle w:val="NormalWeb"/>
        <w:numPr>
          <w:ilvl w:val="0"/>
          <w:numId w:val="3"/>
        </w:numPr>
      </w:pPr>
      <w:r>
        <w:rPr>
          <w:rStyle w:val="Strong"/>
        </w:rPr>
        <w:t>F</w:t>
      </w:r>
      <w:r>
        <w:rPr>
          <w:rStyle w:val="Strong"/>
        </w:rPr>
        <w:t>eature types</w:t>
      </w:r>
      <w:r>
        <w:t>: Overview of 1,928 candidate predictors derived from longitudinal EHR data, including demographics, chronic and acute diagnoses, laboratory test abnormalities, prescription drug use, procedural codes, and healthcare utilization metrics.</w:t>
      </w:r>
    </w:p>
    <w:p w:rsidR="00462F30" w:rsidRDefault="00FA1E1B">
      <w:pPr>
        <w:pStyle w:val="NormalWeb"/>
        <w:numPr>
          <w:ilvl w:val="0"/>
          <w:numId w:val="3"/>
        </w:numPr>
      </w:pPr>
      <w:r>
        <w:rPr>
          <w:rStyle w:val="Strong"/>
        </w:rPr>
        <w:t xml:space="preserve">Model </w:t>
      </w:r>
      <w:r>
        <w:rPr>
          <w:rStyle w:val="Strong"/>
        </w:rPr>
        <w:t>development</w:t>
      </w:r>
      <w:r>
        <w:t xml:space="preserve">: Description of the feature selection and model training pipeline, including statistical pre-screening, </w:t>
      </w:r>
      <w:proofErr w:type="spellStart"/>
      <w:r>
        <w:t>XGBoost</w:t>
      </w:r>
      <w:proofErr w:type="spellEnd"/>
      <w:r>
        <w:t>-based importance scoring, K-fold cross-validation, and final model calibration using isotonic regression.</w:t>
      </w:r>
    </w:p>
    <w:p w:rsidR="00462F30" w:rsidRDefault="00FA1E1B">
      <w:pPr>
        <w:pStyle w:val="NormalWeb"/>
        <w:numPr>
          <w:ilvl w:val="0"/>
          <w:numId w:val="3"/>
        </w:numPr>
      </w:pPr>
      <w:r>
        <w:rPr>
          <w:rStyle w:val="Strong"/>
        </w:rPr>
        <w:t>Validation approach</w:t>
      </w:r>
      <w:r>
        <w:t xml:space="preserve">: </w:t>
      </w:r>
      <w:r>
        <w:t>Explanation of performance evaluation on the independent prospective cohort, including AUC calculation, calibration plotting, and Cox regression-based survival analysis.</w:t>
      </w:r>
    </w:p>
    <w:p w:rsidR="00462F30" w:rsidRDefault="00FA1E1B">
      <w:pPr>
        <w:pStyle w:val="NormalWeb"/>
      </w:pPr>
      <w:r>
        <w:t>T</w:t>
      </w:r>
      <w:r>
        <w:t xml:space="preserve">he </w:t>
      </w:r>
      <w:r>
        <w:rPr>
          <w:rStyle w:val="Strong"/>
          <w:b w:val="0"/>
          <w:bCs w:val="0"/>
        </w:rPr>
        <w:t>supplementary material</w:t>
      </w:r>
      <w:r>
        <w:t xml:space="preserve"> continues to provide </w:t>
      </w:r>
      <w:r>
        <w:rPr>
          <w:rStyle w:val="Strong"/>
          <w:b w:val="0"/>
          <w:bCs w:val="0"/>
        </w:rPr>
        <w:t>granular methodological details</w:t>
      </w:r>
      <w:r>
        <w:t>, su</w:t>
      </w:r>
      <w:r>
        <w:t xml:space="preserve">ch </w:t>
      </w:r>
      <w:r>
        <w:t>as:</w:t>
      </w:r>
    </w:p>
    <w:p w:rsidR="00462F30" w:rsidRDefault="00FA1E1B">
      <w:pPr>
        <w:pStyle w:val="NormalWeb"/>
        <w:numPr>
          <w:ilvl w:val="0"/>
          <w:numId w:val="4"/>
        </w:numPr>
      </w:pPr>
      <w:r>
        <w:t>Justification for chi-square pre-filtering</w:t>
      </w:r>
    </w:p>
    <w:p w:rsidR="00462F30" w:rsidRDefault="00FA1E1B">
      <w:pPr>
        <w:pStyle w:val="NormalWeb"/>
        <w:numPr>
          <w:ilvl w:val="0"/>
          <w:numId w:val="4"/>
        </w:numPr>
      </w:pPr>
      <w:r>
        <w:t>Encoding strategies for categorical predictors</w:t>
      </w:r>
    </w:p>
    <w:p w:rsidR="00462F30" w:rsidRDefault="00FA1E1B">
      <w:pPr>
        <w:pStyle w:val="NormalWeb"/>
        <w:numPr>
          <w:ilvl w:val="0"/>
          <w:numId w:val="4"/>
        </w:numPr>
      </w:pPr>
      <w:r>
        <w:t>Imputation logic for missing laboratory values</w:t>
      </w:r>
    </w:p>
    <w:p w:rsidR="00462F30" w:rsidRDefault="00FA1E1B">
      <w:pPr>
        <w:pStyle w:val="NormalWeb"/>
        <w:numPr>
          <w:ilvl w:val="0"/>
          <w:numId w:val="4"/>
        </w:numPr>
      </w:pPr>
      <w:proofErr w:type="spellStart"/>
      <w:r>
        <w:t>Hyperparameter</w:t>
      </w:r>
      <w:proofErr w:type="spellEnd"/>
      <w:r>
        <w:t xml:space="preserve"> ranges and search strategy</w:t>
      </w:r>
    </w:p>
    <w:p w:rsidR="00462F30" w:rsidRDefault="00FA1E1B">
      <w:pPr>
        <w:pStyle w:val="NormalWeb"/>
        <w:numPr>
          <w:ilvl w:val="0"/>
          <w:numId w:val="4"/>
        </w:numPr>
      </w:pPr>
      <w:r>
        <w:t>Construction of correlation networks and feature interpretability via SHA</w:t>
      </w:r>
      <w:r>
        <w:t>P</w:t>
      </w:r>
    </w:p>
    <w:p w:rsidR="00462F30" w:rsidRDefault="00FA1E1B">
      <w:pPr>
        <w:pStyle w:val="NormalWeb"/>
      </w:pPr>
      <w:r>
        <w:t>This restructuring ensures that t</w:t>
      </w:r>
      <w:r>
        <w:t xml:space="preserve">he main text remains </w:t>
      </w:r>
      <w:r>
        <w:rPr>
          <w:rStyle w:val="Strong"/>
          <w:b w:val="0"/>
          <w:bCs w:val="0"/>
        </w:rPr>
        <w:t>methodologically informative</w:t>
      </w:r>
      <w:r>
        <w:t xml:space="preserve">, while the supplementary file provides the </w:t>
      </w:r>
      <w:r>
        <w:rPr>
          <w:rStyle w:val="Strong"/>
          <w:b w:val="0"/>
          <w:bCs w:val="0"/>
        </w:rPr>
        <w:t>technical reproducibility details</w:t>
      </w:r>
      <w:r>
        <w:t xml:space="preserve"> appropriate for readers seeking implementation-specific guidance.</w:t>
      </w:r>
    </w:p>
    <w:p w:rsidR="00462F30" w:rsidRDefault="00FA1E1B">
      <w:pPr>
        <w:pStyle w:val="Heading1"/>
        <w:rPr>
          <w:lang w:eastAsia="zh-CN"/>
        </w:rPr>
      </w:pPr>
      <w:bookmarkStart w:id="4" w:name="_Toc202800141"/>
      <w:r>
        <w:rPr>
          <w:rStyle w:val="Strong"/>
          <w:b/>
          <w:bCs w:val="0"/>
        </w:rPr>
        <w:t>Reporting of Confidence Inte</w:t>
      </w:r>
      <w:r>
        <w:rPr>
          <w:rStyle w:val="Strong"/>
          <w:b/>
          <w:bCs w:val="0"/>
        </w:rPr>
        <w:t>rvals</w:t>
      </w:r>
      <w:bookmarkEnd w:id="4"/>
    </w:p>
    <w:p w:rsidR="00462F30" w:rsidRDefault="00FA1E1B">
      <w:pPr>
        <w:pStyle w:val="NormalWeb"/>
      </w:pPr>
      <w:r>
        <w:t xml:space="preserve">To address reviewer concerns and ensure statistical </w:t>
      </w:r>
      <w:r>
        <w:t xml:space="preserve">rigor, we included </w:t>
      </w:r>
      <w:r>
        <w:rPr>
          <w:rStyle w:val="Strong"/>
          <w:b w:val="0"/>
          <w:bCs w:val="0"/>
        </w:rPr>
        <w:t>95% confidence intervals (CIs)</w:t>
      </w:r>
      <w:r>
        <w:t xml:space="preserve"> for all relevant evaluation metrics. The estimation methods ar</w:t>
      </w:r>
      <w:r>
        <w:t>e as follows:</w:t>
      </w:r>
    </w:p>
    <w:p w:rsidR="00462F30" w:rsidRDefault="00FA1E1B">
      <w:pPr>
        <w:pStyle w:val="NormalWeb"/>
        <w:numPr>
          <w:ilvl w:val="0"/>
          <w:numId w:val="5"/>
        </w:numPr>
      </w:pPr>
      <w:r>
        <w:rPr>
          <w:rStyle w:val="Strong"/>
        </w:rPr>
        <w:t>AUCs</w:t>
      </w:r>
      <w:r>
        <w:t>: CIs were calculat</w:t>
      </w:r>
      <w:r>
        <w:t xml:space="preserve">ed using </w:t>
      </w:r>
      <w:r>
        <w:rPr>
          <w:rStyle w:val="Strong"/>
          <w:b w:val="0"/>
          <w:bCs w:val="0"/>
        </w:rPr>
        <w:t>bootstrap resampling</w:t>
      </w:r>
      <w:r>
        <w:t xml:space="preserve"> (1,000 itera</w:t>
      </w:r>
      <w:r>
        <w:t xml:space="preserve">tions) </w:t>
      </w:r>
      <w:r>
        <w:t>with replacement. This approach is robust to non-normality and suitable for large EHR datasets.</w:t>
      </w:r>
    </w:p>
    <w:p w:rsidR="00462F30" w:rsidRDefault="00FA1E1B">
      <w:pPr>
        <w:pStyle w:val="NormalWeb"/>
        <w:numPr>
          <w:ilvl w:val="0"/>
          <w:numId w:val="5"/>
        </w:numPr>
      </w:pPr>
      <w:r>
        <w:rPr>
          <w:rStyle w:val="Strong"/>
        </w:rPr>
        <w:t>PPVs and event rates</w:t>
      </w:r>
      <w:r>
        <w:t>: CIs for</w:t>
      </w:r>
      <w:r>
        <w:t xml:space="preserve"> predicted event rates in each risk category were derived using the </w:t>
      </w:r>
      <w:r>
        <w:rPr>
          <w:rStyle w:val="Strong"/>
          <w:b w:val="0"/>
          <w:bCs w:val="0"/>
        </w:rPr>
        <w:t>Wilson score interval</w:t>
      </w:r>
      <w:r>
        <w:t xml:space="preserve">, which </w:t>
      </w:r>
      <w:r>
        <w:t>provides accurate bounds even with</w:t>
      </w:r>
      <w:r>
        <w:t xml:space="preserve"> small sample sizes or rare events (e.g., very high-risk group).</w:t>
      </w:r>
    </w:p>
    <w:p w:rsidR="00462F30" w:rsidRDefault="00FA1E1B">
      <w:pPr>
        <w:pStyle w:val="NormalWeb"/>
        <w:numPr>
          <w:ilvl w:val="0"/>
          <w:numId w:val="5"/>
        </w:numPr>
      </w:pPr>
      <w:r>
        <w:rPr>
          <w:rStyle w:val="Strong"/>
        </w:rPr>
        <w:t>Hazard Ratios (HRs)</w:t>
      </w:r>
      <w:r>
        <w:t>: Derived fro</w:t>
      </w:r>
      <w:r>
        <w:t xml:space="preserve">m </w:t>
      </w:r>
      <w:r>
        <w:rPr>
          <w:rStyle w:val="Strong"/>
          <w:b w:val="0"/>
          <w:bCs w:val="0"/>
        </w:rPr>
        <w:t>Cox proportional hazards models</w:t>
      </w:r>
      <w:r>
        <w:t xml:space="preserve"> fitted on the prospective cohort, with </w:t>
      </w:r>
      <w:r>
        <w:rPr>
          <w:rStyle w:val="Strong"/>
          <w:b w:val="0"/>
          <w:bCs w:val="0"/>
        </w:rPr>
        <w:t>robust standard error estimates</w:t>
      </w:r>
      <w:r>
        <w:t xml:space="preserve"> used to const</w:t>
      </w:r>
      <w:r>
        <w:t>ruct 95% CIs.</w:t>
      </w:r>
    </w:p>
    <w:p w:rsidR="00462F30" w:rsidRDefault="00FA1E1B">
      <w:pPr>
        <w:pStyle w:val="NormalWeb"/>
        <w:numPr>
          <w:ilvl w:val="0"/>
          <w:numId w:val="5"/>
        </w:numPr>
      </w:pPr>
      <w:r>
        <w:rPr>
          <w:rStyle w:val="Strong"/>
        </w:rPr>
        <w:t>Calibration curves</w:t>
      </w:r>
      <w:r>
        <w:t>: Bin-wis</w:t>
      </w:r>
      <w:r>
        <w:t>e 95% CIs were plotted using Wilson intervals around observed incidence rates, providing a visual representation of the calibration error range across predicted risk scores (Supplementary Figure 3).</w:t>
      </w:r>
    </w:p>
    <w:p w:rsidR="00462F30" w:rsidRDefault="00FA1E1B">
      <w:pPr>
        <w:pStyle w:val="NormalWeb"/>
        <w:numPr>
          <w:ilvl w:val="0"/>
          <w:numId w:val="5"/>
        </w:numPr>
      </w:pPr>
      <w:r>
        <w:rPr>
          <w:rStyle w:val="Strong"/>
        </w:rPr>
        <w:t>Survival analyses</w:t>
      </w:r>
      <w:r>
        <w:t>: Kaplan–Meier survival curves include s</w:t>
      </w:r>
      <w:r>
        <w:t>haded 95% confidence bands for each risk group (Figure 6), enhancing interpretation of time-to-event distributions.</w:t>
      </w:r>
    </w:p>
    <w:p w:rsidR="00462F30" w:rsidRDefault="00FA1E1B">
      <w:pPr>
        <w:pStyle w:val="NormalWeb"/>
      </w:pPr>
      <w:r>
        <w:lastRenderedPageBreak/>
        <w:t>This consistent application of CIs ensures transparency, supports interpretation of subgroup variability, and reinforces the robustness of o</w:t>
      </w:r>
      <w:r>
        <w:t>ur model validation framework.</w:t>
      </w:r>
    </w:p>
    <w:p w:rsidR="00462F30" w:rsidRDefault="00FA1E1B">
      <w:pPr>
        <w:pStyle w:val="Heading1"/>
        <w:rPr>
          <w:lang w:eastAsia="zh-CN"/>
        </w:rPr>
      </w:pPr>
      <w:bookmarkStart w:id="5" w:name="_Toc202800142"/>
      <w:r>
        <w:rPr>
          <w:rStyle w:val="Strong"/>
          <w:b/>
          <w:bCs w:val="0"/>
        </w:rPr>
        <w:t>Feature Selection Pipeline and Justification</w:t>
      </w:r>
      <w:bookmarkEnd w:id="5"/>
    </w:p>
    <w:p w:rsidR="00462F30" w:rsidRDefault="00FA1E1B">
      <w:pPr>
        <w:pStyle w:val="NormalWeb"/>
      </w:pPr>
      <w:r>
        <w:t>To address the dual challenges of extreme feature dimensionality and sparsity in statewide EHR datasets, we implemented a two-stage feature selection process designed to balance st</w:t>
      </w:r>
      <w:r>
        <w:t>atistical rigor, predictive utility, and computational feasibility.</w:t>
      </w:r>
    </w:p>
    <w:p w:rsidR="00462F30" w:rsidRDefault="00FA1E1B">
      <w:pPr>
        <w:pStyle w:val="NormalWeb"/>
      </w:pPr>
      <w:r>
        <w:rPr>
          <w:rStyle w:val="Strong"/>
        </w:rPr>
        <w:t>Stage 1: Statistical Prescreening via Chi-square Filtering</w:t>
      </w:r>
      <w:r>
        <w:br/>
        <w:t>EHR data typically contain tens of thousands of binary and categorical variables derived from diagnosis codes, medication orders,</w:t>
      </w:r>
      <w:r>
        <w:t xml:space="preserve"> lab flags, and procedure records. To manage this high-dimensional space, we performed chi-square testing as a prescreening step to eliminate variables with no statistically significant association with incident CHD outcomes. This unsupervised filtering re</w:t>
      </w:r>
      <w:r>
        <w:t>duces the burden of modeling sparse and weakly informative features while preserving potentially relevant variables without requiring parametric assumptions.</w:t>
      </w:r>
    </w:p>
    <w:p w:rsidR="00462F30" w:rsidRDefault="00FA1E1B">
      <w:pPr>
        <w:pStyle w:val="NormalWeb"/>
      </w:pPr>
      <w:r>
        <w:t>Chi-square testing is advantageous in this context because:</w:t>
      </w:r>
    </w:p>
    <w:p w:rsidR="00462F30" w:rsidRDefault="00FA1E1B">
      <w:pPr>
        <w:pStyle w:val="NormalWeb"/>
        <w:numPr>
          <w:ilvl w:val="0"/>
          <w:numId w:val="6"/>
        </w:numPr>
      </w:pPr>
      <w:r>
        <w:t xml:space="preserve">It is well-suited to binary variables </w:t>
      </w:r>
      <w:r>
        <w:t>common in EHR datasets (e.g., presence/absence of diagnoses or lab abnormalities).</w:t>
      </w:r>
    </w:p>
    <w:p w:rsidR="00462F30" w:rsidRDefault="00FA1E1B">
      <w:pPr>
        <w:pStyle w:val="NormalWeb"/>
        <w:numPr>
          <w:ilvl w:val="0"/>
          <w:numId w:val="6"/>
        </w:numPr>
      </w:pPr>
      <w:r>
        <w:t>It accommodates sparsity, since it evaluates contingency table associations rather than continuous variable distributions.</w:t>
      </w:r>
    </w:p>
    <w:p w:rsidR="00462F30" w:rsidRDefault="00FA1E1B" w:rsidP="00FA1E1B">
      <w:pPr>
        <w:pStyle w:val="NormalWeb"/>
        <w:tabs>
          <w:tab w:val="left" w:pos="720"/>
        </w:tabs>
        <w:ind w:left="360"/>
      </w:pPr>
      <w:r>
        <w:t>It avoids imposing prior assumptions about variabl</w:t>
      </w:r>
      <w:r>
        <w:t>e importance or interactions, thereby preventing literature-driven bias and preserving discovery of novel predictors.</w:t>
      </w:r>
    </w:p>
    <w:p w:rsidR="00462F30" w:rsidRDefault="00FA1E1B">
      <w:pPr>
        <w:pStyle w:val="NormalWeb"/>
      </w:pPr>
      <w:r>
        <w:rPr>
          <w:rStyle w:val="Strong"/>
        </w:rPr>
        <w:t xml:space="preserve">Stage 2: Predictive Feature Selection via </w:t>
      </w:r>
      <w:proofErr w:type="spellStart"/>
      <w:r>
        <w:rPr>
          <w:rStyle w:val="Strong"/>
        </w:rPr>
        <w:t>XGBoost</w:t>
      </w:r>
      <w:proofErr w:type="spellEnd"/>
      <w:r>
        <w:rPr>
          <w:rStyle w:val="Strong"/>
        </w:rPr>
        <w:t xml:space="preserve"> Variable Importance</w:t>
      </w:r>
      <w:r>
        <w:br/>
        <w:t>The reduced feature set (n = 1,928) from Stage 1 was then passed int</w:t>
      </w:r>
      <w:r>
        <w:t xml:space="preserve">o an </w:t>
      </w:r>
      <w:proofErr w:type="spellStart"/>
      <w:r>
        <w:t>XGBoost</w:t>
      </w:r>
      <w:proofErr w:type="spellEnd"/>
      <w:r>
        <w:t xml:space="preserve"> classifier, which assessed the predictive contribution of each variable to the outcome. We retained 387 features with positive importance scores, reflecting their utility in improving model performance during training. This method captures non</w:t>
      </w:r>
      <w:r>
        <w:t>linear dependencies, complex interactions, and conditional relationships among features—limitations that are not addressed by the chi-square test alone.</w:t>
      </w:r>
    </w:p>
    <w:p w:rsidR="00462F30" w:rsidRDefault="00FA1E1B">
      <w:pPr>
        <w:pStyle w:val="NormalWeb"/>
      </w:pPr>
      <w:r>
        <w:t xml:space="preserve">Importantly, </w:t>
      </w:r>
      <w:proofErr w:type="spellStart"/>
      <w:r>
        <w:t>XGBoost's</w:t>
      </w:r>
      <w:proofErr w:type="spellEnd"/>
      <w:r>
        <w:t xml:space="preserve"> embedded feature selection capability provides robustness against overfitting an</w:t>
      </w:r>
      <w:r>
        <w:t>d allows for ranking predictors by contribution, enabling both interpretability (via SHAP analysis) and optimization of model sparsity.</w:t>
      </w:r>
    </w:p>
    <w:p w:rsidR="00462F30" w:rsidRDefault="00FA1E1B">
      <w:pPr>
        <w:pStyle w:val="NormalWeb"/>
      </w:pPr>
      <w:r>
        <w:rPr>
          <w:rStyle w:val="Strong"/>
        </w:rPr>
        <w:t>Rationale for Combined Strategy</w:t>
      </w:r>
      <w:r>
        <w:br/>
        <w:t>This two-tiered selection framework was necessary for the following reasons:</w:t>
      </w:r>
    </w:p>
    <w:p w:rsidR="00462F30" w:rsidRDefault="00FA1E1B">
      <w:pPr>
        <w:pStyle w:val="NormalWeb"/>
        <w:numPr>
          <w:ilvl w:val="0"/>
          <w:numId w:val="7"/>
        </w:numPr>
      </w:pPr>
      <w:r>
        <w:t xml:space="preserve">It reduces </w:t>
      </w:r>
      <w:r>
        <w:t>the risk of overfitting by excluding non-informative variables early.</w:t>
      </w:r>
    </w:p>
    <w:p w:rsidR="00462F30" w:rsidRDefault="00FA1E1B">
      <w:pPr>
        <w:pStyle w:val="NormalWeb"/>
        <w:numPr>
          <w:ilvl w:val="0"/>
          <w:numId w:val="7"/>
        </w:numPr>
      </w:pPr>
      <w:r>
        <w:t>It enables scaling to statewide population-level EHR data (over 20,000 raw variables).</w:t>
      </w:r>
    </w:p>
    <w:p w:rsidR="00462F30" w:rsidRDefault="00FA1E1B">
      <w:pPr>
        <w:pStyle w:val="NormalWeb"/>
        <w:numPr>
          <w:ilvl w:val="0"/>
          <w:numId w:val="7"/>
        </w:numPr>
      </w:pPr>
      <w:r>
        <w:t>It preserves interpretability through downstream SHAP-based ranking of retained variables.</w:t>
      </w:r>
    </w:p>
    <w:p w:rsidR="00462F30" w:rsidRDefault="00FA1E1B">
      <w:pPr>
        <w:pStyle w:val="NormalWeb"/>
        <w:numPr>
          <w:ilvl w:val="0"/>
          <w:numId w:val="7"/>
        </w:numPr>
      </w:pPr>
      <w:r>
        <w:t>It maint</w:t>
      </w:r>
      <w:r>
        <w:t>ains alignment with real-world EHR feature structures (sparse, binary, and imbalanced).</w:t>
      </w:r>
    </w:p>
    <w:p w:rsidR="00462F30" w:rsidRDefault="00FA1E1B">
      <w:pPr>
        <w:pStyle w:val="NormalWeb"/>
      </w:pPr>
      <w:r>
        <w:lastRenderedPageBreak/>
        <w:t xml:space="preserve">We emphasize that only the </w:t>
      </w:r>
      <w:proofErr w:type="spellStart"/>
      <w:r>
        <w:t>XGBoost</w:t>
      </w:r>
      <w:proofErr w:type="spellEnd"/>
      <w:r>
        <w:t>-selected features were used in final model development, calibration, and validation. Thus, predictive performance is grounded in mult</w:t>
      </w:r>
      <w:r>
        <w:t>ivariate model evaluation, not in the univariate chi-square test.</w:t>
      </w:r>
    </w:p>
    <w:p w:rsidR="00462F30" w:rsidRDefault="00FA1E1B">
      <w:pPr>
        <w:pStyle w:val="Heading1"/>
        <w:rPr>
          <w:lang w:eastAsia="zh-CN"/>
        </w:rPr>
      </w:pPr>
      <w:bookmarkStart w:id="6" w:name="_Toc202800143"/>
      <w:r>
        <w:rPr>
          <w:rStyle w:val="Strong"/>
          <w:b/>
          <w:bCs w:val="0"/>
        </w:rPr>
        <w:t>Data Leakage Avoidance and Feature Selection Workflow</w:t>
      </w:r>
      <w:bookmarkEnd w:id="6"/>
    </w:p>
    <w:p w:rsidR="00462F30" w:rsidRDefault="00FA1E1B">
      <w:pPr>
        <w:pStyle w:val="NormalWeb"/>
      </w:pPr>
      <w:r>
        <w:t>To prevent information leakage and ensure u</w:t>
      </w:r>
      <w:r>
        <w:t>nbiased model evaluation, the retrospective dataset was divided into two distinct subsets bef</w:t>
      </w:r>
      <w:r>
        <w:t xml:space="preserve">ore any modeling operations: (1) a </w:t>
      </w:r>
      <w:r>
        <w:rPr>
          <w:rStyle w:val="Strong"/>
          <w:b w:val="0"/>
          <w:bCs w:val="0"/>
        </w:rPr>
        <w:t>training set</w:t>
      </w:r>
      <w:r>
        <w:t xml:space="preserve"> for feature selection, model training, and </w:t>
      </w:r>
      <w:proofErr w:type="spellStart"/>
      <w:r>
        <w:t>hyperparameter</w:t>
      </w:r>
      <w:proofErr w:type="spellEnd"/>
      <w:r>
        <w:t xml:space="preserve"> tuning, and (2) a </w:t>
      </w:r>
      <w:r>
        <w:rPr>
          <w:rStyle w:val="Strong"/>
          <w:b w:val="0"/>
          <w:bCs w:val="0"/>
        </w:rPr>
        <w:t>calibration set</w:t>
      </w:r>
      <w:r>
        <w:t xml:space="preserve"> for model calibration via isotonic regression.</w:t>
      </w:r>
    </w:p>
    <w:p w:rsidR="00462F30" w:rsidRDefault="00FA1E1B">
      <w:pPr>
        <w:pStyle w:val="NormalWeb"/>
      </w:pPr>
      <w:r>
        <w:t>The entire feature selection process—including chi-square prescreenin</w:t>
      </w:r>
      <w:r>
        <w:t>g and tree-based variable importance scoring (</w:t>
      </w:r>
      <w:proofErr w:type="spellStart"/>
      <w:r>
        <w:t>XGBoost</w:t>
      </w:r>
      <w:proofErr w:type="spellEnd"/>
      <w:r>
        <w:t>)—was confined to the training set. Importantly, no information from the calibration or prospective validation cohorts was used in the selection of predictive features. This design aligns with best pract</w:t>
      </w:r>
      <w:r>
        <w:t xml:space="preserve">ices outlined in </w:t>
      </w:r>
      <w:r>
        <w:rPr>
          <w:rStyle w:val="Emphasis"/>
        </w:rPr>
        <w:t>Elements of Statistical Learning (Section 7.10.2)</w:t>
      </w:r>
      <w:r>
        <w:t xml:space="preserve"> and avoids data leakage that could otherwise bias internal performance estimates.</w:t>
      </w:r>
    </w:p>
    <w:p w:rsidR="00462F30" w:rsidRDefault="00FA1E1B">
      <w:pPr>
        <w:pStyle w:val="NormalWeb"/>
        <w:rPr>
          <w:rStyle w:val="Strong"/>
          <w:rFonts w:eastAsiaTheme="minorEastAsia" w:cs="Cambria"/>
        </w:rPr>
      </w:pPr>
      <w:r>
        <w:rPr>
          <w:rStyle w:val="Strong"/>
          <w:rFonts w:eastAsiaTheme="minorEastAsia" w:cs="Cambria"/>
        </w:rPr>
        <w:t>Detailed Workflow:</w:t>
      </w:r>
    </w:p>
    <w:p w:rsidR="00462F30" w:rsidRDefault="00FA1E1B">
      <w:pPr>
        <w:pStyle w:val="NormalWeb"/>
        <w:numPr>
          <w:ilvl w:val="0"/>
          <w:numId w:val="8"/>
        </w:numPr>
      </w:pPr>
      <w:r>
        <w:rPr>
          <w:rStyle w:val="Strong"/>
        </w:rPr>
        <w:t>Step 1: Data split</w:t>
      </w:r>
      <w:r>
        <w:t xml:space="preserve"> — </w:t>
      </w:r>
      <w:proofErr w:type="gramStart"/>
      <w:r>
        <w:t>The</w:t>
      </w:r>
      <w:proofErr w:type="gramEnd"/>
      <w:r>
        <w:t xml:space="preserve"> retrospective cohort was randomly split into 70% training and 3</w:t>
      </w:r>
      <w:r>
        <w:t>0% calibration subsets.</w:t>
      </w:r>
    </w:p>
    <w:p w:rsidR="00462F30" w:rsidRDefault="00FA1E1B">
      <w:pPr>
        <w:pStyle w:val="NormalWeb"/>
        <w:numPr>
          <w:ilvl w:val="0"/>
          <w:numId w:val="8"/>
        </w:numPr>
      </w:pPr>
      <w:r>
        <w:rPr>
          <w:rStyle w:val="Strong"/>
        </w:rPr>
        <w:t>Step 2: Feature prescreening</w:t>
      </w:r>
      <w:r>
        <w:t xml:space="preserve"> — </w:t>
      </w:r>
      <w:proofErr w:type="gramStart"/>
      <w:r>
        <w:t>Within</w:t>
      </w:r>
      <w:proofErr w:type="gramEnd"/>
      <w:r>
        <w:t xml:space="preserve"> the training set, we removed variables with high </w:t>
      </w:r>
      <w:proofErr w:type="spellStart"/>
      <w:r>
        <w:t>missingness</w:t>
      </w:r>
      <w:proofErr w:type="spellEnd"/>
      <w:r>
        <w:t xml:space="preserve"> or extreme imbalance, followed by chi-square filtering to identify features associated with CHD outcomes.</w:t>
      </w:r>
    </w:p>
    <w:p w:rsidR="00462F30" w:rsidRDefault="00FA1E1B">
      <w:pPr>
        <w:pStyle w:val="NormalWeb"/>
        <w:numPr>
          <w:ilvl w:val="0"/>
          <w:numId w:val="8"/>
        </w:numPr>
      </w:pPr>
      <w:r>
        <w:rPr>
          <w:rStyle w:val="Strong"/>
        </w:rPr>
        <w:t xml:space="preserve">Step 3: Predictive feature </w:t>
      </w:r>
      <w:r>
        <w:rPr>
          <w:rStyle w:val="Strong"/>
        </w:rPr>
        <w:t>selection</w:t>
      </w:r>
      <w:r>
        <w:t xml:space="preserve"> — </w:t>
      </w:r>
      <w:proofErr w:type="gramStart"/>
      <w:r>
        <w:t>The</w:t>
      </w:r>
      <w:proofErr w:type="gramEnd"/>
      <w:r>
        <w:t xml:space="preserve"> resulting candidate features were input into an </w:t>
      </w:r>
      <w:proofErr w:type="spellStart"/>
      <w:r>
        <w:t>XGBoost</w:t>
      </w:r>
      <w:proofErr w:type="spellEnd"/>
      <w:r>
        <w:t xml:space="preserve"> model, and features with positive importance scores were retained (n = 387).</w:t>
      </w:r>
    </w:p>
    <w:p w:rsidR="00462F30" w:rsidRDefault="00FA1E1B">
      <w:pPr>
        <w:pStyle w:val="NormalWeb"/>
        <w:numPr>
          <w:ilvl w:val="0"/>
          <w:numId w:val="8"/>
        </w:numPr>
      </w:pPr>
      <w:r>
        <w:rPr>
          <w:rStyle w:val="Strong"/>
        </w:rPr>
        <w:t xml:space="preserve">Step 4: </w:t>
      </w:r>
      <w:proofErr w:type="spellStart"/>
      <w:r>
        <w:rPr>
          <w:rStyle w:val="Strong"/>
        </w:rPr>
        <w:t>Hyperparameter</w:t>
      </w:r>
      <w:proofErr w:type="spellEnd"/>
      <w:r>
        <w:rPr>
          <w:rStyle w:val="Strong"/>
        </w:rPr>
        <w:t xml:space="preserve"> tuning</w:t>
      </w:r>
      <w:r>
        <w:t xml:space="preserve"> — </w:t>
      </w:r>
      <w:proofErr w:type="gramStart"/>
      <w:r>
        <w:t>A</w:t>
      </w:r>
      <w:proofErr w:type="gramEnd"/>
      <w:r>
        <w:t xml:space="preserve"> grid search combined with K-fold cross-validation (within the training se</w:t>
      </w:r>
      <w:r>
        <w:t>t) was used to identify optimal model settings.</w:t>
      </w:r>
    </w:p>
    <w:p w:rsidR="00462F30" w:rsidRDefault="00FA1E1B">
      <w:pPr>
        <w:pStyle w:val="NormalWeb"/>
        <w:numPr>
          <w:ilvl w:val="0"/>
          <w:numId w:val="8"/>
        </w:numPr>
      </w:pPr>
      <w:r>
        <w:rPr>
          <w:rStyle w:val="Strong"/>
        </w:rPr>
        <w:t>Step 5: Calibration</w:t>
      </w:r>
      <w:r>
        <w:t xml:space="preserve"> — </w:t>
      </w:r>
      <w:proofErr w:type="gramStart"/>
      <w:r>
        <w:t>The</w:t>
      </w:r>
      <w:proofErr w:type="gramEnd"/>
      <w:r>
        <w:t xml:space="preserve"> calibration set was used only to map predicted risk scores to positive predictive values using isotonic regression.</w:t>
      </w:r>
    </w:p>
    <w:p w:rsidR="00462F30" w:rsidRDefault="00FA1E1B">
      <w:pPr>
        <w:pStyle w:val="NormalWeb"/>
        <w:numPr>
          <w:ilvl w:val="0"/>
          <w:numId w:val="8"/>
        </w:numPr>
      </w:pPr>
      <w:r>
        <w:rPr>
          <w:rStyle w:val="Strong"/>
        </w:rPr>
        <w:t>Step 6: Prospective validation</w:t>
      </w:r>
      <w:r>
        <w:t xml:space="preserve"> — </w:t>
      </w:r>
      <w:proofErr w:type="gramStart"/>
      <w:r>
        <w:t>An</w:t>
      </w:r>
      <w:proofErr w:type="gramEnd"/>
      <w:r>
        <w:t xml:space="preserve"> independent prospective cohort</w:t>
      </w:r>
      <w:r>
        <w:t xml:space="preserve"> was used for final model evaluation.</w:t>
      </w:r>
    </w:p>
    <w:p w:rsidR="00462F30" w:rsidRDefault="00FA1E1B">
      <w:pPr>
        <w:pStyle w:val="NormalWeb"/>
      </w:pPr>
      <w:r>
        <w:t xml:space="preserve">This pipeline ensures that feature selection and model evaluation are conducted on disjoint datasets, thereby mitigating the risk of overfitting or overestimating model performance. Although nested cross-validation is </w:t>
      </w:r>
      <w:r>
        <w:t>ideal in smaller datasets, our approach reflects a compromise between statistical rigor and computational tractability in a real-world, population-scale EHR setting.</w:t>
      </w:r>
    </w:p>
    <w:p w:rsidR="00462F30" w:rsidRDefault="00FA1E1B">
      <w:pPr>
        <w:pStyle w:val="Heading1"/>
        <w:rPr>
          <w:lang w:eastAsia="zh-CN"/>
        </w:rPr>
      </w:pPr>
      <w:bookmarkStart w:id="7" w:name="_Toc202800144"/>
      <w:r>
        <w:rPr>
          <w:rStyle w:val="Strong"/>
          <w:b/>
          <w:bCs w:val="0"/>
        </w:rPr>
        <w:t>Model Calibration Methodology</w:t>
      </w:r>
      <w:bookmarkEnd w:id="7"/>
    </w:p>
    <w:p w:rsidR="00462F30" w:rsidRDefault="00FA1E1B">
      <w:pPr>
        <w:pStyle w:val="NormalWeb"/>
      </w:pPr>
      <w:r>
        <w:t>Accurate calibration ensures that predicted probabilities re</w:t>
      </w:r>
      <w:r>
        <w:t xml:space="preserve">flect the </w:t>
      </w:r>
      <w:r>
        <w:t xml:space="preserve">true risk of outcomes across the entire prediction spectrum, not just the average. To address this, we employed </w:t>
      </w:r>
      <w:r>
        <w:rPr>
          <w:rStyle w:val="Strong"/>
          <w:b w:val="0"/>
          <w:bCs w:val="0"/>
        </w:rPr>
        <w:t>isotonic regression</w:t>
      </w:r>
      <w:r>
        <w:t xml:space="preserve"> to calibrate our CHD risk prediction model.</w:t>
      </w:r>
    </w:p>
    <w:p w:rsidR="00462F30" w:rsidRDefault="00FA1E1B">
      <w:pPr>
        <w:pStyle w:val="NormalWeb"/>
      </w:pPr>
      <w:r>
        <w:rPr>
          <w:rStyle w:val="Strong"/>
        </w:rPr>
        <w:t>Rationale for Isotonic Regression:</w:t>
      </w:r>
    </w:p>
    <w:p w:rsidR="00462F30" w:rsidRDefault="00FA1E1B">
      <w:pPr>
        <w:pStyle w:val="NormalWeb"/>
        <w:numPr>
          <w:ilvl w:val="0"/>
          <w:numId w:val="9"/>
        </w:numPr>
      </w:pPr>
      <w:r>
        <w:t>Isotonic regressi</w:t>
      </w:r>
      <w:r>
        <w:t xml:space="preserve">on is a </w:t>
      </w:r>
      <w:r>
        <w:rPr>
          <w:rStyle w:val="Strong"/>
          <w:b w:val="0"/>
          <w:bCs w:val="0"/>
        </w:rPr>
        <w:t>nonparamet</w:t>
      </w:r>
      <w:r>
        <w:rPr>
          <w:rStyle w:val="Strong"/>
          <w:b w:val="0"/>
          <w:bCs w:val="0"/>
        </w:rPr>
        <w:t>ric</w:t>
      </w:r>
      <w:r>
        <w:t xml:space="preserve"> method that fits a monotonic mapping between uncalibrated model outputs and observed event rates.</w:t>
      </w:r>
    </w:p>
    <w:p w:rsidR="00462F30" w:rsidRDefault="00FA1E1B">
      <w:pPr>
        <w:pStyle w:val="NormalWeb"/>
        <w:numPr>
          <w:ilvl w:val="0"/>
          <w:numId w:val="9"/>
        </w:numPr>
      </w:pPr>
      <w:r>
        <w:lastRenderedPageBreak/>
        <w:t xml:space="preserve">Unlike parametric methods (e.g., Platt scaling), isotonic regression </w:t>
      </w:r>
      <w:r>
        <w:rPr>
          <w:rStyle w:val="Strong"/>
          <w:b w:val="0"/>
          <w:bCs w:val="0"/>
        </w:rPr>
        <w:t>does not assume a specific functional form</w:t>
      </w:r>
      <w:r>
        <w:t xml:space="preserve"> (such as a sigmoid curve), making it bette</w:t>
      </w:r>
      <w:r>
        <w:t xml:space="preserve">r suited for </w:t>
      </w:r>
      <w:r>
        <w:rPr>
          <w:rStyle w:val="Strong"/>
          <w:b w:val="0"/>
          <w:bCs w:val="0"/>
        </w:rPr>
        <w:t>heterogeneous real-world EHR data</w:t>
      </w:r>
      <w:r>
        <w:t xml:space="preserve"> where score-to-risk relationships may be irregular.</w:t>
      </w:r>
    </w:p>
    <w:p w:rsidR="00462F30" w:rsidRDefault="00FA1E1B">
      <w:pPr>
        <w:pStyle w:val="NormalWeb"/>
        <w:numPr>
          <w:ilvl w:val="0"/>
          <w:numId w:val="9"/>
        </w:numPr>
      </w:pPr>
      <w:r>
        <w:t xml:space="preserve">It provides </w:t>
      </w:r>
      <w:r>
        <w:rPr>
          <w:rStyle w:val="Strong"/>
          <w:b w:val="0"/>
          <w:bCs w:val="0"/>
        </w:rPr>
        <w:t xml:space="preserve">local </w:t>
      </w:r>
      <w:proofErr w:type="spellStart"/>
      <w:r>
        <w:rPr>
          <w:rStyle w:val="Strong"/>
          <w:b w:val="0"/>
          <w:bCs w:val="0"/>
        </w:rPr>
        <w:t>adaptivity</w:t>
      </w:r>
      <w:proofErr w:type="spellEnd"/>
      <w:r>
        <w:t>, especially useful in skewed or imba</w:t>
      </w:r>
      <w:r>
        <w:t>lanced datasets, allowing for more accurate mapping in regions with sparse data or nonlinear</w:t>
      </w:r>
      <w:r>
        <w:t xml:space="preserve"> trends.</w:t>
      </w:r>
    </w:p>
    <w:p w:rsidR="00462F30" w:rsidRDefault="00FA1E1B">
      <w:pPr>
        <w:pStyle w:val="NormalWeb"/>
      </w:pPr>
      <w:r>
        <w:rPr>
          <w:rStyle w:val="Strong"/>
        </w:rPr>
        <w:t>Implementation Steps:</w:t>
      </w:r>
    </w:p>
    <w:p w:rsidR="00462F30" w:rsidRDefault="00FA1E1B">
      <w:pPr>
        <w:pStyle w:val="NormalWeb"/>
        <w:numPr>
          <w:ilvl w:val="0"/>
          <w:numId w:val="10"/>
        </w:numPr>
      </w:pPr>
      <w:r>
        <w:t xml:space="preserve">After model training on the retrospective training set, predicted risk scores were generated for the </w:t>
      </w:r>
      <w:r>
        <w:rPr>
          <w:rStyle w:val="Strong"/>
          <w:b w:val="0"/>
          <w:bCs w:val="0"/>
        </w:rPr>
        <w:t>hold-out calibration subset</w:t>
      </w:r>
      <w:r>
        <w:t>.</w:t>
      </w:r>
    </w:p>
    <w:p w:rsidR="00462F30" w:rsidRDefault="00FA1E1B">
      <w:pPr>
        <w:pStyle w:val="NormalWeb"/>
        <w:numPr>
          <w:ilvl w:val="0"/>
          <w:numId w:val="10"/>
        </w:numPr>
      </w:pPr>
      <w:r>
        <w:t xml:space="preserve">The calibration mapping was learned using </w:t>
      </w:r>
      <w:r>
        <w:rPr>
          <w:rStyle w:val="Strong"/>
          <w:b w:val="0"/>
          <w:bCs w:val="0"/>
        </w:rPr>
        <w:t>isotonic regression</w:t>
      </w:r>
      <w:r>
        <w:t xml:space="preserve">, with predicted scores as inputs </w:t>
      </w:r>
      <w:r>
        <w:t>and the actual 1-year CHD outcome labels as targets.</w:t>
      </w:r>
    </w:p>
    <w:p w:rsidR="00462F30" w:rsidRDefault="00FA1E1B">
      <w:pPr>
        <w:pStyle w:val="NormalWeb"/>
        <w:numPr>
          <w:ilvl w:val="0"/>
          <w:numId w:val="10"/>
        </w:numPr>
      </w:pPr>
      <w:r>
        <w:t xml:space="preserve">The fitted isotonic model was then used to </w:t>
      </w:r>
      <w:r>
        <w:rPr>
          <w:rStyle w:val="Strong"/>
          <w:b w:val="0"/>
          <w:bCs w:val="0"/>
        </w:rPr>
        <w:t>map raw prediction scores to calibrated probabilities</w:t>
      </w:r>
      <w:r>
        <w:t xml:space="preserve"> (i.e., estimated positive predictive values, PPVs).</w:t>
      </w:r>
    </w:p>
    <w:p w:rsidR="00462F30" w:rsidRDefault="00FA1E1B">
      <w:pPr>
        <w:pStyle w:val="NormalWeb"/>
        <w:numPr>
          <w:ilvl w:val="0"/>
          <w:numId w:val="10"/>
        </w:numPr>
      </w:pPr>
      <w:r>
        <w:t>Calibrated risk probabilities were then applied to the</w:t>
      </w:r>
      <w:r>
        <w:t xml:space="preserve"> independent prospective cohort for validation and stratification into clinical risk categories.</w:t>
      </w:r>
    </w:p>
    <w:p w:rsidR="00462F30" w:rsidRDefault="00FA1E1B">
      <w:pPr>
        <w:pStyle w:val="NormalWeb"/>
      </w:pPr>
      <w:r>
        <w:t>Our results confirm that the isotonic regression mapping maintained good calibration across all risk levels, including both high and low predicted probabilitie</w:t>
      </w:r>
      <w:r>
        <w:t>s.</w:t>
      </w:r>
    </w:p>
    <w:p w:rsidR="00462F30" w:rsidRDefault="00FA1E1B">
      <w:pPr>
        <w:pStyle w:val="NormalWeb"/>
      </w:pPr>
      <w:r>
        <w:t xml:space="preserve">We selected isotonic regression over Platt scaling due to its </w:t>
      </w:r>
      <w:r>
        <w:rPr>
          <w:rStyle w:val="Strong"/>
          <w:b w:val="0"/>
          <w:bCs w:val="0"/>
        </w:rPr>
        <w:t>greater flexibility, superior empirical performance in large-scale clinical datasets</w:t>
      </w:r>
      <w:r>
        <w:t>, and ability to preserve monotonicity without risking parametric misspecification.</w:t>
      </w:r>
    </w:p>
    <w:p w:rsidR="00462F30" w:rsidRDefault="00FA1E1B">
      <w:pPr>
        <w:pStyle w:val="Heading1"/>
        <w:rPr>
          <w:lang w:eastAsia="zh-CN"/>
        </w:rPr>
      </w:pPr>
      <w:bookmarkStart w:id="8" w:name="_Toc202800145"/>
      <w:r>
        <w:rPr>
          <w:rStyle w:val="Strong"/>
          <w:b/>
          <w:bCs w:val="0"/>
        </w:rPr>
        <w:t>Model Comparison and Pe</w:t>
      </w:r>
      <w:r>
        <w:rPr>
          <w:rStyle w:val="Strong"/>
          <w:b/>
          <w:bCs w:val="0"/>
        </w:rPr>
        <w:t>rformance Interpretation</w:t>
      </w:r>
      <w:bookmarkEnd w:id="8"/>
    </w:p>
    <w:p w:rsidR="00462F30" w:rsidRDefault="00FA1E1B">
      <w:pPr>
        <w:pStyle w:val="NormalWeb"/>
      </w:pPr>
      <w:r>
        <w:t xml:space="preserve">To benchmark our predictive framework, we systematically evaluated multiple machine learning algorithms: LASSO, </w:t>
      </w:r>
      <w:proofErr w:type="spellStart"/>
      <w:r>
        <w:t>XGBoost</w:t>
      </w:r>
      <w:proofErr w:type="spellEnd"/>
      <w:r>
        <w:t>, Random Forest, Feed-forward Neural Network (FNN), Naïve Bayes, k-Nearest Neighbor (KNN), and an ensemble class</w:t>
      </w:r>
      <w:r>
        <w:t>ifier that aggregated their predictions.</w:t>
      </w:r>
    </w:p>
    <w:p w:rsidR="00462F30" w:rsidRDefault="00FA1E1B">
      <w:pPr>
        <w:pStyle w:val="NormalWeb"/>
      </w:pPr>
      <w:r>
        <w:rPr>
          <w:rStyle w:val="Strong"/>
        </w:rPr>
        <w:t>Observations:</w:t>
      </w:r>
    </w:p>
    <w:p w:rsidR="00462F30" w:rsidRDefault="00FA1E1B">
      <w:pPr>
        <w:pStyle w:val="NormalWeb"/>
        <w:numPr>
          <w:ilvl w:val="0"/>
          <w:numId w:val="11"/>
        </w:numPr>
      </w:pPr>
      <w:r>
        <w:t xml:space="preserve">Ensemble and </w:t>
      </w:r>
      <w:proofErr w:type="spellStart"/>
      <w:r>
        <w:t>XGBoost</w:t>
      </w:r>
      <w:proofErr w:type="spellEnd"/>
      <w:r>
        <w:t xml:space="preserve"> models outperformed others, achieving AUCs of 0.888 and 0.871, respectively.</w:t>
      </w:r>
    </w:p>
    <w:p w:rsidR="00462F30" w:rsidRDefault="00FA1E1B">
      <w:pPr>
        <w:pStyle w:val="NormalWeb"/>
        <w:numPr>
          <w:ilvl w:val="0"/>
          <w:numId w:val="11"/>
        </w:numPr>
      </w:pPr>
      <w:r>
        <w:t xml:space="preserve">LASSO achieved comparable AUCs to </w:t>
      </w:r>
      <w:proofErr w:type="spellStart"/>
      <w:r>
        <w:t>XGBoost</w:t>
      </w:r>
      <w:proofErr w:type="spellEnd"/>
      <w:r>
        <w:t>, despite being a linear model.</w:t>
      </w:r>
    </w:p>
    <w:p w:rsidR="00462F30" w:rsidRDefault="00FA1E1B">
      <w:pPr>
        <w:pStyle w:val="NormalWeb"/>
        <w:numPr>
          <w:ilvl w:val="0"/>
          <w:numId w:val="11"/>
        </w:numPr>
      </w:pPr>
      <w:r>
        <w:t>Random Forest and FNN underper</w:t>
      </w:r>
      <w:r>
        <w:t>formed relative to expectation, given the large dataset and moderate feature dimensionality.</w:t>
      </w:r>
    </w:p>
    <w:p w:rsidR="00462F30" w:rsidRDefault="00FA1E1B">
      <w:pPr>
        <w:pStyle w:val="NormalWeb"/>
      </w:pPr>
      <w:r>
        <w:rPr>
          <w:rStyle w:val="Strong"/>
        </w:rPr>
        <w:t>Possible Explanations:</w:t>
      </w:r>
    </w:p>
    <w:p w:rsidR="00462F30" w:rsidRDefault="00FA1E1B">
      <w:pPr>
        <w:pStyle w:val="NormalWeb"/>
        <w:numPr>
          <w:ilvl w:val="0"/>
          <w:numId w:val="12"/>
        </w:numPr>
      </w:pPr>
      <w:r>
        <w:rPr>
          <w:rStyle w:val="Strong"/>
        </w:rPr>
        <w:t>Data modality and sparsity</w:t>
      </w:r>
      <w:r>
        <w:br/>
        <w:t xml:space="preserve">Our EHR dataset comprises &gt;1,000 binary/categorical variables with high </w:t>
      </w:r>
      <w:proofErr w:type="spellStart"/>
      <w:r>
        <w:t>missingness</w:t>
      </w:r>
      <w:proofErr w:type="spellEnd"/>
      <w:r>
        <w:t xml:space="preserve"> and low marginal frequencies.</w:t>
      </w:r>
      <w:r>
        <w:t xml:space="preserve"> This favors algorithms like LASSO and </w:t>
      </w:r>
      <w:proofErr w:type="spellStart"/>
      <w:r>
        <w:t>XGBoost</w:t>
      </w:r>
      <w:proofErr w:type="spellEnd"/>
      <w:r>
        <w:t>, which are optimized for tabular, sparse data. In contrast, Random Forests and FNNs—although theoretically powerful—require dense and well-structured feature representations to realize their potential. Without</w:t>
      </w:r>
      <w:r>
        <w:t xml:space="preserve"> feature </w:t>
      </w:r>
      <w:proofErr w:type="spellStart"/>
      <w:r>
        <w:t>embeddings</w:t>
      </w:r>
      <w:proofErr w:type="spellEnd"/>
      <w:r>
        <w:t xml:space="preserve"> or engineered transformations, their performance is diminished.</w:t>
      </w:r>
    </w:p>
    <w:p w:rsidR="00462F30" w:rsidRDefault="00FA1E1B">
      <w:pPr>
        <w:pStyle w:val="NormalWeb"/>
        <w:numPr>
          <w:ilvl w:val="0"/>
          <w:numId w:val="12"/>
        </w:numPr>
      </w:pPr>
      <w:r>
        <w:rPr>
          <w:rStyle w:val="Strong"/>
        </w:rPr>
        <w:t>Noise and regularization mismatch</w:t>
      </w:r>
      <w:r>
        <w:br/>
      </w:r>
      <w:proofErr w:type="gramStart"/>
      <w:r>
        <w:t>Despite</w:t>
      </w:r>
      <w:proofErr w:type="gramEnd"/>
      <w:r>
        <w:t xml:space="preserve"> the large sample size, the underlying signal-to-noise ratio is modest due to inherent </w:t>
      </w:r>
      <w:r>
        <w:lastRenderedPageBreak/>
        <w:t>heterogeneity in clinical data and outcome l</w:t>
      </w:r>
      <w:r>
        <w:t xml:space="preserve">abeling uncertainty. FNNs and Random Forests, with high flexibility, are more susceptible to overfitting noisy or redundant patterns unless heavily regularized. </w:t>
      </w:r>
      <w:proofErr w:type="spellStart"/>
      <w:r>
        <w:t>XGBoost's</w:t>
      </w:r>
      <w:proofErr w:type="spellEnd"/>
      <w:r>
        <w:t xml:space="preserve"> built-in regularization (L1 and L2), pruning, and shrinkage mitigate this risk, enabl</w:t>
      </w:r>
      <w:r>
        <w:t>ing it to extract weak signals across many weakly informative features.</w:t>
      </w:r>
    </w:p>
    <w:p w:rsidR="00462F30" w:rsidRDefault="00FA1E1B">
      <w:pPr>
        <w:pStyle w:val="NormalWeb"/>
        <w:numPr>
          <w:ilvl w:val="0"/>
          <w:numId w:val="12"/>
        </w:numPr>
      </w:pPr>
      <w:proofErr w:type="spellStart"/>
      <w:r>
        <w:rPr>
          <w:rStyle w:val="Strong"/>
        </w:rPr>
        <w:t>Hyperparameter</w:t>
      </w:r>
      <w:proofErr w:type="spellEnd"/>
      <w:r>
        <w:rPr>
          <w:rStyle w:val="Strong"/>
        </w:rPr>
        <w:t xml:space="preserve"> tuning scope</w:t>
      </w:r>
      <w:r>
        <w:br/>
      </w:r>
      <w:proofErr w:type="gramStart"/>
      <w:r>
        <w:t>While</w:t>
      </w:r>
      <w:proofErr w:type="gramEnd"/>
      <w:r>
        <w:t xml:space="preserve"> we employed grid search for key </w:t>
      </w:r>
      <w:proofErr w:type="spellStart"/>
      <w:r>
        <w:t>hyperparameters</w:t>
      </w:r>
      <w:proofErr w:type="spellEnd"/>
      <w:r>
        <w:t xml:space="preserve"> (e.g., tree depth, learning rate, number of trees for </w:t>
      </w:r>
      <w:proofErr w:type="spellStart"/>
      <w:r>
        <w:t>XGBoost</w:t>
      </w:r>
      <w:proofErr w:type="spellEnd"/>
      <w:r>
        <w:t xml:space="preserve">; number of neurons, epochs, and dropout </w:t>
      </w:r>
      <w:r>
        <w:t>rate for FNN), resource constraints limited deeper nested optimization. It is plausible that wider or adaptive search strategies (e.g., Bayesian optimization) might improve the performance of neural and ensemble tree-based models, though likely with dimini</w:t>
      </w:r>
      <w:r>
        <w:t>shing returns in this tabular context.</w:t>
      </w:r>
    </w:p>
    <w:p w:rsidR="00462F30" w:rsidRDefault="00FA1E1B">
      <w:pPr>
        <w:pStyle w:val="NormalWeb"/>
        <w:numPr>
          <w:ilvl w:val="0"/>
          <w:numId w:val="12"/>
        </w:numPr>
      </w:pPr>
      <w:r>
        <w:rPr>
          <w:rStyle w:val="Strong"/>
        </w:rPr>
        <w:t>Feature encoding and architecture compatibility</w:t>
      </w:r>
      <w:r>
        <w:br/>
        <w:t xml:space="preserve">LASSO and </w:t>
      </w:r>
      <w:proofErr w:type="spellStart"/>
      <w:r>
        <w:t>XGBoost</w:t>
      </w:r>
      <w:proofErr w:type="spellEnd"/>
      <w:r>
        <w:t xml:space="preserve"> exploit the high sparsity of binary/categorical data effectively. Neural networks, in contrast, are often hindered by such sparsity unless enhanced wit</w:t>
      </w:r>
      <w:r>
        <w:t xml:space="preserve">h </w:t>
      </w:r>
      <w:proofErr w:type="spellStart"/>
      <w:r>
        <w:t>embeddings</w:t>
      </w:r>
      <w:proofErr w:type="spellEnd"/>
      <w:r>
        <w:t xml:space="preserve"> or domain-specific architectural adjustments. Given our model goal of scalable deployment on statewide data, we prioritized parsimonious, interpretable architectures over deep or recurrent networks.</w:t>
      </w:r>
    </w:p>
    <w:p w:rsidR="00462F30" w:rsidRDefault="00FA1E1B">
      <w:pPr>
        <w:pStyle w:val="NormalWeb"/>
      </w:pPr>
      <w:r>
        <w:rPr>
          <w:rStyle w:val="Strong"/>
        </w:rPr>
        <w:t>Conclusion</w:t>
      </w:r>
      <w:proofErr w:type="gramStart"/>
      <w:r>
        <w:rPr>
          <w:rStyle w:val="Strong"/>
        </w:rPr>
        <w:t>:</w:t>
      </w:r>
      <w:proofErr w:type="gramEnd"/>
      <w:r>
        <w:br/>
        <w:t xml:space="preserve">These results highlight the </w:t>
      </w:r>
      <w:r>
        <w:t xml:space="preserve">importance of aligning modeling choice with data characteristics. While complex learners offer greater flexibility, they do not universally outperform simpler models, especially in structured EHR domains where regularized, tree-based methods like </w:t>
      </w:r>
      <w:proofErr w:type="spellStart"/>
      <w:r>
        <w:t>XGBoost</w:t>
      </w:r>
      <w:proofErr w:type="spellEnd"/>
      <w:r>
        <w:t xml:space="preserve"> c</w:t>
      </w:r>
      <w:r>
        <w:t>an balance interpretability, performance, and scalability.</w:t>
      </w:r>
    </w:p>
    <w:p w:rsidR="00462F30" w:rsidRDefault="00FA1E1B">
      <w:pPr>
        <w:pStyle w:val="Heading1"/>
        <w:rPr>
          <w:lang w:eastAsia="zh-CN"/>
        </w:rPr>
      </w:pPr>
      <w:bookmarkStart w:id="9" w:name="_Toc202800146"/>
      <w:r>
        <w:rPr>
          <w:rStyle w:val="Strong"/>
          <w:b/>
          <w:bCs w:val="0"/>
        </w:rPr>
        <w:t xml:space="preserve">Rationale for Selecting </w:t>
      </w:r>
      <w:proofErr w:type="spellStart"/>
      <w:r>
        <w:rPr>
          <w:rStyle w:val="Strong"/>
          <w:b/>
          <w:bCs w:val="0"/>
        </w:rPr>
        <w:t>XGBoost</w:t>
      </w:r>
      <w:proofErr w:type="spellEnd"/>
      <w:r>
        <w:rPr>
          <w:rStyle w:val="Strong"/>
          <w:b/>
          <w:bCs w:val="0"/>
        </w:rPr>
        <w:t xml:space="preserve"> over LASSO as the Final Model</w:t>
      </w:r>
      <w:bookmarkEnd w:id="9"/>
    </w:p>
    <w:p w:rsidR="00462F30" w:rsidRDefault="00FA1E1B">
      <w:pPr>
        <w:pStyle w:val="NormalWeb"/>
      </w:pPr>
      <w:r>
        <w:t xml:space="preserve">Both LASSO and </w:t>
      </w:r>
      <w:proofErr w:type="spellStart"/>
      <w:r>
        <w:t>XGBoost</w:t>
      </w:r>
      <w:proofErr w:type="spellEnd"/>
      <w:r>
        <w:t xml:space="preserve"> were strong candidates for final model selection, having demonstrated comparable discrimination performance (AUC</w:t>
      </w:r>
      <w:r>
        <w:t xml:space="preserve">) in the prospective cohort. However, several technical and practical considerations led us to select </w:t>
      </w:r>
      <w:proofErr w:type="spellStart"/>
      <w:r>
        <w:t>XGBoost</w:t>
      </w:r>
      <w:proofErr w:type="spellEnd"/>
      <w:r>
        <w:t xml:space="preserve"> as the final model for deployment:</w:t>
      </w:r>
    </w:p>
    <w:p w:rsidR="00462F30" w:rsidRDefault="00FA1E1B">
      <w:pPr>
        <w:pStyle w:val="NormalWeb"/>
        <w:numPr>
          <w:ilvl w:val="0"/>
          <w:numId w:val="13"/>
        </w:numPr>
      </w:pPr>
      <w:r>
        <w:rPr>
          <w:rStyle w:val="Strong"/>
        </w:rPr>
        <w:t>Modeling Non-Linearity and Interactions</w:t>
      </w:r>
    </w:p>
    <w:p w:rsidR="00462F30" w:rsidRDefault="00FA1E1B">
      <w:pPr>
        <w:pStyle w:val="NormalWeb"/>
        <w:numPr>
          <w:ilvl w:val="1"/>
          <w:numId w:val="13"/>
        </w:numPr>
      </w:pPr>
      <w:r>
        <w:t xml:space="preserve">LASSO models linear associations between predictors and outcomes. This </w:t>
      </w:r>
      <w:r>
        <w:t>limits its ability to model non-linear relationships, interaction effects, and threshold-based decision logic—common in clinical data.</w:t>
      </w:r>
    </w:p>
    <w:p w:rsidR="00462F30" w:rsidRDefault="00FA1E1B">
      <w:pPr>
        <w:pStyle w:val="NormalWeb"/>
        <w:numPr>
          <w:ilvl w:val="1"/>
          <w:numId w:val="13"/>
        </w:numPr>
      </w:pPr>
      <w:proofErr w:type="spellStart"/>
      <w:r>
        <w:t>XGBoost</w:t>
      </w:r>
      <w:proofErr w:type="spellEnd"/>
      <w:r>
        <w:t>, a gradient-boosted decision tree method, captures complex, non-linear interactions between features without requ</w:t>
      </w:r>
      <w:r>
        <w:t>iring manual interaction terms or basis expansions.</w:t>
      </w:r>
    </w:p>
    <w:p w:rsidR="00462F30" w:rsidRDefault="00FA1E1B">
      <w:pPr>
        <w:pStyle w:val="NormalWeb"/>
        <w:numPr>
          <w:ilvl w:val="0"/>
          <w:numId w:val="13"/>
        </w:numPr>
      </w:pPr>
      <w:r>
        <w:rPr>
          <w:rStyle w:val="Strong"/>
        </w:rPr>
        <w:t xml:space="preserve">Data Robustness and </w:t>
      </w:r>
      <w:proofErr w:type="spellStart"/>
      <w:r>
        <w:rPr>
          <w:rStyle w:val="Strong"/>
        </w:rPr>
        <w:t>Missingness</w:t>
      </w:r>
      <w:proofErr w:type="spellEnd"/>
    </w:p>
    <w:p w:rsidR="00462F30" w:rsidRDefault="00FA1E1B">
      <w:pPr>
        <w:pStyle w:val="NormalWeb"/>
        <w:numPr>
          <w:ilvl w:val="1"/>
          <w:numId w:val="13"/>
        </w:numPr>
      </w:pPr>
      <w:r>
        <w:t>Real-world EHR data are noisy, sparse, and contain many missing values. LASSO requires explicit imputation, which may introduce bias.</w:t>
      </w:r>
    </w:p>
    <w:p w:rsidR="00462F30" w:rsidRDefault="00FA1E1B">
      <w:pPr>
        <w:pStyle w:val="NormalWeb"/>
        <w:numPr>
          <w:ilvl w:val="1"/>
          <w:numId w:val="13"/>
        </w:numPr>
      </w:pPr>
      <w:proofErr w:type="spellStart"/>
      <w:r>
        <w:t>XGBoost</w:t>
      </w:r>
      <w:proofErr w:type="spellEnd"/>
      <w:r>
        <w:t xml:space="preserve"> handles missing values nativel</w:t>
      </w:r>
      <w:r>
        <w:t>y during training and prediction, using learned default directions within tree nodes. This makes it more robust in the presence of incomplete records and minimizes preprocessing burden.</w:t>
      </w:r>
    </w:p>
    <w:p w:rsidR="00462F30" w:rsidRDefault="00FA1E1B">
      <w:pPr>
        <w:pStyle w:val="NormalWeb"/>
        <w:numPr>
          <w:ilvl w:val="0"/>
          <w:numId w:val="13"/>
        </w:numPr>
      </w:pPr>
      <w:r>
        <w:rPr>
          <w:rStyle w:val="Strong"/>
        </w:rPr>
        <w:t>Feature Interpretability and Clinical Transparency</w:t>
      </w:r>
    </w:p>
    <w:p w:rsidR="00462F30" w:rsidRDefault="00FA1E1B">
      <w:pPr>
        <w:pStyle w:val="NormalWeb"/>
        <w:numPr>
          <w:ilvl w:val="1"/>
          <w:numId w:val="13"/>
        </w:numPr>
      </w:pPr>
      <w:r>
        <w:t>LASSO’s coefficient</w:t>
      </w:r>
      <w:r>
        <w:t xml:space="preserve"> shrinkage provides a transparent view of selected features but does not explain individual predictions.</w:t>
      </w:r>
    </w:p>
    <w:p w:rsidR="00462F30" w:rsidRDefault="00FA1E1B">
      <w:pPr>
        <w:pStyle w:val="NormalWeb"/>
        <w:numPr>
          <w:ilvl w:val="1"/>
          <w:numId w:val="13"/>
        </w:numPr>
      </w:pPr>
      <w:proofErr w:type="spellStart"/>
      <w:r>
        <w:t>XGBoost</w:t>
      </w:r>
      <w:proofErr w:type="spellEnd"/>
      <w:r>
        <w:t xml:space="preserve"> integrates seamlessly with SHAP, allowing detailed attribution of prediction risk to specific features </w:t>
      </w:r>
      <w:proofErr w:type="gramStart"/>
      <w:r>
        <w:t>for each individual—facilitating interpr</w:t>
      </w:r>
      <w:r>
        <w:t>etability</w:t>
      </w:r>
      <w:proofErr w:type="gramEnd"/>
      <w:r>
        <w:t xml:space="preserve"> in clinical dashboards and supporting model auditability.</w:t>
      </w:r>
    </w:p>
    <w:p w:rsidR="00462F30" w:rsidRDefault="00FA1E1B">
      <w:pPr>
        <w:pStyle w:val="NormalWeb"/>
        <w:numPr>
          <w:ilvl w:val="0"/>
          <w:numId w:val="13"/>
        </w:numPr>
      </w:pPr>
      <w:r>
        <w:rPr>
          <w:rStyle w:val="Strong"/>
        </w:rPr>
        <w:lastRenderedPageBreak/>
        <w:t>Scalability and Maintainability</w:t>
      </w:r>
    </w:p>
    <w:p w:rsidR="00462F30" w:rsidRDefault="00FA1E1B">
      <w:pPr>
        <w:pStyle w:val="NormalWeb"/>
        <w:numPr>
          <w:ilvl w:val="1"/>
          <w:numId w:val="13"/>
        </w:numPr>
      </w:pPr>
      <w:proofErr w:type="spellStart"/>
      <w:r>
        <w:t>XGBoost’s</w:t>
      </w:r>
      <w:proofErr w:type="spellEnd"/>
      <w:r>
        <w:t xml:space="preserve"> scalability allows rapid retraining and model updates in large-scale systems like Health Information Exchanges (HIEs).</w:t>
      </w:r>
    </w:p>
    <w:p w:rsidR="00462F30" w:rsidRDefault="00FA1E1B">
      <w:pPr>
        <w:pStyle w:val="NormalWeb"/>
        <w:numPr>
          <w:ilvl w:val="1"/>
          <w:numId w:val="13"/>
        </w:numPr>
      </w:pPr>
      <w:r>
        <w:t>Its built-in regularization</w:t>
      </w:r>
      <w:r>
        <w:t xml:space="preserve"> (L1 and L2) ensures stability without sacrificing flexibility, especially when adapting to evolving feature distributions or incorporating new data sources.</w:t>
      </w:r>
    </w:p>
    <w:p w:rsidR="00462F30" w:rsidRDefault="00FA1E1B">
      <w:pPr>
        <w:pStyle w:val="NormalWeb"/>
        <w:numPr>
          <w:ilvl w:val="0"/>
          <w:numId w:val="13"/>
        </w:numPr>
      </w:pPr>
      <w:r>
        <w:rPr>
          <w:rStyle w:val="Strong"/>
        </w:rPr>
        <w:t>Deployment Alignment</w:t>
      </w:r>
    </w:p>
    <w:p w:rsidR="00462F30" w:rsidRDefault="00FA1E1B">
      <w:pPr>
        <w:pStyle w:val="NormalWeb"/>
        <w:numPr>
          <w:ilvl w:val="1"/>
          <w:numId w:val="13"/>
        </w:numPr>
      </w:pPr>
      <w:proofErr w:type="spellStart"/>
      <w:r>
        <w:t>XGBoost’s</w:t>
      </w:r>
      <w:proofErr w:type="spellEnd"/>
      <w:r>
        <w:t xml:space="preserve"> prediction speed, cross-platform support (e.g., Python, R, Java), a</w:t>
      </w:r>
      <w:r>
        <w:t>nd compatibility with cloud infrastructure make it ideal for production deployment in statewide health systems.</w:t>
      </w:r>
    </w:p>
    <w:p w:rsidR="00462F30" w:rsidRDefault="00FA1E1B">
      <w:pPr>
        <w:pStyle w:val="NormalWeb"/>
      </w:pPr>
      <w:r>
        <w:t xml:space="preserve">In conclusion, while LASSO demonstrated respectable performance and simplicity, </w:t>
      </w:r>
      <w:proofErr w:type="spellStart"/>
      <w:r>
        <w:t>XGBoost</w:t>
      </w:r>
      <w:proofErr w:type="spellEnd"/>
      <w:r>
        <w:t xml:space="preserve"> provided superior adaptability, robustness, and interpre</w:t>
      </w:r>
      <w:r>
        <w:t>tability—key considerations for translating predictive analytics into actionable, scalable, and trusted clinical tools.</w:t>
      </w:r>
    </w:p>
    <w:p w:rsidR="00462F30" w:rsidRDefault="00FA1E1B">
      <w:pPr>
        <w:pStyle w:val="Heading1"/>
        <w:rPr>
          <w:lang w:eastAsia="zh-CN"/>
        </w:rPr>
      </w:pPr>
      <w:bookmarkStart w:id="10" w:name="_Toc202800147"/>
      <w:r>
        <w:rPr>
          <w:rStyle w:val="Strong"/>
          <w:b/>
          <w:bCs w:val="0"/>
        </w:rPr>
        <w:t>Time-to-Event Analysis Using Cox Regression</w:t>
      </w:r>
      <w:bookmarkEnd w:id="10"/>
    </w:p>
    <w:p w:rsidR="00462F30" w:rsidRDefault="00FA1E1B">
      <w:pPr>
        <w:pStyle w:val="NormalWeb"/>
      </w:pPr>
      <w:r>
        <w:t>To evaluate the predictive validity of our CH</w:t>
      </w:r>
      <w:r>
        <w:t>D risk model beyond classification metrics (e.g</w:t>
      </w:r>
      <w:r>
        <w:t xml:space="preserve">., AUC), we incorporated </w:t>
      </w:r>
      <w:r>
        <w:rPr>
          <w:rStyle w:val="Strong"/>
          <w:b w:val="0"/>
          <w:bCs w:val="0"/>
        </w:rPr>
        <w:t>time-to-event analyses</w:t>
      </w:r>
      <w:r>
        <w:t xml:space="preserve"> using </w:t>
      </w:r>
      <w:r>
        <w:rPr>
          <w:rStyle w:val="Strong"/>
          <w:b w:val="0"/>
          <w:bCs w:val="0"/>
        </w:rPr>
        <w:t>Cox proportional hazards models</w:t>
      </w:r>
      <w:r>
        <w:t xml:space="preserve"> within the </w:t>
      </w:r>
      <w:r>
        <w:rPr>
          <w:rStyle w:val="Strong"/>
          <w:b w:val="0"/>
          <w:bCs w:val="0"/>
        </w:rPr>
        <w:t>prospective cohort</w:t>
      </w:r>
      <w:r>
        <w:t xml:space="preserve">, which served as an </w:t>
      </w:r>
      <w:r>
        <w:rPr>
          <w:rStyle w:val="Strong"/>
          <w:b w:val="0"/>
          <w:bCs w:val="0"/>
        </w:rPr>
        <w:t>independent validation set</w:t>
      </w:r>
      <w:r>
        <w:t>.</w:t>
      </w:r>
    </w:p>
    <w:p w:rsidR="00462F30" w:rsidRDefault="00FA1E1B">
      <w:pPr>
        <w:pStyle w:val="NormalWeb"/>
      </w:pPr>
      <w:r>
        <w:rPr>
          <w:rStyle w:val="Strong"/>
        </w:rPr>
        <w:t>Process Overview:</w:t>
      </w:r>
    </w:p>
    <w:p w:rsidR="00462F30" w:rsidRDefault="00FA1E1B">
      <w:pPr>
        <w:pStyle w:val="NormalWeb"/>
        <w:numPr>
          <w:ilvl w:val="0"/>
          <w:numId w:val="14"/>
        </w:numPr>
      </w:pPr>
      <w:r>
        <w:t>After model training a</w:t>
      </w:r>
      <w:r>
        <w:t>nd optimization on the retrospective cohort (as outl</w:t>
      </w:r>
      <w:r>
        <w:t xml:space="preserve">ined in Figure 2), the finalized </w:t>
      </w:r>
      <w:proofErr w:type="spellStart"/>
      <w:r>
        <w:t>XGBoost</w:t>
      </w:r>
      <w:proofErr w:type="spellEnd"/>
      <w:r>
        <w:t xml:space="preserve"> model was applied to the prospective cohort (N = 1,040,158).</w:t>
      </w:r>
    </w:p>
    <w:p w:rsidR="00462F30" w:rsidRDefault="00FA1E1B">
      <w:pPr>
        <w:pStyle w:val="NormalWeb"/>
        <w:numPr>
          <w:ilvl w:val="0"/>
          <w:numId w:val="14"/>
        </w:numPr>
      </w:pPr>
      <w:r>
        <w:t xml:space="preserve">Each individual in the prospective cohort received a predicted risk score, which was then </w:t>
      </w:r>
      <w:r>
        <w:rPr>
          <w:rStyle w:val="Strong"/>
          <w:b w:val="0"/>
          <w:bCs w:val="0"/>
        </w:rPr>
        <w:t>calibrated using isotonic regression</w:t>
      </w:r>
      <w:r>
        <w:t xml:space="preserve"> and mapped to one of five p</w:t>
      </w:r>
      <w:r>
        <w:t>redefined risk categories (very low, low, medium, high, very high).</w:t>
      </w:r>
    </w:p>
    <w:p w:rsidR="00462F30" w:rsidRDefault="00FA1E1B">
      <w:pPr>
        <w:pStyle w:val="NormalWeb"/>
        <w:numPr>
          <w:ilvl w:val="0"/>
          <w:numId w:val="14"/>
        </w:numPr>
      </w:pPr>
      <w:r>
        <w:t xml:space="preserve">Using these risk strata, </w:t>
      </w:r>
      <w:r>
        <w:rPr>
          <w:rStyle w:val="Strong"/>
          <w:b w:val="0"/>
          <w:bCs w:val="0"/>
        </w:rPr>
        <w:t>Cox regression models</w:t>
      </w:r>
      <w:r>
        <w:t xml:space="preserve"> were fitted to assess the relative hazard of developing incident CHD during the one-year follow-up period.</w:t>
      </w:r>
    </w:p>
    <w:p w:rsidR="00462F30" w:rsidRDefault="00FA1E1B">
      <w:pPr>
        <w:pStyle w:val="NormalWeb"/>
        <w:numPr>
          <w:ilvl w:val="0"/>
          <w:numId w:val="14"/>
        </w:numPr>
      </w:pPr>
      <w:r>
        <w:rPr>
          <w:rStyle w:val="Strong"/>
          <w:b w:val="0"/>
          <w:bCs w:val="0"/>
        </w:rPr>
        <w:t>Kaplan–Meier curves</w:t>
      </w:r>
      <w:r>
        <w:t xml:space="preserve"> and </w:t>
      </w:r>
      <w:r>
        <w:rPr>
          <w:rStyle w:val="Strong"/>
          <w:b w:val="0"/>
          <w:bCs w:val="0"/>
        </w:rPr>
        <w:t>hazard rat</w:t>
      </w:r>
      <w:r>
        <w:rPr>
          <w:rStyle w:val="Strong"/>
          <w:b w:val="0"/>
          <w:bCs w:val="0"/>
        </w:rPr>
        <w:t>ios (HRs)</w:t>
      </w:r>
      <w:r>
        <w:t xml:space="preserve"> were generated to quantify survival differences across groups. These are displayed in Figure 6 of th</w:t>
      </w:r>
      <w:r>
        <w:t>e main manuscript.</w:t>
      </w:r>
    </w:p>
    <w:p w:rsidR="00462F30" w:rsidRDefault="00FA1E1B">
      <w:pPr>
        <w:pStyle w:val="NormalWeb"/>
      </w:pPr>
      <w:r>
        <w:rPr>
          <w:rStyle w:val="Strong"/>
        </w:rPr>
        <w:t>Justification</w:t>
      </w:r>
      <w:proofErr w:type="gramStart"/>
      <w:r>
        <w:rPr>
          <w:rStyle w:val="Strong"/>
        </w:rPr>
        <w:t>:</w:t>
      </w:r>
      <w:proofErr w:type="gramEnd"/>
      <w:r>
        <w:br/>
        <w:t>This approach ensures that the time-to-event evaluation is conducted on completely unseen data, preserving the i</w:t>
      </w:r>
      <w:r>
        <w:t>ntegrity of validation and avoiding optimistic bias. The Cox model complements the ROC-based evaluation by confirming that risk stratification corresponds to significantly different CHD incidence trajectories.</w:t>
      </w:r>
    </w:p>
    <w:p w:rsidR="00462F30" w:rsidRDefault="00FA1E1B">
      <w:pPr>
        <w:pStyle w:val="NormalWeb"/>
      </w:pPr>
      <w:r>
        <w:rPr>
          <w:rStyle w:val="Strong"/>
        </w:rPr>
        <w:t>Software and Implementation</w:t>
      </w:r>
      <w:proofErr w:type="gramStart"/>
      <w:r>
        <w:rPr>
          <w:rStyle w:val="Strong"/>
        </w:rPr>
        <w:t>:</w:t>
      </w:r>
      <w:proofErr w:type="gramEnd"/>
      <w:r>
        <w:br/>
        <w:t>Cox regression an</w:t>
      </w:r>
      <w:r>
        <w:t xml:space="preserve">d Kaplan–Meier analyses were implemented in </w:t>
      </w:r>
      <w:r>
        <w:rPr>
          <w:rStyle w:val="Strong"/>
        </w:rPr>
        <w:t>R (v4.2)</w:t>
      </w:r>
      <w:r>
        <w:t xml:space="preserve"> using the </w:t>
      </w:r>
      <w:r>
        <w:rPr>
          <w:rStyle w:val="HTMLCode"/>
        </w:rPr>
        <w:t>survival</w:t>
      </w:r>
      <w:r>
        <w:t xml:space="preserve"> and </w:t>
      </w:r>
      <w:proofErr w:type="spellStart"/>
      <w:r>
        <w:rPr>
          <w:rStyle w:val="HTMLCode"/>
        </w:rPr>
        <w:t>survminer</w:t>
      </w:r>
      <w:proofErr w:type="spellEnd"/>
      <w:r>
        <w:t xml:space="preserve"> packages. Confidence intervals for HRs were derived using robust standard error estimates.</w:t>
      </w:r>
    </w:p>
    <w:p w:rsidR="00462F30" w:rsidRDefault="00FA1E1B">
      <w:pPr>
        <w:pStyle w:val="NormalWeb"/>
      </w:pPr>
      <w:r>
        <w:t>This validation strategy supports the mo</w:t>
      </w:r>
      <w:r>
        <w:t xml:space="preserve">del’s utility for </w:t>
      </w:r>
      <w:r>
        <w:rPr>
          <w:rStyle w:val="Strong"/>
          <w:b w:val="0"/>
          <w:bCs w:val="0"/>
        </w:rPr>
        <w:t>both binary classific</w:t>
      </w:r>
      <w:r>
        <w:rPr>
          <w:rStyle w:val="Strong"/>
          <w:b w:val="0"/>
          <w:bCs w:val="0"/>
        </w:rPr>
        <w:t>ation</w:t>
      </w:r>
      <w:r>
        <w:t xml:space="preserve"> and </w:t>
      </w:r>
      <w:r>
        <w:rPr>
          <w:rStyle w:val="Strong"/>
          <w:b w:val="0"/>
          <w:bCs w:val="0"/>
        </w:rPr>
        <w:t>longitudinal risk stratification</w:t>
      </w:r>
      <w:r>
        <w:t>, reinforcing its translational potential in clinical and public health settings.</w:t>
      </w:r>
    </w:p>
    <w:p w:rsidR="00462F30" w:rsidRDefault="00FA1E1B">
      <w:pPr>
        <w:pStyle w:val="Heading1"/>
        <w:rPr>
          <w:lang w:eastAsia="zh-CN"/>
        </w:rPr>
      </w:pPr>
      <w:bookmarkStart w:id="11" w:name="_Toc202800148"/>
      <w:r>
        <w:rPr>
          <w:rStyle w:val="Strong"/>
          <w:b/>
          <w:bCs w:val="0"/>
        </w:rPr>
        <w:t>Risk Stratification and Group Definition</w:t>
      </w:r>
      <w:bookmarkEnd w:id="11"/>
    </w:p>
    <w:p w:rsidR="00462F30" w:rsidRDefault="00FA1E1B">
      <w:pPr>
        <w:pStyle w:val="NormalWeb"/>
      </w:pPr>
      <w:r>
        <w:lastRenderedPageBreak/>
        <w:t>The predictive output of the final model—</w:t>
      </w:r>
      <w:r>
        <w:t xml:space="preserve">a calibrated probability </w:t>
      </w:r>
      <w:r>
        <w:rPr>
          <w:rStyle w:val="katex-mathml"/>
        </w:rPr>
        <w:t>y^</w:t>
      </w:r>
      <w:proofErr w:type="gramStart"/>
      <w:r>
        <w:rPr>
          <w:rStyle w:val="katex-mathml"/>
          <w:rFonts w:ascii="Cambria Math" w:hAnsi="Cambria Math" w:cs="Cambria Math"/>
        </w:rPr>
        <w:t>∈</w:t>
      </w:r>
      <w:r>
        <w:rPr>
          <w:rStyle w:val="katex-mathml"/>
        </w:rPr>
        <w:t>[</w:t>
      </w:r>
      <w:proofErr w:type="gramEnd"/>
      <w:r>
        <w:rPr>
          <w:rStyle w:val="katex-mathml"/>
        </w:rPr>
        <w:t>0,1]\hat{y}\in</w:t>
      </w:r>
      <w:r>
        <w:rPr>
          <w:rStyle w:val="katex-mathml"/>
          <w:rFonts w:eastAsiaTheme="minorEastAsia" w:hint="eastAsia"/>
          <w:lang w:eastAsia="zh-CN"/>
        </w:rPr>
        <w:t xml:space="preserve"> </w:t>
      </w:r>
      <w:r>
        <w:rPr>
          <w:rStyle w:val="katex-mathml"/>
        </w:rPr>
        <w:t>[0,1]</w:t>
      </w:r>
      <w:r>
        <w:rPr>
          <w:rStyle w:val="mord"/>
        </w:rPr>
        <w:t>y^</w:t>
      </w:r>
      <w:r>
        <w:rPr>
          <w:rStyle w:val="mrel"/>
          <w:rFonts w:ascii="Cambria Math" w:hAnsi="Cambria Math" w:cs="Cambria Math"/>
        </w:rPr>
        <w:t>∈</w:t>
      </w:r>
      <w:r>
        <w:rPr>
          <w:rStyle w:val="mopen"/>
        </w:rPr>
        <w:t>[</w:t>
      </w:r>
      <w:r>
        <w:rPr>
          <w:rStyle w:val="mord"/>
        </w:rPr>
        <w:t>0</w:t>
      </w:r>
      <w:r>
        <w:rPr>
          <w:rStyle w:val="mpunct"/>
        </w:rPr>
        <w:t>,</w:t>
      </w:r>
      <w:r>
        <w:rPr>
          <w:rStyle w:val="mord"/>
        </w:rPr>
        <w:t>1</w:t>
      </w:r>
      <w:r>
        <w:rPr>
          <w:rStyle w:val="mclose"/>
        </w:rPr>
        <w:t>]</w:t>
      </w:r>
      <w:r>
        <w:t xml:space="preserve">—was used to assign each patient in the </w:t>
      </w:r>
      <w:r>
        <w:rPr>
          <w:rStyle w:val="Strong"/>
          <w:b w:val="0"/>
          <w:bCs w:val="0"/>
        </w:rPr>
        <w:t>prospective validation cohort</w:t>
      </w:r>
      <w:r>
        <w:t xml:space="preserve"> to one of five </w:t>
      </w:r>
      <w:r>
        <w:rPr>
          <w:rStyle w:val="Strong"/>
          <w:b w:val="0"/>
          <w:bCs w:val="0"/>
        </w:rPr>
        <w:t>ordinal risk categories</w:t>
      </w:r>
      <w:r>
        <w:t xml:space="preserve"> reflecting their estimated 1-year CHD risk.</w:t>
      </w:r>
    </w:p>
    <w:p w:rsidR="00462F30" w:rsidRDefault="00FA1E1B">
      <w:pPr>
        <w:pStyle w:val="NormalWeb"/>
      </w:pPr>
      <w:r>
        <w:rPr>
          <w:rStyle w:val="Strong"/>
        </w:rPr>
        <w:t xml:space="preserve">Calibration-Based Risk </w:t>
      </w:r>
      <w:proofErr w:type="gramStart"/>
      <w:r>
        <w:rPr>
          <w:rStyle w:val="Strong"/>
        </w:rPr>
        <w:t>Scoring</w:t>
      </w:r>
      <w:proofErr w:type="gramEnd"/>
      <w:r>
        <w:br/>
        <w:t xml:space="preserve">Following application of the </w:t>
      </w:r>
      <w:proofErr w:type="spellStart"/>
      <w:r>
        <w:t>XGBoost</w:t>
      </w:r>
      <w:proofErr w:type="spellEnd"/>
      <w:r>
        <w:t xml:space="preserve"> model to the prospective da</w:t>
      </w:r>
      <w:r>
        <w:t>taset, each patient’s raw model score was passed thr</w:t>
      </w:r>
      <w:r>
        <w:t xml:space="preserve">ough an </w:t>
      </w:r>
      <w:r>
        <w:rPr>
          <w:rStyle w:val="Strong"/>
          <w:b w:val="0"/>
          <w:bCs w:val="0"/>
        </w:rPr>
        <w:t>isotonic regression</w:t>
      </w:r>
      <w:r>
        <w:t xml:space="preserve"> mapping derived from the retrospective cohort calibration subset. This mapping converted the raw prediction to an empirically observed </w:t>
      </w:r>
      <w:r>
        <w:rPr>
          <w:rStyle w:val="Strong"/>
          <w:b w:val="0"/>
          <w:bCs w:val="0"/>
        </w:rPr>
        <w:t>positive predictive value (PPV)</w:t>
      </w:r>
      <w:r>
        <w:t>, correspo</w:t>
      </w:r>
      <w:r>
        <w:t xml:space="preserve">nding to the </w:t>
      </w:r>
      <w:r>
        <w:rPr>
          <w:rStyle w:val="Strong"/>
          <w:b w:val="0"/>
          <w:bCs w:val="0"/>
        </w:rPr>
        <w:t>estimated incidence rate</w:t>
      </w:r>
      <w:r>
        <w:t xml:space="preserve"> of CHD over the</w:t>
      </w:r>
      <w:r>
        <w:t xml:space="preserve"> next year.</w:t>
      </w:r>
    </w:p>
    <w:p w:rsidR="00462F30" w:rsidRDefault="00FA1E1B">
      <w:pPr>
        <w:pStyle w:val="NormalWeb"/>
      </w:pPr>
      <w:r>
        <w:rPr>
          <w:rStyle w:val="Strong"/>
        </w:rPr>
        <w:t>Risk Group Cutoff Determination</w:t>
      </w:r>
      <w:r>
        <w:br/>
      </w:r>
      <w:proofErr w:type="gramStart"/>
      <w:r>
        <w:t>The</w:t>
      </w:r>
      <w:proofErr w:type="gramEnd"/>
      <w:r>
        <w:t xml:space="preserve"> calibrated PPVs were used to divide the population into five strata:</w:t>
      </w:r>
    </w:p>
    <w:p w:rsidR="00462F30" w:rsidRDefault="00FA1E1B">
      <w:pPr>
        <w:pStyle w:val="NormalWeb"/>
        <w:numPr>
          <w:ilvl w:val="0"/>
          <w:numId w:val="15"/>
        </w:numPr>
      </w:pPr>
      <w:r>
        <w:rPr>
          <w:rStyle w:val="Strong"/>
        </w:rPr>
        <w:t>Very low risk</w:t>
      </w:r>
      <w:r>
        <w:t>: individuals with predicted risk scores in the lowest range (covering ~9</w:t>
      </w:r>
      <w:r>
        <w:t>2% of the population)</w:t>
      </w:r>
    </w:p>
    <w:p w:rsidR="00462F30" w:rsidRDefault="00FA1E1B">
      <w:pPr>
        <w:pStyle w:val="NormalWeb"/>
        <w:numPr>
          <w:ilvl w:val="0"/>
          <w:numId w:val="15"/>
        </w:numPr>
      </w:pPr>
      <w:r>
        <w:rPr>
          <w:rStyle w:val="Strong"/>
        </w:rPr>
        <w:t>Low risk</w:t>
      </w:r>
      <w:r>
        <w:t>: next tier of risk (covering ~6.8%)</w:t>
      </w:r>
    </w:p>
    <w:p w:rsidR="00462F30" w:rsidRDefault="00FA1E1B">
      <w:pPr>
        <w:pStyle w:val="NormalWeb"/>
        <w:numPr>
          <w:ilvl w:val="0"/>
          <w:numId w:val="15"/>
        </w:numPr>
      </w:pPr>
      <w:r>
        <w:rPr>
          <w:rStyle w:val="Strong"/>
        </w:rPr>
        <w:t>Medium risk</w:t>
      </w:r>
      <w:r>
        <w:t>: intermediate scores (~0.85%)</w:t>
      </w:r>
    </w:p>
    <w:p w:rsidR="00462F30" w:rsidRDefault="00FA1E1B">
      <w:pPr>
        <w:pStyle w:val="NormalWeb"/>
        <w:numPr>
          <w:ilvl w:val="0"/>
          <w:numId w:val="15"/>
        </w:numPr>
      </w:pPr>
      <w:r>
        <w:rPr>
          <w:rStyle w:val="Strong"/>
        </w:rPr>
        <w:t>High risk</w:t>
      </w:r>
      <w:r>
        <w:t>: upper range (~0.05%)</w:t>
      </w:r>
    </w:p>
    <w:p w:rsidR="00462F30" w:rsidRDefault="00FA1E1B">
      <w:pPr>
        <w:pStyle w:val="NormalWeb"/>
        <w:numPr>
          <w:ilvl w:val="0"/>
          <w:numId w:val="15"/>
        </w:numPr>
      </w:pPr>
      <w:r>
        <w:rPr>
          <w:rStyle w:val="Strong"/>
        </w:rPr>
        <w:t>Very high risk</w:t>
      </w:r>
      <w:r>
        <w:t>: top 0.002%, corresponding to the highest predicted risk group</w:t>
      </w:r>
    </w:p>
    <w:p w:rsidR="00462F30" w:rsidRDefault="00FA1E1B">
      <w:pPr>
        <w:pStyle w:val="NormalWeb"/>
      </w:pPr>
      <w:r>
        <w:t>These breakpoints were chos</w:t>
      </w:r>
      <w:r>
        <w:t>en to bala</w:t>
      </w:r>
      <w:r>
        <w:t xml:space="preserve">nce </w:t>
      </w:r>
      <w:r>
        <w:rPr>
          <w:rStyle w:val="Strong"/>
          <w:b w:val="0"/>
          <w:bCs w:val="0"/>
        </w:rPr>
        <w:t>clinical interpretability</w:t>
      </w:r>
      <w:r>
        <w:t xml:space="preserve">, </w:t>
      </w:r>
      <w:r>
        <w:rPr>
          <w:rStyle w:val="Strong"/>
          <w:b w:val="0"/>
          <w:bCs w:val="0"/>
        </w:rPr>
        <w:t>statistical robustness</w:t>
      </w:r>
      <w:r>
        <w:t xml:space="preserve">, and </w:t>
      </w:r>
      <w:r>
        <w:rPr>
          <w:rStyle w:val="Strong"/>
          <w:b w:val="0"/>
          <w:bCs w:val="0"/>
        </w:rPr>
        <w:t>practical utility</w:t>
      </w:r>
      <w:r>
        <w:t>, ensuring sufficient sample size within each group to allow meaningful subgroup analysis (e.g., survival curves, feature distributions).</w:t>
      </w:r>
    </w:p>
    <w:p w:rsidR="00462F30" w:rsidRDefault="00FA1E1B">
      <w:pPr>
        <w:pStyle w:val="NormalWeb"/>
      </w:pPr>
      <w:r>
        <w:rPr>
          <w:rStyle w:val="Strong"/>
        </w:rPr>
        <w:t>Justification for Using PPV as Risk Metric</w:t>
      </w:r>
      <w:r>
        <w:br/>
        <w:t>PPV was chosen over raw model output or deciles becaus</w:t>
      </w:r>
      <w:r>
        <w:t xml:space="preserve">e it reflects the </w:t>
      </w:r>
      <w:r>
        <w:rPr>
          <w:rStyle w:val="Strong"/>
          <w:b w:val="0"/>
          <w:bCs w:val="0"/>
        </w:rPr>
        <w:t>true event rate</w:t>
      </w:r>
      <w:r>
        <w:t xml:space="preserve"> conditional on the risk score. This enables direct interpretation of model output in terms of likelihood of incident CHD, aligning with real-world decision-making for preventive interventions. The use of calibrated PPVs as thresholds improves </w:t>
      </w:r>
      <w:r>
        <w:rPr>
          <w:rStyle w:val="Strong"/>
          <w:b w:val="0"/>
          <w:bCs w:val="0"/>
        </w:rPr>
        <w:t>comparabilit</w:t>
      </w:r>
      <w:r>
        <w:rPr>
          <w:rStyle w:val="Strong"/>
          <w:b w:val="0"/>
          <w:bCs w:val="0"/>
        </w:rPr>
        <w:t>y across populations</w:t>
      </w:r>
      <w:r>
        <w:t xml:space="preserve"> and supports deployment within health information systems.</w:t>
      </w:r>
    </w:p>
    <w:p w:rsidR="00462F30" w:rsidRDefault="00FA1E1B">
      <w:pPr>
        <w:pStyle w:val="NormalWeb"/>
      </w:pPr>
      <w:r>
        <w:rPr>
          <w:rStyle w:val="Strong"/>
        </w:rPr>
        <w:t>Visualization and Outcome Validation</w:t>
      </w:r>
      <w:r>
        <w:br/>
        <w:t>The distribution of predicted scores and CHD inci</w:t>
      </w:r>
      <w:r>
        <w:t xml:space="preserve">dence across the five risk strata is visualized in </w:t>
      </w:r>
      <w:r>
        <w:rPr>
          <w:rStyle w:val="Strong"/>
          <w:b w:val="0"/>
          <w:bCs w:val="0"/>
        </w:rPr>
        <w:t>Figure 5</w:t>
      </w:r>
      <w:r>
        <w:t>, and time-to-event outcomes ar</w:t>
      </w:r>
      <w:r>
        <w:t xml:space="preserve">e validated via </w:t>
      </w:r>
      <w:r>
        <w:rPr>
          <w:rStyle w:val="Strong"/>
          <w:b w:val="0"/>
          <w:bCs w:val="0"/>
        </w:rPr>
        <w:t>Kaplan–Meier survival curves</w:t>
      </w:r>
      <w:r>
        <w:t xml:space="preserve"> in </w:t>
      </w:r>
      <w:r>
        <w:rPr>
          <w:rStyle w:val="Strong"/>
          <w:b w:val="0"/>
          <w:bCs w:val="0"/>
        </w:rPr>
        <w:t>Figure 6</w:t>
      </w:r>
      <w:r>
        <w:t>. These figures confirm the ordinal validity of risk groups and their discriminative capacit</w:t>
      </w:r>
      <w:r>
        <w:t>y.</w:t>
      </w:r>
    </w:p>
    <w:p w:rsidR="00462F30" w:rsidRDefault="00FA1E1B">
      <w:pPr>
        <w:pStyle w:val="Heading1"/>
        <w:rPr>
          <w:lang w:eastAsia="zh-CN"/>
        </w:rPr>
      </w:pPr>
      <w:bookmarkStart w:id="12" w:name="_Toc202800149"/>
      <w:r>
        <w:rPr>
          <w:rStyle w:val="Strong"/>
          <w:b/>
          <w:bCs w:val="0"/>
        </w:rPr>
        <w:t>Uncertainty Quantification and Interpretation of Risk Stratification Metrics</w:t>
      </w:r>
      <w:bookmarkEnd w:id="12"/>
    </w:p>
    <w:p w:rsidR="00462F30" w:rsidRDefault="00FA1E1B">
      <w:pPr>
        <w:pStyle w:val="NormalWeb"/>
      </w:pPr>
      <w:r>
        <w:t>To ensure transparent and st</w:t>
      </w:r>
      <w:r>
        <w:t>atistically sound inte</w:t>
      </w:r>
      <w:r>
        <w:t xml:space="preserve">rpretation of the CHD prediction model’s performance, we incorporated </w:t>
      </w:r>
      <w:r>
        <w:rPr>
          <w:rStyle w:val="Strong"/>
          <w:b w:val="0"/>
          <w:bCs w:val="0"/>
        </w:rPr>
        <w:t>95% confidence intervals (CIs)</w:t>
      </w:r>
      <w:r>
        <w:t xml:space="preserve"> f</w:t>
      </w:r>
      <w:r>
        <w:t>or all key evaluation metrics:</w:t>
      </w:r>
    </w:p>
    <w:p w:rsidR="00462F30" w:rsidRDefault="00FA1E1B">
      <w:pPr>
        <w:pStyle w:val="NormalWeb"/>
        <w:numPr>
          <w:ilvl w:val="0"/>
          <w:numId w:val="16"/>
        </w:numPr>
      </w:pPr>
      <w:r>
        <w:rPr>
          <w:rStyle w:val="Strong"/>
        </w:rPr>
        <w:t>Model Discrimination</w:t>
      </w:r>
      <w:r>
        <w:t>: AUCs were estimated with 95% CIs using bootstrap resampling (1,000 iterations).</w:t>
      </w:r>
    </w:p>
    <w:p w:rsidR="00462F30" w:rsidRDefault="00FA1E1B">
      <w:pPr>
        <w:pStyle w:val="NormalWeb"/>
        <w:numPr>
          <w:ilvl w:val="0"/>
          <w:numId w:val="16"/>
        </w:numPr>
      </w:pPr>
      <w:r>
        <w:rPr>
          <w:rStyle w:val="Strong"/>
        </w:rPr>
        <w:t>Model Calibration</w:t>
      </w:r>
      <w:r>
        <w:t>: Observed vs. predicted risks were plotted with bin-wise 95% CIs, using Wilson score intervals.</w:t>
      </w:r>
    </w:p>
    <w:p w:rsidR="00462F30" w:rsidRDefault="00FA1E1B">
      <w:pPr>
        <w:pStyle w:val="NormalWeb"/>
        <w:numPr>
          <w:ilvl w:val="0"/>
          <w:numId w:val="16"/>
        </w:numPr>
      </w:pPr>
      <w:r>
        <w:rPr>
          <w:rStyle w:val="Strong"/>
        </w:rPr>
        <w:t>Survival Analysis</w:t>
      </w:r>
      <w:r>
        <w:t xml:space="preserve">: Kaplan–Meier curves include 95% CIs for each risk group; Cox hazard ratios were reported with robust standard error-based </w:t>
      </w:r>
      <w:r>
        <w:t>confidence intervals.</w:t>
      </w:r>
    </w:p>
    <w:p w:rsidR="00462F30" w:rsidRDefault="00FA1E1B">
      <w:pPr>
        <w:pStyle w:val="NormalWeb"/>
      </w:pPr>
      <w:r>
        <w:lastRenderedPageBreak/>
        <w:t>These measures are presented in the main text (Figure 3 and Figure 6) and supplementary materials (Supplementary Figure 3 for calibration, and Supplementary Table 2 for stratified performance).</w:t>
      </w:r>
    </w:p>
    <w:p w:rsidR="00462F30" w:rsidRDefault="00FA1E1B">
      <w:pPr>
        <w:pStyle w:val="NormalWeb"/>
      </w:pPr>
      <w:r>
        <w:rPr>
          <w:rStyle w:val="Strong"/>
        </w:rPr>
        <w:t>Note on High and Very-High Risk Group Un</w:t>
      </w:r>
      <w:r>
        <w:rPr>
          <w:rStyle w:val="Strong"/>
        </w:rPr>
        <w:t>certainty:</w:t>
      </w:r>
    </w:p>
    <w:p w:rsidR="00462F30" w:rsidRDefault="00FA1E1B">
      <w:pPr>
        <w:pStyle w:val="NormalWeb"/>
        <w:numPr>
          <w:ilvl w:val="0"/>
          <w:numId w:val="17"/>
        </w:numPr>
      </w:pPr>
      <w:r>
        <w:t xml:space="preserve">The </w:t>
      </w:r>
      <w:r>
        <w:rPr>
          <w:rStyle w:val="Strong"/>
          <w:b w:val="0"/>
          <w:bCs w:val="0"/>
        </w:rPr>
        <w:t>high (n=554)</w:t>
      </w:r>
      <w:r>
        <w:t xml:space="preserve"> and </w:t>
      </w:r>
      <w:r>
        <w:rPr>
          <w:rStyle w:val="Strong"/>
          <w:b w:val="0"/>
          <w:bCs w:val="0"/>
        </w:rPr>
        <w:t>very high (n=19)</w:t>
      </w:r>
      <w:r>
        <w:t xml:space="preserve"> risk categories comprise a small proportion of the prospective cohort.</w:t>
      </w:r>
    </w:p>
    <w:p w:rsidR="00462F30" w:rsidRDefault="00FA1E1B">
      <w:pPr>
        <w:pStyle w:val="NormalWeb"/>
        <w:numPr>
          <w:ilvl w:val="0"/>
          <w:numId w:val="17"/>
        </w:numPr>
      </w:pPr>
      <w:r>
        <w:t xml:space="preserve">Due to limited sample sizes, particularly in the very high-risk stratum, statistical volatility is </w:t>
      </w:r>
      <w:r>
        <w:rPr>
          <w:rStyle w:val="Strong"/>
          <w:b w:val="0"/>
          <w:bCs w:val="0"/>
        </w:rPr>
        <w:t>expected and acknowledged</w:t>
      </w:r>
      <w:r>
        <w:t>. These stra</w:t>
      </w:r>
      <w:r>
        <w:t xml:space="preserve">ta are nonetheless retained to support </w:t>
      </w:r>
      <w:r>
        <w:rPr>
          <w:rStyle w:val="Strong"/>
          <w:b w:val="0"/>
          <w:bCs w:val="0"/>
        </w:rPr>
        <w:t>clinical prioritization</w:t>
      </w:r>
      <w:r>
        <w:t>, recognizing the exploratory nature of their estimates.</w:t>
      </w:r>
    </w:p>
    <w:p w:rsidR="00462F30" w:rsidRDefault="00FA1E1B">
      <w:pPr>
        <w:pStyle w:val="NormalWeb"/>
        <w:numPr>
          <w:ilvl w:val="0"/>
          <w:numId w:val="17"/>
        </w:numPr>
      </w:pPr>
      <w:r>
        <w:t>The wide confidence intervals in these groups should be interpreted with caution. As noted in the main text, future prospective cohort ex</w:t>
      </w:r>
      <w:r>
        <w:t xml:space="preserve">pansion will be needed to </w:t>
      </w:r>
      <w:r>
        <w:rPr>
          <w:rStyle w:val="Strong"/>
          <w:b w:val="0"/>
          <w:bCs w:val="0"/>
        </w:rPr>
        <w:t>improve the precision</w:t>
      </w:r>
      <w:r>
        <w:t xml:space="preserve"> of calibration and performance estimates in these upper-risk tiers.</w:t>
      </w:r>
    </w:p>
    <w:p w:rsidR="00462F30" w:rsidRDefault="00FA1E1B">
      <w:pPr>
        <w:pStyle w:val="NormalWeb"/>
      </w:pPr>
      <w:r>
        <w:rPr>
          <w:rStyle w:val="Strong"/>
        </w:rPr>
        <w:t>Clarification on Relative Risk (RR) Values:</w:t>
      </w:r>
    </w:p>
    <w:p w:rsidR="00462F30" w:rsidRDefault="00FA1E1B">
      <w:pPr>
        <w:pStyle w:val="NormalWeb"/>
        <w:numPr>
          <w:ilvl w:val="0"/>
          <w:numId w:val="18"/>
        </w:numPr>
      </w:pPr>
      <w:r>
        <w:t xml:space="preserve">The </w:t>
      </w:r>
      <w:r>
        <w:rPr>
          <w:rStyle w:val="Strong"/>
          <w:b w:val="0"/>
          <w:bCs w:val="0"/>
        </w:rPr>
        <w:t>mean relative risk</w:t>
      </w:r>
      <w:r>
        <w:t xml:space="preserve"> values in Supplementary Table 2 are derived as the </w:t>
      </w:r>
      <w:r>
        <w:rPr>
          <w:rStyle w:val="Strong"/>
          <w:b w:val="0"/>
          <w:bCs w:val="0"/>
        </w:rPr>
        <w:t>ratio of subgroup-spec</w:t>
      </w:r>
      <w:r>
        <w:rPr>
          <w:rStyle w:val="Strong"/>
          <w:b w:val="0"/>
          <w:bCs w:val="0"/>
        </w:rPr>
        <w:t>ific CHD incidence</w:t>
      </w:r>
      <w:r>
        <w:t xml:space="preserve"> to the </w:t>
      </w:r>
      <w:r>
        <w:rPr>
          <w:rStyle w:val="Strong"/>
          <w:b w:val="0"/>
          <w:bCs w:val="0"/>
        </w:rPr>
        <w:t>overall population incidence rate</w:t>
      </w:r>
      <w:r>
        <w:t xml:space="preserve"> (i.e., RR = </w:t>
      </w:r>
      <w:proofErr w:type="spellStart"/>
      <w:r>
        <w:t>PPV_group</w:t>
      </w:r>
      <w:proofErr w:type="spellEnd"/>
      <w:r>
        <w:t xml:space="preserve"> / </w:t>
      </w:r>
      <w:proofErr w:type="spellStart"/>
      <w:r>
        <w:t>PPV_overall</w:t>
      </w:r>
      <w:proofErr w:type="spellEnd"/>
      <w:r>
        <w:t>).</w:t>
      </w:r>
    </w:p>
    <w:p w:rsidR="00462F30" w:rsidRDefault="00FA1E1B">
      <w:pPr>
        <w:pStyle w:val="NormalWeb"/>
        <w:numPr>
          <w:ilvl w:val="0"/>
          <w:numId w:val="18"/>
        </w:numPr>
      </w:pPr>
      <w:r>
        <w:t xml:space="preserve">These values are calculated deterministically from known prevalence figures and therefore do </w:t>
      </w:r>
      <w:r>
        <w:rPr>
          <w:rStyle w:val="Strong"/>
          <w:b w:val="0"/>
          <w:bCs w:val="0"/>
        </w:rPr>
        <w:t>not represent sampling-based estimates</w:t>
      </w:r>
      <w:r>
        <w:t>. As such, confidence inter</w:t>
      </w:r>
      <w:r>
        <w:t>vals are not provided for RR values.</w:t>
      </w:r>
    </w:p>
    <w:p w:rsidR="00462F30" w:rsidRDefault="00FA1E1B">
      <w:pPr>
        <w:pStyle w:val="NormalWeb"/>
      </w:pPr>
      <w:r>
        <w:t>This methodological transparency supports responsible interpretation of model performance, particularly in rare-event subgroups where caution is warranted.</w:t>
      </w:r>
    </w:p>
    <w:p w:rsidR="00462F30" w:rsidRDefault="00FA1E1B">
      <w:pPr>
        <w:pStyle w:val="Heading1"/>
        <w:rPr>
          <w:lang w:eastAsia="zh-CN"/>
        </w:rPr>
      </w:pPr>
      <w:bookmarkStart w:id="13" w:name="_Toc202800150"/>
      <w:r>
        <w:rPr>
          <w:rStyle w:val="Strong"/>
          <w:b/>
          <w:bCs w:val="0"/>
        </w:rPr>
        <w:t>Final Model Validation Procedures and Metrics</w:t>
      </w:r>
      <w:bookmarkEnd w:id="13"/>
    </w:p>
    <w:p w:rsidR="00462F30" w:rsidRDefault="00FA1E1B">
      <w:pPr>
        <w:pStyle w:val="NormalWeb"/>
      </w:pPr>
      <w:r>
        <w:t>To rigorously ass</w:t>
      </w:r>
      <w:r>
        <w:t>ess the performance of the final CHD risk prediction model (</w:t>
      </w:r>
      <w:proofErr w:type="spellStart"/>
      <w:r>
        <w:t>XGBoost</w:t>
      </w:r>
      <w:proofErr w:type="spellEnd"/>
      <w:r>
        <w:t xml:space="preserve">), we conducted </w:t>
      </w:r>
      <w:proofErr w:type="gramStart"/>
      <w:r>
        <w:t xml:space="preserve">both </w:t>
      </w:r>
      <w:r>
        <w:rPr>
          <w:rStyle w:val="Strong"/>
          <w:b w:val="0"/>
          <w:bCs w:val="0"/>
        </w:rPr>
        <w:t>discrimination</w:t>
      </w:r>
      <w:proofErr w:type="gramEnd"/>
      <w:r>
        <w:t xml:space="preserve"> and </w:t>
      </w:r>
      <w:r>
        <w:rPr>
          <w:rStyle w:val="Strong"/>
          <w:b w:val="0"/>
          <w:bCs w:val="0"/>
        </w:rPr>
        <w:t>calibration</w:t>
      </w:r>
      <w:r>
        <w:t xml:space="preserve"> evaluations on an </w:t>
      </w:r>
      <w:r>
        <w:rPr>
          <w:rStyle w:val="Strong"/>
          <w:b w:val="0"/>
          <w:bCs w:val="0"/>
        </w:rPr>
        <w:t>independent, prospective validation cohort (N=1,040,158)</w:t>
      </w:r>
      <w:r>
        <w:t>.</w:t>
      </w:r>
    </w:p>
    <w:p w:rsidR="00462F30" w:rsidRDefault="00FA1E1B">
      <w:pPr>
        <w:pStyle w:val="NormalWeb"/>
      </w:pPr>
      <w:r>
        <w:rPr>
          <w:rStyle w:val="Strong"/>
        </w:rPr>
        <w:t>1. Discrimination Performance</w:t>
      </w:r>
    </w:p>
    <w:p w:rsidR="00462F30" w:rsidRDefault="00FA1E1B">
      <w:pPr>
        <w:pStyle w:val="NormalWeb"/>
        <w:numPr>
          <w:ilvl w:val="0"/>
          <w:numId w:val="19"/>
        </w:numPr>
      </w:pPr>
      <w:r>
        <w:t>Receiver operating characterist</w:t>
      </w:r>
      <w:r>
        <w:t xml:space="preserve">ic (ROC) curves were generated for both training (retrospective) and validation (prospective) </w:t>
      </w:r>
      <w:r>
        <w:t>datasets.</w:t>
      </w:r>
    </w:p>
    <w:p w:rsidR="00462F30" w:rsidRDefault="00FA1E1B">
      <w:pPr>
        <w:pStyle w:val="NormalWeb"/>
        <w:numPr>
          <w:ilvl w:val="0"/>
          <w:numId w:val="19"/>
        </w:numPr>
      </w:pPr>
      <w:proofErr w:type="gramStart"/>
      <w:r>
        <w:t>Area under the curve (AUC) metrics were</w:t>
      </w:r>
      <w:proofErr w:type="gramEnd"/>
      <w:r>
        <w:t xml:space="preserve"> reported with </w:t>
      </w:r>
      <w:r>
        <w:rPr>
          <w:rStyle w:val="Strong"/>
          <w:b w:val="0"/>
          <w:bCs w:val="0"/>
        </w:rPr>
        <w:t>95% confidence intervals (CIs)</w:t>
      </w:r>
      <w:r>
        <w:t xml:space="preserve"> using bootstrapping with 1,000 resamples.</w:t>
      </w:r>
    </w:p>
    <w:p w:rsidR="00462F30" w:rsidRDefault="00FA1E1B">
      <w:pPr>
        <w:pStyle w:val="NormalWeb"/>
        <w:numPr>
          <w:ilvl w:val="1"/>
          <w:numId w:val="19"/>
        </w:numPr>
      </w:pPr>
      <w:r>
        <w:t xml:space="preserve">Retrospective AUC: 0.952 </w:t>
      </w:r>
      <w:r>
        <w:t>(CI: 0.950–0.954)</w:t>
      </w:r>
    </w:p>
    <w:p w:rsidR="00462F30" w:rsidRDefault="00FA1E1B">
      <w:pPr>
        <w:pStyle w:val="NormalWeb"/>
        <w:numPr>
          <w:ilvl w:val="1"/>
          <w:numId w:val="19"/>
        </w:numPr>
      </w:pPr>
      <w:r>
        <w:t>Prospective AUC: 0.888 (CI: 0.885–0.890)</w:t>
      </w:r>
    </w:p>
    <w:p w:rsidR="00462F30" w:rsidRDefault="00FA1E1B">
      <w:pPr>
        <w:pStyle w:val="NormalWeb"/>
        <w:numPr>
          <w:ilvl w:val="0"/>
          <w:numId w:val="19"/>
        </w:numPr>
      </w:pPr>
      <w:r>
        <w:t>These results demonstrate strong model discrimination and generalizability across cohorts.</w:t>
      </w:r>
    </w:p>
    <w:p w:rsidR="00462F30" w:rsidRDefault="00FA1E1B">
      <w:pPr>
        <w:pStyle w:val="NormalWeb"/>
      </w:pPr>
      <w:r>
        <w:rPr>
          <w:rStyle w:val="Strong"/>
        </w:rPr>
        <w:t>2. Calibration Assessment</w:t>
      </w:r>
    </w:p>
    <w:p w:rsidR="00462F30" w:rsidRDefault="00FA1E1B">
      <w:pPr>
        <w:pStyle w:val="NormalWeb"/>
        <w:numPr>
          <w:ilvl w:val="0"/>
          <w:numId w:val="20"/>
        </w:numPr>
      </w:pPr>
      <w:r>
        <w:t xml:space="preserve">Model calibration was evaluated by comparing observed CHD incidence rates with </w:t>
      </w:r>
      <w:r>
        <w:t>predicted probabilities (PPVs) across score bins.</w:t>
      </w:r>
    </w:p>
    <w:p w:rsidR="00462F30" w:rsidRDefault="00FA1E1B">
      <w:pPr>
        <w:pStyle w:val="NormalWeb"/>
        <w:numPr>
          <w:ilvl w:val="0"/>
          <w:numId w:val="20"/>
        </w:numPr>
      </w:pPr>
      <w:r>
        <w:t>Calibration curves were generated with 95% bin-wise CIs using Wilson score intervals (Supplementary Figure 3).</w:t>
      </w:r>
    </w:p>
    <w:p w:rsidR="00462F30" w:rsidRDefault="00FA1E1B">
      <w:pPr>
        <w:pStyle w:val="NormalWeb"/>
        <w:numPr>
          <w:ilvl w:val="0"/>
          <w:numId w:val="20"/>
        </w:numPr>
      </w:pPr>
      <w:r>
        <w:lastRenderedPageBreak/>
        <w:t>Calibration accuracy was further summarized by stratifying individuals into five ordinal risk c</w:t>
      </w:r>
      <w:r>
        <w:t>ategories (very low to very high) and comparing predicted PPVs with actual incidence rates (Supplementary Table 2).</w:t>
      </w:r>
    </w:p>
    <w:p w:rsidR="00462F30" w:rsidRDefault="00FA1E1B">
      <w:pPr>
        <w:pStyle w:val="NormalWeb"/>
      </w:pPr>
      <w:r>
        <w:rPr>
          <w:rStyle w:val="Strong"/>
        </w:rPr>
        <w:t>3. Time-to-Event Validation</w:t>
      </w:r>
    </w:p>
    <w:p w:rsidR="00462F30" w:rsidRDefault="00FA1E1B">
      <w:pPr>
        <w:pStyle w:val="NormalWeb"/>
        <w:numPr>
          <w:ilvl w:val="0"/>
          <w:numId w:val="21"/>
        </w:numPr>
      </w:pPr>
      <w:r>
        <w:t>Individuals in the prospective cohort were grouped based on calibrated predicted risk.</w:t>
      </w:r>
    </w:p>
    <w:p w:rsidR="00462F30" w:rsidRDefault="00FA1E1B">
      <w:pPr>
        <w:pStyle w:val="NormalWeb"/>
        <w:numPr>
          <w:ilvl w:val="0"/>
          <w:numId w:val="21"/>
        </w:numPr>
      </w:pPr>
      <w:r>
        <w:t xml:space="preserve">Cox proportional hazards </w:t>
      </w:r>
      <w:r>
        <w:t>regression was used to estimate hazard ratios (HRs) for CHD incidence across strata.</w:t>
      </w:r>
    </w:p>
    <w:p w:rsidR="00462F30" w:rsidRDefault="00FA1E1B">
      <w:pPr>
        <w:pStyle w:val="NormalWeb"/>
        <w:numPr>
          <w:ilvl w:val="0"/>
          <w:numId w:val="21"/>
        </w:numPr>
      </w:pPr>
      <w:r>
        <w:t>Kaplan–Meier curves and HRs (Figure 6) validated progressive risk separation, with HRs ranging from 9.27 to 97.48 across groups.</w:t>
      </w:r>
    </w:p>
    <w:p w:rsidR="00462F30" w:rsidRDefault="00FA1E1B">
      <w:pPr>
        <w:pStyle w:val="NormalWeb"/>
      </w:pPr>
      <w:r>
        <w:rPr>
          <w:rStyle w:val="Strong"/>
        </w:rPr>
        <w:t>4. Clinical Implication of 1-Year Predicti</w:t>
      </w:r>
      <w:r>
        <w:rPr>
          <w:rStyle w:val="Strong"/>
        </w:rPr>
        <w:t>on Window</w:t>
      </w:r>
    </w:p>
    <w:p w:rsidR="00462F30" w:rsidRDefault="00FA1E1B">
      <w:pPr>
        <w:pStyle w:val="NormalWeb"/>
        <w:numPr>
          <w:ilvl w:val="0"/>
          <w:numId w:val="22"/>
        </w:numPr>
      </w:pPr>
      <w:r>
        <w:t xml:space="preserve">The 1-year prediction interval corresponds to a </w:t>
      </w:r>
      <w:r>
        <w:t xml:space="preserve">critical window for </w:t>
      </w:r>
      <w:r>
        <w:rPr>
          <w:rStyle w:val="Strong"/>
          <w:b w:val="0"/>
          <w:bCs w:val="0"/>
        </w:rPr>
        <w:t>intervention prior to plaque rupture</w:t>
      </w:r>
      <w:r>
        <w:t>, with evidence suggesting average transition time from vulnerable to unstable plaque is approximately 12 months.</w:t>
      </w:r>
    </w:p>
    <w:p w:rsidR="00462F30" w:rsidRDefault="00FA1E1B">
      <w:pPr>
        <w:pStyle w:val="NormalWeb"/>
        <w:numPr>
          <w:ilvl w:val="0"/>
          <w:numId w:val="22"/>
        </w:numPr>
      </w:pPr>
      <w:r>
        <w:t>This timeframe allows action</w:t>
      </w:r>
      <w:r>
        <w:t xml:space="preserve">able interventions (lipid-lowering, metabolic modulation, anti-inflammatory therapy) for </w:t>
      </w:r>
      <w:r>
        <w:rPr>
          <w:rStyle w:val="Strong"/>
          <w:b w:val="0"/>
          <w:bCs w:val="0"/>
        </w:rPr>
        <w:t>early-stage subclinical atherosclerosis</w:t>
      </w:r>
      <w:r>
        <w:t>, making the model clinically actionable for care planning and health system resourc</w:t>
      </w:r>
      <w:r>
        <w:t>e allocation.</w:t>
      </w:r>
    </w:p>
    <w:p w:rsidR="00462F30" w:rsidRDefault="00FA1E1B">
      <w:pPr>
        <w:pStyle w:val="NormalWeb"/>
      </w:pPr>
      <w:r>
        <w:t>Together, these validation str</w:t>
      </w:r>
      <w:r>
        <w:t>ategies support the model’s reliability and clinical utility across both individual- and population-level decision-making.</w:t>
      </w:r>
    </w:p>
    <w:p w:rsidR="00462F30" w:rsidRDefault="00FA1E1B">
      <w:pPr>
        <w:pStyle w:val="Heading1"/>
        <w:rPr>
          <w:rFonts w:eastAsia="Arial"/>
          <w:b w:val="0"/>
          <w:bCs/>
          <w:lang w:eastAsia="en-GB"/>
        </w:rPr>
      </w:pPr>
      <w:bookmarkStart w:id="14" w:name="_Toc202800151"/>
      <w:r>
        <w:rPr>
          <w:rFonts w:eastAsia="SimSun"/>
          <w:bCs/>
          <w:lang w:eastAsia="zh-CN"/>
        </w:rPr>
        <w:t xml:space="preserve">Imputation </w:t>
      </w:r>
      <w:r>
        <w:rPr>
          <w:rFonts w:eastAsia="SimSun" w:hint="eastAsia"/>
          <w:bCs/>
          <w:lang w:eastAsia="zh-CN"/>
        </w:rPr>
        <w:t>S</w:t>
      </w:r>
      <w:r>
        <w:rPr>
          <w:rFonts w:eastAsia="SimSun"/>
          <w:bCs/>
          <w:lang w:eastAsia="zh-CN"/>
        </w:rPr>
        <w:t>trategy</w:t>
      </w:r>
      <w:bookmarkEnd w:id="14"/>
    </w:p>
    <w:p w:rsidR="00462F30" w:rsidRDefault="00FA1E1B">
      <w:pPr>
        <w:widowControl w:val="0"/>
        <w:spacing w:before="240"/>
        <w:rPr>
          <w:rFonts w:eastAsia="Arial" w:cs="Times New Roman"/>
          <w:szCs w:val="24"/>
        </w:rPr>
      </w:pPr>
      <w:r>
        <w:rPr>
          <w:rFonts w:eastAsia="Arial" w:cs="Times New Roman"/>
          <w:szCs w:val="24"/>
        </w:rPr>
        <w:t>In primary care settings, particularly for cardiovascular risk assessment, clinicians selectively order tests bas</w:t>
      </w:r>
      <w:r>
        <w:rPr>
          <w:rFonts w:eastAsia="Arial" w:cs="Times New Roman"/>
          <w:szCs w:val="24"/>
        </w:rPr>
        <w:t>ed on clinical suspicion. The absence of a particular test in a patient's record typically indicates one of two scenarios: (1) the clinician did not consider the test clinically necessary based on the patient's presentation, suggesting a presumed normal st</w:t>
      </w:r>
      <w:r>
        <w:rPr>
          <w:rFonts w:eastAsia="Arial" w:cs="Times New Roman"/>
          <w:szCs w:val="24"/>
        </w:rPr>
        <w:t>atus; or (2) the test was truly missing due to administrative or documentation errors.</w:t>
      </w:r>
    </w:p>
    <w:p w:rsidR="00462F30" w:rsidRDefault="00FA1E1B">
      <w:pPr>
        <w:widowControl w:val="0"/>
        <w:spacing w:before="240"/>
        <w:rPr>
          <w:rFonts w:eastAsia="Arial" w:cs="Times New Roman"/>
          <w:szCs w:val="24"/>
        </w:rPr>
      </w:pPr>
      <w:r>
        <w:rPr>
          <w:rFonts w:eastAsia="Arial" w:cs="Times New Roman"/>
          <w:szCs w:val="24"/>
        </w:rPr>
        <w:t>While scenario (2) represents true missing data, our clinical collaborators confirmed that scenario (1) is substantially more common in routine practice. Therefore, impu</w:t>
      </w:r>
      <w:r>
        <w:rPr>
          <w:rFonts w:eastAsia="Arial" w:cs="Times New Roman"/>
          <w:szCs w:val="24"/>
        </w:rPr>
        <w:t xml:space="preserve">ting missing values as 0 ("normal") aligns with the clinical decision-making process that generated our data. Alternative approaches like mean imputation or multiple </w:t>
      </w:r>
      <w:proofErr w:type="gramStart"/>
      <w:r>
        <w:rPr>
          <w:rFonts w:eastAsia="Arial" w:cs="Times New Roman"/>
          <w:szCs w:val="24"/>
        </w:rPr>
        <w:t>imputation</w:t>
      </w:r>
      <w:proofErr w:type="gramEnd"/>
      <w:r>
        <w:rPr>
          <w:rFonts w:eastAsia="Arial" w:cs="Times New Roman"/>
          <w:szCs w:val="24"/>
        </w:rPr>
        <w:t xml:space="preserve"> would likely introduce greater bias by ignoring this clinical context.</w:t>
      </w:r>
    </w:p>
    <w:p w:rsidR="00462F30" w:rsidRDefault="00FA1E1B">
      <w:pPr>
        <w:widowControl w:val="0"/>
        <w:spacing w:before="240"/>
        <w:rPr>
          <w:rFonts w:eastAsia="Arial" w:cs="Times New Roman"/>
          <w:szCs w:val="24"/>
        </w:rPr>
      </w:pPr>
      <w:r>
        <w:rPr>
          <w:rFonts w:eastAsia="Arial" w:cs="Times New Roman"/>
          <w:szCs w:val="24"/>
        </w:rPr>
        <w:t>We ackno</w:t>
      </w:r>
      <w:r>
        <w:rPr>
          <w:rFonts w:eastAsia="Arial" w:cs="Times New Roman"/>
          <w:szCs w:val="24"/>
        </w:rPr>
        <w:t>wledge the limitations of this approach. To validate our methodology, we performed sensitivity analyses using alternative imputation strategies on a subset of data where we could confirm the true reason for missing tests. The zero-imputation approach demon</w:t>
      </w:r>
      <w:r>
        <w:rPr>
          <w:rFonts w:eastAsia="Arial" w:cs="Times New Roman"/>
          <w:szCs w:val="24"/>
        </w:rPr>
        <w:t>strated superior predictive performance and better clinical face validity compared to alternatives.</w:t>
      </w:r>
    </w:p>
    <w:p w:rsidR="00462F30" w:rsidRDefault="00FA1E1B">
      <w:pPr>
        <w:widowControl w:val="0"/>
        <w:spacing w:before="240"/>
        <w:rPr>
          <w:rFonts w:eastAsia="Arial" w:cs="Times New Roman"/>
          <w:szCs w:val="24"/>
        </w:rPr>
      </w:pPr>
      <w:r>
        <w:rPr>
          <w:rFonts w:eastAsia="Arial" w:cs="Times New Roman"/>
          <w:szCs w:val="24"/>
        </w:rPr>
        <w:t>This imputation strategy represents a balance between statistical rigor and clinical reality in working with real-world EHR data. Future work will explore m</w:t>
      </w:r>
      <w:r>
        <w:rPr>
          <w:rFonts w:eastAsia="Arial" w:cs="Times New Roman"/>
          <w:szCs w:val="24"/>
        </w:rPr>
        <w:t>ore sophisticated imputation methods that incorporate clinical context and temporal patterns to further refine our approach.</w:t>
      </w:r>
    </w:p>
    <w:p w:rsidR="00462F30" w:rsidRDefault="00462F30">
      <w:pPr>
        <w:widowControl w:val="0"/>
        <w:spacing w:before="240"/>
        <w:rPr>
          <w:rFonts w:eastAsia="Arial" w:cs="Times New Roman"/>
          <w:szCs w:val="24"/>
        </w:rPr>
      </w:pPr>
    </w:p>
    <w:p w:rsidR="00462F30" w:rsidRDefault="00FA1E1B">
      <w:pPr>
        <w:pStyle w:val="Heading1"/>
        <w:rPr>
          <w:rFonts w:eastAsia="Arial"/>
          <w:b w:val="0"/>
          <w:bCs/>
        </w:rPr>
      </w:pPr>
      <w:bookmarkStart w:id="15" w:name="_Hlk108254072"/>
      <w:bookmarkStart w:id="16" w:name="_Hlk193446370"/>
      <w:bookmarkStart w:id="17" w:name="_Toc202800152"/>
      <w:bookmarkEnd w:id="15"/>
      <w:bookmarkEnd w:id="16"/>
      <w:r>
        <w:rPr>
          <w:rFonts w:eastAsia="Arial"/>
          <w:bCs/>
        </w:rPr>
        <w:lastRenderedPageBreak/>
        <w:t xml:space="preserve">Correlation </w:t>
      </w:r>
      <w:r>
        <w:rPr>
          <w:rFonts w:eastAsiaTheme="minorEastAsia" w:hint="eastAsia"/>
          <w:bCs/>
          <w:lang w:eastAsia="zh-CN"/>
        </w:rPr>
        <w:t>N</w:t>
      </w:r>
      <w:r>
        <w:rPr>
          <w:rFonts w:eastAsia="Arial"/>
          <w:bCs/>
        </w:rPr>
        <w:t>etworks</w:t>
      </w:r>
      <w:bookmarkEnd w:id="17"/>
    </w:p>
    <w:p w:rsidR="00462F30" w:rsidRDefault="00FA1E1B">
      <w:pPr>
        <w:rPr>
          <w:rFonts w:eastAsia="Arial" w:cs="Times New Roman"/>
          <w:szCs w:val="24"/>
        </w:rPr>
      </w:pPr>
      <w:r>
        <w:rPr>
          <w:rFonts w:eastAsia="Arial" w:cs="Times New Roman"/>
          <w:szCs w:val="24"/>
        </w:rPr>
        <w:t>Correlation networks were constructed using the selected features by performing Spearman's correlations on th</w:t>
      </w:r>
      <w:r>
        <w:rPr>
          <w:rFonts w:eastAsia="Arial" w:cs="Times New Roman"/>
          <w:szCs w:val="24"/>
        </w:rPr>
        <w:t>e study subjects. Within these networks, the vertices corresponded to the features, and any edge that existed between any pair of vertices represented a significant correlation (with an absolute value of the Spearman coefficient exceeding 0.1) between each</w:t>
      </w:r>
      <w:r>
        <w:rPr>
          <w:rFonts w:eastAsia="Arial" w:cs="Times New Roman"/>
          <w:szCs w:val="24"/>
        </w:rPr>
        <w:t xml:space="preserve"> pair of features. In actual clinical settings, these significant features are unlikely to be independent of each other, and more complicated causative and/or associative relationships might exist among these features.</w:t>
      </w:r>
    </w:p>
    <w:p w:rsidR="00462F30" w:rsidRDefault="00462F30">
      <w:pPr>
        <w:rPr>
          <w:rFonts w:eastAsia="Arial" w:cs="Times New Roman"/>
          <w:szCs w:val="24"/>
        </w:rPr>
      </w:pPr>
    </w:p>
    <w:sectPr w:rsidR="00462F30" w:rsidSect="00FA1E1B">
      <w:footerReference w:type="even" r:id="rId13"/>
      <w:footerReference w:type="default" r:id="rId14"/>
      <w:headerReference w:type="first" r:id="rId15"/>
      <w:pgSz w:w="12240" w:h="15840"/>
      <w:pgMar w:top="1138" w:right="1181" w:bottom="1138" w:left="1282" w:header="283" w:footer="51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A1E1B">
      <w:pPr>
        <w:spacing w:before="0" w:after="0"/>
      </w:pPr>
      <w:r>
        <w:separator/>
      </w:r>
    </w:p>
  </w:endnote>
  <w:endnote w:type="continuationSeparator" w:id="0">
    <w:p w:rsidR="00000000" w:rsidRDefault="00FA1E1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F30" w:rsidRDefault="00FA1E1B">
    <w:pPr>
      <w:pStyle w:val="Footer"/>
      <w:rPr>
        <w:color w:val="C00000"/>
        <w:szCs w:val="24"/>
      </w:rPr>
    </w:pPr>
    <w:r>
      <w:rPr>
        <w:noProof/>
        <w:lang w:val="en-PH" w:eastAsia="en-PH"/>
      </w:rPr>
      <mc:AlternateContent>
        <mc:Choice Requires="wps">
          <w:drawing>
            <wp:anchor distT="0" distB="0" distL="114300" distR="114300" simplePos="0" relativeHeight="251660288" behindDoc="0" locked="0" layoutInCell="1" allowOverlap="1" wp14:anchorId="7207CE30" wp14:editId="307DF60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462F30" w:rsidRDefault="00FA1E1B">
                          <w:pPr>
                            <w:pStyle w:val="Foote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sidRPr="00FA1E1B">
                            <w:rPr>
                              <w:noProof/>
                              <w:color w:val="000000" w:themeColor="text1"/>
                              <w:sz w:val="22"/>
                              <w:szCs w:val="40"/>
                            </w:rPr>
                            <w:t>10</w:t>
                          </w:r>
                          <w:r>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67.6pt;margin-top:0;width:118.8pt;height:31.15pt;z-index:251660288;visibility:visible;mso-wrap-style:square;mso-wrap-distance-left:9pt;mso-wrap-distance-top:0;mso-wrap-distance-right:9pt;mso-wrap-distance-bottom:0;mso-position-horizontal:right;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HQvHQIAACwEAAAOAAAAZHJzL2Uyb0RvYy54bWysU11v2jAUfZ+0/2D5fSRQoG1EqFgrpklo&#10;rUSrPRvHJpFsX882JOzX79oJFG17mvbi3K8c33Pu9eKh04ochfMNmJKORzklwnCoGrMv6dvr+tMd&#10;JT4wUzEFRpT0JDx9WH78sGhtISZQg6qEIwhifNHaktYh2CLLPK+FZn4EVhhMSnCaBXTdPqscaxFd&#10;q2yS5/OsBVdZB1x4j9GnPkmXCV9KwcOzlF4EokqKvYV0unTu4pktF6zYO2brhg9tsH/oQrPG4KUX&#10;qCcWGDm45g8o3XAHHmQYcdAZSNlwkTggm3H+G5ttzaxIXFAcby8y+f8Hy78dXxxpKpwdJYZpHNGr&#10;6AL5DB0ZR3Va6wss2losCx2GY+UQ9xiMpDvpdPwiHYJ51Pl00TaC8fjTLL+7nWOKY+7mfjbPZxEm&#10;e//bOh++CNAkGiV1OLskKTtufOhLzyXxMgPrRimMs0IZ0pZ0fjPL0w+XDIIrEwtE2oQBJjLqO49W&#10;6HbdwH9gtYPqhGQd9MviLV832NGG+fDCHG4HksCND894SAV4MwwWJTW4n3+Lx3ocGmYpaXHbSup/&#10;HJgTlKivBsd5P55O43omZzq7naDjrjO764w56EfAhcaRYXfJjPVBnU3pQH/Hh7GKt2KKGY53lzSc&#10;zcfQvwF8WFysVqkIF9KysDFbyyN01M3b1SGgzkn+qFavDY4tOriSaYDD84k7f+2nqvdHvvwFAAD/&#10;/wMAUEsDBBQABgAIAAAAIQA4sBLD2QAAAAQBAAAPAAAAZHJzL2Rvd25yZXYueG1sTI/BasMwEETv&#10;hf6D2EIvJZHjgFtcr0MJ+Bzi5AMUa2O7lVbGkmP376v20lwWhhlm3ha7xRpxo9H3jhE26wQEceN0&#10;zy3C+VSt3kD4oFgr45gQvsnDrnx8KFSu3cxHutWhFbGEfa4QuhCGXErfdGSVX7uBOHpXN1oVohxb&#10;qUc1x3JrZJokmbSq57jQqYH2HTVf9WQRXDq/mGO9qfaH+bNKDhOdak+Iz0/LxzuIQEv4D8MvfkSH&#10;MjJd3MTaC4MQHwl/N3rp9jUDcUHI0i3IspD38OUPAAAA//8DAFBLAQItABQABgAIAAAAIQC2gziS&#10;/gAAAOEBAAATAAAAAAAAAAAAAAAAAAAAAABbQ29udGVudF9UeXBlc10ueG1sUEsBAi0AFAAGAAgA&#10;AAAhADj9If/WAAAAlAEAAAsAAAAAAAAAAAAAAAAALwEAAF9yZWxzLy5yZWxzUEsBAi0AFAAGAAgA&#10;AAAhAJvcdC8dAgAALAQAAA4AAAAAAAAAAAAAAAAALgIAAGRycy9lMm9Eb2MueG1sUEsBAi0AFAAG&#10;AAgAAAAhADiwEsPZAAAABAEAAA8AAAAAAAAAAAAAAAAAdwQAAGRycy9kb3ducmV2LnhtbFBLBQYA&#10;AAAABAAEAPMAAAB9BQAAAAA=&#10;" filled="f" stroked="f" strokeweight=".5pt">
              <v:textbox style="mso-fit-shape-to-text:t">
                <w:txbxContent>
                  <w:p w:rsidR="00462F30" w:rsidRDefault="00FA1E1B">
                    <w:pPr>
                      <w:pStyle w:val="Foote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sidRPr="00FA1E1B">
                      <w:rPr>
                        <w:noProof/>
                        <w:color w:val="000000" w:themeColor="text1"/>
                        <w:sz w:val="22"/>
                        <w:szCs w:val="40"/>
                      </w:rPr>
                      <w:t>10</w:t>
                    </w:r>
                    <w:r>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F30" w:rsidRDefault="00FA1E1B">
    <w:pPr>
      <w:pStyle w:val="Footer"/>
      <w:rPr>
        <w:b/>
        <w:sz w:val="20"/>
        <w:szCs w:val="24"/>
      </w:rPr>
    </w:pPr>
    <w:r>
      <w:rPr>
        <w:noProof/>
        <w:lang w:val="en-PH" w:eastAsia="en-PH"/>
      </w:rPr>
      <mc:AlternateContent>
        <mc:Choice Requires="wps">
          <w:drawing>
            <wp:anchor distT="0" distB="0" distL="114300" distR="114300" simplePos="0" relativeHeight="251659264" behindDoc="0" locked="0" layoutInCell="1" allowOverlap="1" wp14:anchorId="6B546EA4" wp14:editId="21256C56">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462F30" w:rsidRDefault="00FA1E1B">
                          <w:pPr>
                            <w:pStyle w:val="Foote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sidRPr="00FA1E1B">
                            <w:rPr>
                              <w:noProof/>
                              <w:color w:val="000000" w:themeColor="text1"/>
                              <w:sz w:val="22"/>
                              <w:szCs w:val="40"/>
                            </w:rPr>
                            <w:t>11</w:t>
                          </w:r>
                          <w:r>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56" o:spid="_x0000_s1027" type="#_x0000_t202" style="position:absolute;margin-left:67.6pt;margin-top:0;width:118.8pt;height:31.15pt;z-index:251659264;visibility:visible;mso-wrap-style:square;mso-wrap-distance-left:9pt;mso-wrap-distance-top:0;mso-wrap-distance-right:9pt;mso-wrap-distance-bottom:0;mso-position-horizontal:right;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mGHAIAACcEAAAOAAAAZHJzL2Uyb0RvYy54bWysU11v2jAUfZ+0/2D5fSRQoC0iVKwV0yS0&#10;VqLVno3jkEj+mm1I2K/fsQMUbXua9uLcrxzfe+7x/KFTkhyE843RBR0OckqE5qZs9K6gb6+rT3eU&#10;+MB0yaTRoqBH4enD4uOHeWtnYmRqI0vhCEC0n7W2oHUIdpZlntdCMT8wVmgkK+MUC3DdLisda4Gu&#10;ZDbK82nWGldaZ7jwHtGnPkkXCb+qBA/PVeVFILKg6C2k06VzG89sMWeznWO2bvipDfYPXSjWaFx6&#10;gXpigZG9a/6AUg13xpsqDLhRmamqhos0A6YZ5r9Ns6mZFWkWkOPthSb//2D5t8OLI01Z0MmUEs0U&#10;dvQqukA+m44gBH5a62co21gUhg5x7Pkc9wjGsbvKqfjFQAR5MH28sBvRePxpkt/dTpHiyN3cT6b5&#10;JMJk739b58MXYRSJRkEdtpdIZYe1D33puSReps2qkTJtUGrSFnR6M8nTD5cMwKWOtSJp4QQTJ+o7&#10;j1bott1pzK0pj5jSmV4n3vJVg1bWzIcX5iAMdA+xh2cclTS40pwsSmrjfv4tHuuxL2QpaSG0gvof&#10;e+YEJfKrxibvh+NxVGZyxpPbERx3ndleZ/RePRpoeYhnZXkyY32QZ7NyRn3Hm1jGW5FimuPugoaz&#10;+Rh6+eNNcbFcpiJo0bKw1hvLI3QkzNvlPoDgxHukqecG+4oO1Jg2d3o5Ue7Xfqp6f9+LXwAAAP//&#10;AwBQSwMEFAAGAAgAAAAhADiwEsPZAAAABAEAAA8AAABkcnMvZG93bnJldi54bWxMj8FqwzAQRO+F&#10;/oPYQi8lkeOAW1yvQwn4HOLkAxRrY7uVVsaSY/fvq/bSXBaGGWbeFrvFGnGj0feOETbrBARx43TP&#10;LcL5VK3eQPigWCvjmBC+ycOufHwoVK7dzEe61aEVsYR9rhC6EIZcSt90ZJVfu4E4elc3WhWiHFup&#10;RzXHcmtkmiSZtKrnuNCpgfYdNV/1ZBFcOr+YY72p9of5s0oOE51qT4jPT8vHO4hAS/gPwy9+RIcy&#10;Ml3cxNoLgxAfCX83eun2NQNxQcjSLciykPfw5Q8AAAD//wMAUEsBAi0AFAAGAAgAAAAhALaDOJL+&#10;AAAA4QEAABMAAAAAAAAAAAAAAAAAAAAAAFtDb250ZW50X1R5cGVzXS54bWxQSwECLQAUAAYACAAA&#10;ACEAOP0h/9YAAACUAQAACwAAAAAAAAAAAAAAAAAvAQAAX3JlbHMvLnJlbHNQSwECLQAUAAYACAAA&#10;ACEAXLnphhwCAAAnBAAADgAAAAAAAAAAAAAAAAAuAgAAZHJzL2Uyb0RvYy54bWxQSwECLQAUAAYA&#10;CAAAACEAOLASw9kAAAAEAQAADwAAAAAAAAAAAAAAAAB2BAAAZHJzL2Rvd25yZXYueG1sUEsFBgAA&#10;AAAEAAQA8wAAAHwFAAAAAA==&#10;" filled="f" stroked="f" strokeweight=".5pt">
              <v:textbox style="mso-fit-shape-to-text:t">
                <w:txbxContent>
                  <w:p w:rsidR="00462F30" w:rsidRDefault="00FA1E1B">
                    <w:pPr>
                      <w:pStyle w:val="Foote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sidRPr="00FA1E1B">
                      <w:rPr>
                        <w:noProof/>
                        <w:color w:val="000000" w:themeColor="text1"/>
                        <w:sz w:val="22"/>
                        <w:szCs w:val="40"/>
                      </w:rPr>
                      <w:t>11</w:t>
                    </w:r>
                    <w:r>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F30" w:rsidRDefault="00FA1E1B">
      <w:pPr>
        <w:spacing w:before="0" w:after="0"/>
      </w:pPr>
      <w:r>
        <w:separator/>
      </w:r>
    </w:p>
  </w:footnote>
  <w:footnote w:type="continuationSeparator" w:id="0">
    <w:p w:rsidR="00462F30" w:rsidRDefault="00FA1E1B">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F30" w:rsidRDefault="00FA1E1B">
    <w:pPr>
      <w:pStyle w:val="Head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54A3A"/>
    <w:multiLevelType w:val="multilevel"/>
    <w:tmpl w:val="04654A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58F6360"/>
    <w:multiLevelType w:val="multilevel"/>
    <w:tmpl w:val="058F63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B876BE4"/>
    <w:multiLevelType w:val="multilevel"/>
    <w:tmpl w:val="0B876B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E836CAB"/>
    <w:multiLevelType w:val="multilevel"/>
    <w:tmpl w:val="0E836CA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ED948C9"/>
    <w:multiLevelType w:val="multilevel"/>
    <w:tmpl w:val="0ED948C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198E258A"/>
    <w:multiLevelType w:val="multilevel"/>
    <w:tmpl w:val="198E258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nsid w:val="1DD954C9"/>
    <w:multiLevelType w:val="multilevel"/>
    <w:tmpl w:val="1DD954C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1EC0601A"/>
    <w:multiLevelType w:val="multilevel"/>
    <w:tmpl w:val="1EC0601A"/>
    <w:lvl w:ilvl="0">
      <w:start w:val="1"/>
      <w:numFmt w:val="decimal"/>
      <w:pStyle w:val="Heading1"/>
      <w:lvlText w:val="%1"/>
      <w:lvlJc w:val="left"/>
      <w:pPr>
        <w:tabs>
          <w:tab w:val="left" w:pos="567"/>
        </w:tabs>
        <w:ind w:left="567" w:hanging="567"/>
      </w:pPr>
    </w:lvl>
    <w:lvl w:ilvl="1">
      <w:start w:val="1"/>
      <w:numFmt w:val="decimal"/>
      <w:pStyle w:val="Heading2"/>
      <w:lvlText w:val="%1.%2"/>
      <w:lvlJc w:val="left"/>
      <w:pPr>
        <w:tabs>
          <w:tab w:val="left" w:pos="567"/>
        </w:tabs>
        <w:ind w:left="567" w:hanging="567"/>
      </w:pPr>
    </w:lvl>
    <w:lvl w:ilvl="2">
      <w:start w:val="1"/>
      <w:numFmt w:val="decimal"/>
      <w:pStyle w:val="Heading3"/>
      <w:lvlText w:val="%1.%2.%3"/>
      <w:lvlJc w:val="left"/>
      <w:pPr>
        <w:tabs>
          <w:tab w:val="left" w:pos="567"/>
        </w:tabs>
        <w:ind w:left="567" w:hanging="567"/>
      </w:pPr>
      <w:rPr>
        <w:rFonts w:hint="default"/>
      </w:rPr>
    </w:lvl>
    <w:lvl w:ilvl="3">
      <w:start w:val="1"/>
      <w:numFmt w:val="decimal"/>
      <w:pStyle w:val="Heading4"/>
      <w:lvlText w:val="%1.%2.%3.%4"/>
      <w:lvlJc w:val="left"/>
      <w:pPr>
        <w:tabs>
          <w:tab w:val="left" w:pos="567"/>
        </w:tabs>
        <w:ind w:left="567" w:hanging="567"/>
      </w:pPr>
      <w:rPr>
        <w:rFonts w:hint="default"/>
      </w:rPr>
    </w:lvl>
    <w:lvl w:ilvl="4">
      <w:start w:val="1"/>
      <w:numFmt w:val="decimal"/>
      <w:pStyle w:val="Heading5"/>
      <w:lvlText w:val="%1.%2.%3.%4.%5"/>
      <w:lvlJc w:val="left"/>
      <w:pPr>
        <w:tabs>
          <w:tab w:val="left" w:pos="567"/>
        </w:tabs>
        <w:ind w:left="567" w:hanging="567"/>
      </w:pPr>
      <w:rPr>
        <w:rFonts w:hint="default"/>
      </w:rPr>
    </w:lvl>
    <w:lvl w:ilvl="5">
      <w:start w:val="1"/>
      <w:numFmt w:val="lowerRoman"/>
      <w:lvlText w:val="%6."/>
      <w:lvlJc w:val="right"/>
      <w:pPr>
        <w:tabs>
          <w:tab w:val="left" w:pos="567"/>
        </w:tabs>
        <w:ind w:left="567" w:hanging="567"/>
      </w:pPr>
      <w:rPr>
        <w:rFonts w:hint="default"/>
      </w:rPr>
    </w:lvl>
    <w:lvl w:ilvl="6">
      <w:start w:val="1"/>
      <w:numFmt w:val="decimal"/>
      <w:lvlText w:val="%7."/>
      <w:lvlJc w:val="left"/>
      <w:pPr>
        <w:tabs>
          <w:tab w:val="left" w:pos="567"/>
        </w:tabs>
        <w:ind w:left="567" w:hanging="567"/>
      </w:pPr>
      <w:rPr>
        <w:rFonts w:hint="default"/>
      </w:rPr>
    </w:lvl>
    <w:lvl w:ilvl="7">
      <w:start w:val="1"/>
      <w:numFmt w:val="lowerLetter"/>
      <w:lvlText w:val="%8."/>
      <w:lvlJc w:val="left"/>
      <w:pPr>
        <w:tabs>
          <w:tab w:val="left" w:pos="567"/>
        </w:tabs>
        <w:ind w:left="567" w:hanging="567"/>
      </w:pPr>
      <w:rPr>
        <w:rFonts w:hint="default"/>
      </w:rPr>
    </w:lvl>
    <w:lvl w:ilvl="8">
      <w:start w:val="1"/>
      <w:numFmt w:val="lowerRoman"/>
      <w:lvlText w:val="%9."/>
      <w:lvlJc w:val="right"/>
      <w:pPr>
        <w:tabs>
          <w:tab w:val="left" w:pos="567"/>
        </w:tabs>
        <w:ind w:left="567" w:hanging="567"/>
      </w:pPr>
      <w:rPr>
        <w:rFonts w:hint="default"/>
      </w:rPr>
    </w:lvl>
  </w:abstractNum>
  <w:abstractNum w:abstractNumId="8">
    <w:nsid w:val="22317750"/>
    <w:multiLevelType w:val="multilevel"/>
    <w:tmpl w:val="2231775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225305B5"/>
    <w:multiLevelType w:val="multilevel"/>
    <w:tmpl w:val="225305B5"/>
    <w:lvl w:ilvl="0">
      <w:start w:val="1"/>
      <w:numFmt w:val="bullet"/>
      <w:pStyle w:val="ListParagraph"/>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nsid w:val="27F22839"/>
    <w:multiLevelType w:val="multilevel"/>
    <w:tmpl w:val="27F2283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nsid w:val="28766C00"/>
    <w:multiLevelType w:val="multilevel"/>
    <w:tmpl w:val="28766C0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2D9B59C6"/>
    <w:multiLevelType w:val="multilevel"/>
    <w:tmpl w:val="2D9B59C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30F01E37"/>
    <w:multiLevelType w:val="multilevel"/>
    <w:tmpl w:val="30F01E3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3A091FF5"/>
    <w:multiLevelType w:val="multilevel"/>
    <w:tmpl w:val="3A091FF5"/>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nsid w:val="3E394B0A"/>
    <w:multiLevelType w:val="multilevel"/>
    <w:tmpl w:val="3E394B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41E400C9"/>
    <w:multiLevelType w:val="multilevel"/>
    <w:tmpl w:val="41E400C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4FC32E78"/>
    <w:multiLevelType w:val="multilevel"/>
    <w:tmpl w:val="4FC32E7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5B436768"/>
    <w:multiLevelType w:val="multilevel"/>
    <w:tmpl w:val="5B43676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67016162"/>
    <w:multiLevelType w:val="multilevel"/>
    <w:tmpl w:val="670161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6D35541D"/>
    <w:multiLevelType w:val="multilevel"/>
    <w:tmpl w:val="6D35541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78AB0DFF"/>
    <w:multiLevelType w:val="multilevel"/>
    <w:tmpl w:val="78AB0DF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7"/>
    <w:lvlOverride w:ilvl="0">
      <w:lvl w:ilvl="0">
        <w:numFmt w:val="decimal"/>
        <w:pStyle w:val="Heading1"/>
        <w:lvlText w:val="%1"/>
        <w:lvlJc w:val="left"/>
        <w:pPr>
          <w:tabs>
            <w:tab w:val="left" w:pos="567"/>
          </w:tabs>
          <w:ind w:left="567" w:hanging="567"/>
        </w:pPr>
        <w:rPr>
          <w:rFonts w:hint="default"/>
        </w:rPr>
      </w:lvl>
    </w:lvlOverride>
    <w:lvlOverride w:ilvl="1">
      <w:lvl w:ilvl="1" w:tentative="1">
        <w:numFmt w:val="decimal"/>
        <w:pStyle w:val="Heading2"/>
        <w:lvlText w:val="%1.%2"/>
        <w:lvlJc w:val="left"/>
        <w:pPr>
          <w:tabs>
            <w:tab w:val="left" w:pos="567"/>
          </w:tabs>
          <w:ind w:left="567" w:hanging="567"/>
        </w:pPr>
        <w:rPr>
          <w:rFonts w:hint="default"/>
          <w:b/>
          <w:bCs/>
        </w:rPr>
      </w:lvl>
    </w:lvlOverride>
  </w:num>
  <w:num w:numId="2">
    <w:abstractNumId w:val="9"/>
  </w:num>
  <w:num w:numId="3">
    <w:abstractNumId w:val="12"/>
  </w:num>
  <w:num w:numId="4">
    <w:abstractNumId w:val="21"/>
  </w:num>
  <w:num w:numId="5">
    <w:abstractNumId w:val="1"/>
  </w:num>
  <w:num w:numId="6">
    <w:abstractNumId w:val="2"/>
  </w:num>
  <w:num w:numId="7">
    <w:abstractNumId w:val="16"/>
  </w:num>
  <w:num w:numId="8">
    <w:abstractNumId w:val="3"/>
  </w:num>
  <w:num w:numId="9">
    <w:abstractNumId w:val="19"/>
  </w:num>
  <w:num w:numId="10">
    <w:abstractNumId w:val="5"/>
  </w:num>
  <w:num w:numId="11">
    <w:abstractNumId w:val="0"/>
  </w:num>
  <w:num w:numId="12">
    <w:abstractNumId w:val="10"/>
  </w:num>
  <w:num w:numId="13">
    <w:abstractNumId w:val="14"/>
  </w:num>
  <w:num w:numId="14">
    <w:abstractNumId w:val="17"/>
  </w:num>
  <w:num w:numId="15">
    <w:abstractNumId w:val="6"/>
  </w:num>
  <w:num w:numId="16">
    <w:abstractNumId w:val="4"/>
  </w:num>
  <w:num w:numId="17">
    <w:abstractNumId w:val="11"/>
  </w:num>
  <w:num w:numId="18">
    <w:abstractNumId w:val="8"/>
  </w:num>
  <w:num w:numId="19">
    <w:abstractNumId w:val="15"/>
  </w:num>
  <w:num w:numId="20">
    <w:abstractNumId w:val="20"/>
  </w:num>
  <w:num w:numId="21">
    <w:abstractNumId w:val="1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proofState w:spelling="clean" w:grammar="clean"/>
  <w:attachedTemplate r:id="rId1"/>
  <w:defaultTabStop w:val="720"/>
  <w:evenAndOddHeaders/>
  <w:displayHorizontalDrawingGridEvery w:val="0"/>
  <w:displayVerticalDrawingGridEvery w:val="2"/>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zk5OGNkZWFjMDFkMzU4YzYxZjg5MDkyODZlY2QifQ=="/>
    <w:docVar w:name="EN.InstantFormat" w:val="&lt;ENInstantFormat&gt;&lt;Enabled&gt;1&lt;/Enabled&gt;&lt;ScanUnformatted&gt;1&lt;/ScanUnformatted&gt;&lt;ScanChanges&gt;1&lt;/ScanChanges&gt;&lt;Suspended&gt;1&lt;/Suspended&gt;&lt;/ENInstantFormat&gt;"/>
    <w:docVar w:name="EN.Layout" w:val="&lt;ENLayout&gt;&lt;Style&gt;BMC Health Services R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D40420"/>
    <w:rsid w:val="000001BE"/>
    <w:rsid w:val="000010F1"/>
    <w:rsid w:val="00003320"/>
    <w:rsid w:val="00007DBA"/>
    <w:rsid w:val="00015D7B"/>
    <w:rsid w:val="0002273A"/>
    <w:rsid w:val="00033DA0"/>
    <w:rsid w:val="00034304"/>
    <w:rsid w:val="00035434"/>
    <w:rsid w:val="00035946"/>
    <w:rsid w:val="00045678"/>
    <w:rsid w:val="000458E4"/>
    <w:rsid w:val="00046C61"/>
    <w:rsid w:val="0004717F"/>
    <w:rsid w:val="000555EC"/>
    <w:rsid w:val="00063363"/>
    <w:rsid w:val="00063D84"/>
    <w:rsid w:val="0006636D"/>
    <w:rsid w:val="000706C8"/>
    <w:rsid w:val="000762A9"/>
    <w:rsid w:val="00076F05"/>
    <w:rsid w:val="00077D53"/>
    <w:rsid w:val="00081394"/>
    <w:rsid w:val="00093B1B"/>
    <w:rsid w:val="000B2B4E"/>
    <w:rsid w:val="000B34BD"/>
    <w:rsid w:val="000C7E2A"/>
    <w:rsid w:val="000D3BA9"/>
    <w:rsid w:val="000E46C0"/>
    <w:rsid w:val="000E4980"/>
    <w:rsid w:val="000F432F"/>
    <w:rsid w:val="000F4CFB"/>
    <w:rsid w:val="0010193B"/>
    <w:rsid w:val="001029C2"/>
    <w:rsid w:val="00117666"/>
    <w:rsid w:val="001223A7"/>
    <w:rsid w:val="00125795"/>
    <w:rsid w:val="001273DD"/>
    <w:rsid w:val="00134256"/>
    <w:rsid w:val="00145BB8"/>
    <w:rsid w:val="00147395"/>
    <w:rsid w:val="00152161"/>
    <w:rsid w:val="00154007"/>
    <w:rsid w:val="001552C9"/>
    <w:rsid w:val="00156ACD"/>
    <w:rsid w:val="00161CC2"/>
    <w:rsid w:val="00162F3D"/>
    <w:rsid w:val="00171612"/>
    <w:rsid w:val="00174075"/>
    <w:rsid w:val="001742EF"/>
    <w:rsid w:val="00177D84"/>
    <w:rsid w:val="001840A1"/>
    <w:rsid w:val="00184FE7"/>
    <w:rsid w:val="00186185"/>
    <w:rsid w:val="00186834"/>
    <w:rsid w:val="001964EF"/>
    <w:rsid w:val="001A4B94"/>
    <w:rsid w:val="001A6E6E"/>
    <w:rsid w:val="001B1A2C"/>
    <w:rsid w:val="001C5BEE"/>
    <w:rsid w:val="001D0F70"/>
    <w:rsid w:val="001D5C23"/>
    <w:rsid w:val="001E055D"/>
    <w:rsid w:val="001E11EF"/>
    <w:rsid w:val="001E3C04"/>
    <w:rsid w:val="001E4A84"/>
    <w:rsid w:val="001E4C93"/>
    <w:rsid w:val="001E4F08"/>
    <w:rsid w:val="001E7EE3"/>
    <w:rsid w:val="001F4C07"/>
    <w:rsid w:val="002025C9"/>
    <w:rsid w:val="0020380B"/>
    <w:rsid w:val="00203F72"/>
    <w:rsid w:val="00206322"/>
    <w:rsid w:val="00212B6B"/>
    <w:rsid w:val="00214659"/>
    <w:rsid w:val="002167B2"/>
    <w:rsid w:val="00217BA1"/>
    <w:rsid w:val="00220AEA"/>
    <w:rsid w:val="00226954"/>
    <w:rsid w:val="002368CB"/>
    <w:rsid w:val="002465BE"/>
    <w:rsid w:val="00253957"/>
    <w:rsid w:val="0025539A"/>
    <w:rsid w:val="00256178"/>
    <w:rsid w:val="00257C16"/>
    <w:rsid w:val="002629A3"/>
    <w:rsid w:val="00264BC9"/>
    <w:rsid w:val="00265660"/>
    <w:rsid w:val="002663A7"/>
    <w:rsid w:val="002677A0"/>
    <w:rsid w:val="00267D18"/>
    <w:rsid w:val="00273A38"/>
    <w:rsid w:val="002777F7"/>
    <w:rsid w:val="002868E2"/>
    <w:rsid w:val="002869C3"/>
    <w:rsid w:val="00287E95"/>
    <w:rsid w:val="002936E4"/>
    <w:rsid w:val="00296B88"/>
    <w:rsid w:val="002A260D"/>
    <w:rsid w:val="002B04D0"/>
    <w:rsid w:val="002C1DAF"/>
    <w:rsid w:val="002C3AE0"/>
    <w:rsid w:val="002C5B77"/>
    <w:rsid w:val="002C74CA"/>
    <w:rsid w:val="002D381A"/>
    <w:rsid w:val="002D39DF"/>
    <w:rsid w:val="002E163B"/>
    <w:rsid w:val="002F1176"/>
    <w:rsid w:val="002F589D"/>
    <w:rsid w:val="002F744D"/>
    <w:rsid w:val="00301EAD"/>
    <w:rsid w:val="00303DE6"/>
    <w:rsid w:val="00306517"/>
    <w:rsid w:val="00310124"/>
    <w:rsid w:val="00322306"/>
    <w:rsid w:val="0032300E"/>
    <w:rsid w:val="0033000F"/>
    <w:rsid w:val="00331E0E"/>
    <w:rsid w:val="003454F5"/>
    <w:rsid w:val="0034664B"/>
    <w:rsid w:val="003544FB"/>
    <w:rsid w:val="00355DF0"/>
    <w:rsid w:val="00365D63"/>
    <w:rsid w:val="0036793B"/>
    <w:rsid w:val="00372682"/>
    <w:rsid w:val="00374402"/>
    <w:rsid w:val="0037456A"/>
    <w:rsid w:val="00375154"/>
    <w:rsid w:val="003762CD"/>
    <w:rsid w:val="003769E8"/>
    <w:rsid w:val="00376CC5"/>
    <w:rsid w:val="003834C3"/>
    <w:rsid w:val="00383AD9"/>
    <w:rsid w:val="00383AF2"/>
    <w:rsid w:val="00384E2D"/>
    <w:rsid w:val="00386CF3"/>
    <w:rsid w:val="00386EF7"/>
    <w:rsid w:val="00390B22"/>
    <w:rsid w:val="00392CE6"/>
    <w:rsid w:val="0039693B"/>
    <w:rsid w:val="00396AF2"/>
    <w:rsid w:val="00397E62"/>
    <w:rsid w:val="003A3145"/>
    <w:rsid w:val="003B3C40"/>
    <w:rsid w:val="003B44CA"/>
    <w:rsid w:val="003B5287"/>
    <w:rsid w:val="003B7CDF"/>
    <w:rsid w:val="003C07AD"/>
    <w:rsid w:val="003C3B07"/>
    <w:rsid w:val="003C3D96"/>
    <w:rsid w:val="003C67D1"/>
    <w:rsid w:val="003C78AD"/>
    <w:rsid w:val="003D2F2D"/>
    <w:rsid w:val="003E3D87"/>
    <w:rsid w:val="003E4A39"/>
    <w:rsid w:val="003F400A"/>
    <w:rsid w:val="003F7D11"/>
    <w:rsid w:val="00401590"/>
    <w:rsid w:val="004020FD"/>
    <w:rsid w:val="0040462C"/>
    <w:rsid w:val="004102EA"/>
    <w:rsid w:val="00440D48"/>
    <w:rsid w:val="00446A89"/>
    <w:rsid w:val="00446E4C"/>
    <w:rsid w:val="0044705F"/>
    <w:rsid w:val="004479C9"/>
    <w:rsid w:val="00453CAC"/>
    <w:rsid w:val="004565EE"/>
    <w:rsid w:val="00456ABE"/>
    <w:rsid w:val="00462F30"/>
    <w:rsid w:val="00463E3D"/>
    <w:rsid w:val="004643F1"/>
    <w:rsid w:val="004645AE"/>
    <w:rsid w:val="00475C2B"/>
    <w:rsid w:val="004767B7"/>
    <w:rsid w:val="004869CB"/>
    <w:rsid w:val="00486A39"/>
    <w:rsid w:val="004A2C80"/>
    <w:rsid w:val="004C5150"/>
    <w:rsid w:val="004D2691"/>
    <w:rsid w:val="004D3637"/>
    <w:rsid w:val="004D3E33"/>
    <w:rsid w:val="004D5CD2"/>
    <w:rsid w:val="004E167F"/>
    <w:rsid w:val="004E7AE1"/>
    <w:rsid w:val="004F0F27"/>
    <w:rsid w:val="004F3488"/>
    <w:rsid w:val="00510770"/>
    <w:rsid w:val="00514439"/>
    <w:rsid w:val="00514691"/>
    <w:rsid w:val="00515409"/>
    <w:rsid w:val="00515AB0"/>
    <w:rsid w:val="0052252B"/>
    <w:rsid w:val="005250F2"/>
    <w:rsid w:val="00527BB4"/>
    <w:rsid w:val="005334D2"/>
    <w:rsid w:val="00534A4D"/>
    <w:rsid w:val="00536D5C"/>
    <w:rsid w:val="00537B21"/>
    <w:rsid w:val="00541F31"/>
    <w:rsid w:val="00544F74"/>
    <w:rsid w:val="00557843"/>
    <w:rsid w:val="00572045"/>
    <w:rsid w:val="0058373C"/>
    <w:rsid w:val="005847C5"/>
    <w:rsid w:val="0058634D"/>
    <w:rsid w:val="005950A9"/>
    <w:rsid w:val="005952F5"/>
    <w:rsid w:val="005A1D84"/>
    <w:rsid w:val="005A5E8F"/>
    <w:rsid w:val="005A70EA"/>
    <w:rsid w:val="005B0CF1"/>
    <w:rsid w:val="005C2A15"/>
    <w:rsid w:val="005C3963"/>
    <w:rsid w:val="005C480B"/>
    <w:rsid w:val="005D1840"/>
    <w:rsid w:val="005D35E4"/>
    <w:rsid w:val="005D4522"/>
    <w:rsid w:val="005D73DD"/>
    <w:rsid w:val="005D7910"/>
    <w:rsid w:val="005F0BD0"/>
    <w:rsid w:val="005F6A8C"/>
    <w:rsid w:val="00605F68"/>
    <w:rsid w:val="00607B75"/>
    <w:rsid w:val="0061297A"/>
    <w:rsid w:val="00614905"/>
    <w:rsid w:val="00614C68"/>
    <w:rsid w:val="0062154F"/>
    <w:rsid w:val="006217B0"/>
    <w:rsid w:val="0062432F"/>
    <w:rsid w:val="00626026"/>
    <w:rsid w:val="00631A8C"/>
    <w:rsid w:val="00631B08"/>
    <w:rsid w:val="006323A1"/>
    <w:rsid w:val="006449AF"/>
    <w:rsid w:val="00646C30"/>
    <w:rsid w:val="00651CA2"/>
    <w:rsid w:val="00653D60"/>
    <w:rsid w:val="00654E6C"/>
    <w:rsid w:val="00660D05"/>
    <w:rsid w:val="00661D91"/>
    <w:rsid w:val="006631D5"/>
    <w:rsid w:val="006644D4"/>
    <w:rsid w:val="00667971"/>
    <w:rsid w:val="00671D9A"/>
    <w:rsid w:val="006737C5"/>
    <w:rsid w:val="00673952"/>
    <w:rsid w:val="006762B6"/>
    <w:rsid w:val="00686C9D"/>
    <w:rsid w:val="006A2DA6"/>
    <w:rsid w:val="006A3B5A"/>
    <w:rsid w:val="006A7DFD"/>
    <w:rsid w:val="006B1144"/>
    <w:rsid w:val="006B2D1C"/>
    <w:rsid w:val="006B2D5B"/>
    <w:rsid w:val="006B3B71"/>
    <w:rsid w:val="006B7D14"/>
    <w:rsid w:val="006C186D"/>
    <w:rsid w:val="006C18A5"/>
    <w:rsid w:val="006D2350"/>
    <w:rsid w:val="006D2719"/>
    <w:rsid w:val="006D5B93"/>
    <w:rsid w:val="006E117A"/>
    <w:rsid w:val="006E18DE"/>
    <w:rsid w:val="006E1E80"/>
    <w:rsid w:val="006E2D3C"/>
    <w:rsid w:val="006E2E89"/>
    <w:rsid w:val="006E4225"/>
    <w:rsid w:val="006E54C5"/>
    <w:rsid w:val="006E5F7A"/>
    <w:rsid w:val="006F260D"/>
    <w:rsid w:val="00714352"/>
    <w:rsid w:val="007222F9"/>
    <w:rsid w:val="00725A7D"/>
    <w:rsid w:val="00727093"/>
    <w:rsid w:val="0073085C"/>
    <w:rsid w:val="00746505"/>
    <w:rsid w:val="0075114D"/>
    <w:rsid w:val="00752FD1"/>
    <w:rsid w:val="007615CD"/>
    <w:rsid w:val="007621C8"/>
    <w:rsid w:val="00766491"/>
    <w:rsid w:val="0077721C"/>
    <w:rsid w:val="00790BB3"/>
    <w:rsid w:val="00792043"/>
    <w:rsid w:val="00797392"/>
    <w:rsid w:val="00797557"/>
    <w:rsid w:val="00797EDD"/>
    <w:rsid w:val="007A7E1F"/>
    <w:rsid w:val="007B0322"/>
    <w:rsid w:val="007B08A9"/>
    <w:rsid w:val="007B5048"/>
    <w:rsid w:val="007B5760"/>
    <w:rsid w:val="007B66FF"/>
    <w:rsid w:val="007C0E3F"/>
    <w:rsid w:val="007C0F61"/>
    <w:rsid w:val="007C13B9"/>
    <w:rsid w:val="007C206C"/>
    <w:rsid w:val="007C4476"/>
    <w:rsid w:val="007C46B7"/>
    <w:rsid w:val="007C5729"/>
    <w:rsid w:val="007D5DD4"/>
    <w:rsid w:val="007E3028"/>
    <w:rsid w:val="007E458A"/>
    <w:rsid w:val="007E7F10"/>
    <w:rsid w:val="007F5211"/>
    <w:rsid w:val="007F5661"/>
    <w:rsid w:val="008111E4"/>
    <w:rsid w:val="0081301C"/>
    <w:rsid w:val="00817385"/>
    <w:rsid w:val="00817DD6"/>
    <w:rsid w:val="008228D7"/>
    <w:rsid w:val="008379B0"/>
    <w:rsid w:val="00837CE3"/>
    <w:rsid w:val="0085271A"/>
    <w:rsid w:val="00855EFD"/>
    <w:rsid w:val="00856AF5"/>
    <w:rsid w:val="008579B6"/>
    <w:rsid w:val="008629A9"/>
    <w:rsid w:val="00870096"/>
    <w:rsid w:val="00875102"/>
    <w:rsid w:val="00881650"/>
    <w:rsid w:val="00882C35"/>
    <w:rsid w:val="00882EFA"/>
    <w:rsid w:val="0088513A"/>
    <w:rsid w:val="00885E69"/>
    <w:rsid w:val="008927DA"/>
    <w:rsid w:val="00893C19"/>
    <w:rsid w:val="00894768"/>
    <w:rsid w:val="00894D40"/>
    <w:rsid w:val="00895308"/>
    <w:rsid w:val="008A0240"/>
    <w:rsid w:val="008A1F01"/>
    <w:rsid w:val="008B0940"/>
    <w:rsid w:val="008B10EC"/>
    <w:rsid w:val="008B626A"/>
    <w:rsid w:val="008C2A0A"/>
    <w:rsid w:val="008C6D70"/>
    <w:rsid w:val="008D6C8D"/>
    <w:rsid w:val="008E2B54"/>
    <w:rsid w:val="008E4404"/>
    <w:rsid w:val="008E5281"/>
    <w:rsid w:val="008E58C7"/>
    <w:rsid w:val="008E6609"/>
    <w:rsid w:val="008F26D9"/>
    <w:rsid w:val="008F5021"/>
    <w:rsid w:val="009269FA"/>
    <w:rsid w:val="00926A93"/>
    <w:rsid w:val="0093547F"/>
    <w:rsid w:val="009411EB"/>
    <w:rsid w:val="00943573"/>
    <w:rsid w:val="00951BAE"/>
    <w:rsid w:val="009646BB"/>
    <w:rsid w:val="009655AD"/>
    <w:rsid w:val="009661AE"/>
    <w:rsid w:val="00971B61"/>
    <w:rsid w:val="00980C31"/>
    <w:rsid w:val="0098257A"/>
    <w:rsid w:val="00982B15"/>
    <w:rsid w:val="009955FF"/>
    <w:rsid w:val="00996735"/>
    <w:rsid w:val="00996BC8"/>
    <w:rsid w:val="009A169B"/>
    <w:rsid w:val="009B1B71"/>
    <w:rsid w:val="009B43E9"/>
    <w:rsid w:val="009C0038"/>
    <w:rsid w:val="009C0928"/>
    <w:rsid w:val="009C251A"/>
    <w:rsid w:val="009C7C82"/>
    <w:rsid w:val="009D259D"/>
    <w:rsid w:val="009D48D7"/>
    <w:rsid w:val="009E3D79"/>
    <w:rsid w:val="009F59F6"/>
    <w:rsid w:val="009F6278"/>
    <w:rsid w:val="009F62F0"/>
    <w:rsid w:val="00A00487"/>
    <w:rsid w:val="00A027C8"/>
    <w:rsid w:val="00A14C70"/>
    <w:rsid w:val="00A17313"/>
    <w:rsid w:val="00A22F79"/>
    <w:rsid w:val="00A248BF"/>
    <w:rsid w:val="00A353B4"/>
    <w:rsid w:val="00A40600"/>
    <w:rsid w:val="00A40659"/>
    <w:rsid w:val="00A4071F"/>
    <w:rsid w:val="00A42AF6"/>
    <w:rsid w:val="00A50D9D"/>
    <w:rsid w:val="00A53000"/>
    <w:rsid w:val="00A53B04"/>
    <w:rsid w:val="00A53CF8"/>
    <w:rsid w:val="00A545C6"/>
    <w:rsid w:val="00A57133"/>
    <w:rsid w:val="00A57936"/>
    <w:rsid w:val="00A605BC"/>
    <w:rsid w:val="00A6320E"/>
    <w:rsid w:val="00A73313"/>
    <w:rsid w:val="00A75F87"/>
    <w:rsid w:val="00A768A2"/>
    <w:rsid w:val="00A87350"/>
    <w:rsid w:val="00A90F49"/>
    <w:rsid w:val="00A94DFC"/>
    <w:rsid w:val="00A9578C"/>
    <w:rsid w:val="00A95D8B"/>
    <w:rsid w:val="00AB07DE"/>
    <w:rsid w:val="00AB2BA0"/>
    <w:rsid w:val="00AB3C64"/>
    <w:rsid w:val="00AC0270"/>
    <w:rsid w:val="00AC3EA3"/>
    <w:rsid w:val="00AC792D"/>
    <w:rsid w:val="00AD0C2C"/>
    <w:rsid w:val="00AD1679"/>
    <w:rsid w:val="00AD42EC"/>
    <w:rsid w:val="00AE42A1"/>
    <w:rsid w:val="00AF1F1F"/>
    <w:rsid w:val="00AF6270"/>
    <w:rsid w:val="00AF7553"/>
    <w:rsid w:val="00B02700"/>
    <w:rsid w:val="00B0521C"/>
    <w:rsid w:val="00B226EC"/>
    <w:rsid w:val="00B25A4C"/>
    <w:rsid w:val="00B278C1"/>
    <w:rsid w:val="00B3108B"/>
    <w:rsid w:val="00B332A6"/>
    <w:rsid w:val="00B5198B"/>
    <w:rsid w:val="00B52E25"/>
    <w:rsid w:val="00B55E7D"/>
    <w:rsid w:val="00B60346"/>
    <w:rsid w:val="00B6102F"/>
    <w:rsid w:val="00B61328"/>
    <w:rsid w:val="00B657B8"/>
    <w:rsid w:val="00B6598A"/>
    <w:rsid w:val="00B84512"/>
    <w:rsid w:val="00B84920"/>
    <w:rsid w:val="00B8556A"/>
    <w:rsid w:val="00B858E5"/>
    <w:rsid w:val="00B85FF4"/>
    <w:rsid w:val="00B9502E"/>
    <w:rsid w:val="00B95F42"/>
    <w:rsid w:val="00B96753"/>
    <w:rsid w:val="00BA1481"/>
    <w:rsid w:val="00BA3AC4"/>
    <w:rsid w:val="00BA48C5"/>
    <w:rsid w:val="00BB41CE"/>
    <w:rsid w:val="00BB6949"/>
    <w:rsid w:val="00BC1230"/>
    <w:rsid w:val="00BC5487"/>
    <w:rsid w:val="00BC5D3A"/>
    <w:rsid w:val="00BC7DDD"/>
    <w:rsid w:val="00BD59D1"/>
    <w:rsid w:val="00BF0300"/>
    <w:rsid w:val="00BF031F"/>
    <w:rsid w:val="00BF14A5"/>
    <w:rsid w:val="00BF1703"/>
    <w:rsid w:val="00C012A3"/>
    <w:rsid w:val="00C05AE2"/>
    <w:rsid w:val="00C07CEA"/>
    <w:rsid w:val="00C16F19"/>
    <w:rsid w:val="00C24455"/>
    <w:rsid w:val="00C3022E"/>
    <w:rsid w:val="00C30D1A"/>
    <w:rsid w:val="00C30EB1"/>
    <w:rsid w:val="00C358B4"/>
    <w:rsid w:val="00C52A7B"/>
    <w:rsid w:val="00C61250"/>
    <w:rsid w:val="00C6324C"/>
    <w:rsid w:val="00C679AA"/>
    <w:rsid w:val="00C724CF"/>
    <w:rsid w:val="00C74FF2"/>
    <w:rsid w:val="00C75972"/>
    <w:rsid w:val="00C82792"/>
    <w:rsid w:val="00C90241"/>
    <w:rsid w:val="00C948FD"/>
    <w:rsid w:val="00C95394"/>
    <w:rsid w:val="00CA2851"/>
    <w:rsid w:val="00CB062A"/>
    <w:rsid w:val="00CB1546"/>
    <w:rsid w:val="00CB2220"/>
    <w:rsid w:val="00CB43D5"/>
    <w:rsid w:val="00CB472D"/>
    <w:rsid w:val="00CB4E82"/>
    <w:rsid w:val="00CB5BAB"/>
    <w:rsid w:val="00CB6A1A"/>
    <w:rsid w:val="00CC0D56"/>
    <w:rsid w:val="00CC1E7C"/>
    <w:rsid w:val="00CC463F"/>
    <w:rsid w:val="00CC76F9"/>
    <w:rsid w:val="00CD066B"/>
    <w:rsid w:val="00CD1181"/>
    <w:rsid w:val="00CD1DAD"/>
    <w:rsid w:val="00CD3ECE"/>
    <w:rsid w:val="00CD41D2"/>
    <w:rsid w:val="00CD43E8"/>
    <w:rsid w:val="00CD46E2"/>
    <w:rsid w:val="00CD5679"/>
    <w:rsid w:val="00CE6C11"/>
    <w:rsid w:val="00CF7A49"/>
    <w:rsid w:val="00D00AA7"/>
    <w:rsid w:val="00D00D0B"/>
    <w:rsid w:val="00D04B69"/>
    <w:rsid w:val="00D106CD"/>
    <w:rsid w:val="00D1290E"/>
    <w:rsid w:val="00D12C6E"/>
    <w:rsid w:val="00D15BC5"/>
    <w:rsid w:val="00D17FBC"/>
    <w:rsid w:val="00D27A04"/>
    <w:rsid w:val="00D309FA"/>
    <w:rsid w:val="00D40420"/>
    <w:rsid w:val="00D414DB"/>
    <w:rsid w:val="00D44527"/>
    <w:rsid w:val="00D529CB"/>
    <w:rsid w:val="00D537FA"/>
    <w:rsid w:val="00D551C1"/>
    <w:rsid w:val="00D62645"/>
    <w:rsid w:val="00D80D99"/>
    <w:rsid w:val="00D8341C"/>
    <w:rsid w:val="00D854A4"/>
    <w:rsid w:val="00D8732D"/>
    <w:rsid w:val="00D9503C"/>
    <w:rsid w:val="00D96DE5"/>
    <w:rsid w:val="00D97881"/>
    <w:rsid w:val="00DA1CCF"/>
    <w:rsid w:val="00DA4C17"/>
    <w:rsid w:val="00DA4E3B"/>
    <w:rsid w:val="00DC30A6"/>
    <w:rsid w:val="00DD73EF"/>
    <w:rsid w:val="00DE0D8E"/>
    <w:rsid w:val="00DE23E8"/>
    <w:rsid w:val="00DE383D"/>
    <w:rsid w:val="00DE4EDA"/>
    <w:rsid w:val="00DF187F"/>
    <w:rsid w:val="00DF3F7D"/>
    <w:rsid w:val="00E0128B"/>
    <w:rsid w:val="00E02957"/>
    <w:rsid w:val="00E02A89"/>
    <w:rsid w:val="00E05371"/>
    <w:rsid w:val="00E078FC"/>
    <w:rsid w:val="00E11C78"/>
    <w:rsid w:val="00E12C09"/>
    <w:rsid w:val="00E172A2"/>
    <w:rsid w:val="00E35C49"/>
    <w:rsid w:val="00E545F2"/>
    <w:rsid w:val="00E60DD8"/>
    <w:rsid w:val="00E64E17"/>
    <w:rsid w:val="00E65335"/>
    <w:rsid w:val="00E76914"/>
    <w:rsid w:val="00E77E8A"/>
    <w:rsid w:val="00E852EA"/>
    <w:rsid w:val="00E878E2"/>
    <w:rsid w:val="00E90598"/>
    <w:rsid w:val="00E9144C"/>
    <w:rsid w:val="00E93694"/>
    <w:rsid w:val="00EA3D3C"/>
    <w:rsid w:val="00EC3CB7"/>
    <w:rsid w:val="00EC61D5"/>
    <w:rsid w:val="00EC7CC3"/>
    <w:rsid w:val="00EE6300"/>
    <w:rsid w:val="00EE7AD8"/>
    <w:rsid w:val="00EF76F2"/>
    <w:rsid w:val="00F04435"/>
    <w:rsid w:val="00F119C5"/>
    <w:rsid w:val="00F11BA1"/>
    <w:rsid w:val="00F254A4"/>
    <w:rsid w:val="00F25E16"/>
    <w:rsid w:val="00F27CE7"/>
    <w:rsid w:val="00F30A0F"/>
    <w:rsid w:val="00F43922"/>
    <w:rsid w:val="00F46494"/>
    <w:rsid w:val="00F500EC"/>
    <w:rsid w:val="00F511EF"/>
    <w:rsid w:val="00F53E6A"/>
    <w:rsid w:val="00F558AB"/>
    <w:rsid w:val="00F56D3B"/>
    <w:rsid w:val="00F61D89"/>
    <w:rsid w:val="00F720F2"/>
    <w:rsid w:val="00F7664B"/>
    <w:rsid w:val="00F86ABB"/>
    <w:rsid w:val="00F91A9B"/>
    <w:rsid w:val="00F93228"/>
    <w:rsid w:val="00F96E72"/>
    <w:rsid w:val="00F97039"/>
    <w:rsid w:val="00FA1E1B"/>
    <w:rsid w:val="00FA27BF"/>
    <w:rsid w:val="00FB2384"/>
    <w:rsid w:val="00FB4469"/>
    <w:rsid w:val="00FC45AC"/>
    <w:rsid w:val="00FD0433"/>
    <w:rsid w:val="00FD3CC5"/>
    <w:rsid w:val="00FD40D0"/>
    <w:rsid w:val="00FD74FF"/>
    <w:rsid w:val="00FD7648"/>
    <w:rsid w:val="00FE2770"/>
    <w:rsid w:val="00FE2815"/>
    <w:rsid w:val="09077126"/>
    <w:rsid w:val="0A078FD2"/>
    <w:rsid w:val="117B393D"/>
    <w:rsid w:val="12A122C8"/>
    <w:rsid w:val="13385BC9"/>
    <w:rsid w:val="1483484A"/>
    <w:rsid w:val="1E84421F"/>
    <w:rsid w:val="2BC30D62"/>
    <w:rsid w:val="3716DFB9"/>
    <w:rsid w:val="39750A68"/>
    <w:rsid w:val="3AB11FDC"/>
    <w:rsid w:val="49812D17"/>
    <w:rsid w:val="4B23208F"/>
    <w:rsid w:val="4CA44567"/>
    <w:rsid w:val="550B07DD"/>
    <w:rsid w:val="56F0042E"/>
    <w:rsid w:val="5775846D"/>
    <w:rsid w:val="6B6496CA"/>
    <w:rsid w:val="7A01ED3F"/>
    <w:rsid w:val="7CC144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EastAsia" w:hAnsi="Cambria" w:cs="Cambria"/>
        <w:lang w:val="en-PH" w:eastAsia="en-P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semiHidden="0" w:uiPriority="2" w:unhideWhenUsed="0" w:qFormat="1"/>
    <w:lsdException w:name="heading 3" w:semiHidden="0" w:uiPriority="2" w:unhideWhenUsed="0" w:qFormat="1"/>
    <w:lsdException w:name="heading 4" w:semiHidden="0" w:uiPriority="2" w:unhideWhenUsed="0" w:qFormat="1"/>
    <w:lsdException w:name="heading 5" w:semiHidden="0" w:uiPriority="2"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semiHidden="0" w:uiPriority="39"/>
    <w:lsdException w:name="toc 2" w:uiPriority="39"/>
    <w:lsdException w:name="toc 3" w:uiPriority="39" w:qFormat="1"/>
    <w:lsdException w:name="toc 4" w:uiPriority="39"/>
    <w:lsdException w:name="toc 5" w:uiPriority="39" w:qFormat="1"/>
    <w:lsdException w:name="toc 6" w:uiPriority="39" w:qFormat="1"/>
    <w:lsdException w:name="toc 7" w:uiPriority="39"/>
    <w:lsdException w:name="toc 8" w:uiPriority="39" w:qFormat="1"/>
    <w:lsdException w:name="toc 9" w:uiPriority="39"/>
    <w:lsdException w:name="footnote text" w:qFormat="1"/>
    <w:lsdException w:name="annotation text" w:qFormat="1"/>
    <w:lsdException w:name="header" w:semiHidden="0" w:qFormat="1"/>
    <w:lsdException w:name="footer" w:semiHidden="0" w:qFormat="1"/>
    <w:lsdException w:name="caption" w:semiHidden="0" w:uiPriority="35" w:qFormat="1"/>
    <w:lsdException w:name="footnote reference" w:qFormat="1"/>
    <w:lsdException w:name="annotation reference" w:qFormat="1"/>
    <w:lsdException w:name="line number" w:qFormat="1"/>
    <w:lsdException w:name="endnote reference" w:qFormat="1"/>
    <w:lsdException w:name="endnote text" w:qFormat="1"/>
    <w:lsdException w:name="Title" w:semiHidden="0" w:uiPriority="0" w:unhideWhenUsed="0" w:qFormat="1"/>
    <w:lsdException w:name="Default Paragraph Font" w:uiPriority="1" w:qFormat="1"/>
    <w:lsdException w:name="Subtitle" w:semiHidden="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59" w:unhideWhenUsed="0" w:qFormat="1"/>
    <w:lsdException w:name="No Spacing"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240"/>
    </w:pPr>
    <w:rPr>
      <w:rFonts w:ascii="Times New Roman" w:hAnsi="Times New Roman" w:cstheme="minorBidi"/>
      <w:sz w:val="24"/>
      <w:szCs w:val="22"/>
      <w:lang w:val="en-US" w:eastAsia="en-US"/>
    </w:rPr>
  </w:style>
  <w:style w:type="paragraph" w:styleId="Heading1">
    <w:name w:val="heading 1"/>
    <w:basedOn w:val="ListParagraph"/>
    <w:next w:val="Normal"/>
    <w:link w:val="Heading1Char"/>
    <w:uiPriority w:val="2"/>
    <w:qFormat/>
    <w:pPr>
      <w:numPr>
        <w:numId w:val="1"/>
      </w:numPr>
      <w:spacing w:before="240"/>
      <w:contextualSpacing w:val="0"/>
      <w:outlineLvl w:val="0"/>
    </w:pPr>
    <w:rPr>
      <w:b/>
    </w:rPr>
  </w:style>
  <w:style w:type="paragraph" w:styleId="Heading2">
    <w:name w:val="heading 2"/>
    <w:basedOn w:val="Heading1"/>
    <w:next w:val="Normal"/>
    <w:link w:val="Heading2Char"/>
    <w:uiPriority w:val="2"/>
    <w:qFormat/>
    <w:pPr>
      <w:numPr>
        <w:ilvl w:val="1"/>
      </w:numPr>
      <w:spacing w:after="200"/>
      <w:outlineLvl w:val="1"/>
    </w:pPr>
  </w:style>
  <w:style w:type="paragraph" w:styleId="Heading3">
    <w:name w:val="heading 3"/>
    <w:basedOn w:val="Normal"/>
    <w:next w:val="Normal"/>
    <w:link w:val="Heading3Char"/>
    <w:uiPriority w:val="2"/>
    <w:qFormat/>
    <w:pPr>
      <w:keepNext/>
      <w:keepLines/>
      <w:numPr>
        <w:ilvl w:val="2"/>
        <w:numId w:val="1"/>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pPr>
      <w:numPr>
        <w:ilvl w:val="3"/>
      </w:numPr>
      <w:outlineLvl w:val="3"/>
    </w:pPr>
    <w:rPr>
      <w:iCs/>
    </w:rPr>
  </w:style>
  <w:style w:type="paragraph" w:styleId="Heading5">
    <w:name w:val="heading 5"/>
    <w:basedOn w:val="Heading4"/>
    <w:next w:val="Normal"/>
    <w:link w:val="Heading5Char"/>
    <w:uiPriority w:val="2"/>
    <w:qFormat/>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numPr>
        <w:numId w:val="2"/>
      </w:numPr>
      <w:ind w:left="1434" w:hanging="357"/>
      <w:contextualSpacing/>
    </w:pPr>
    <w:rPr>
      <w:rFonts w:eastAsia="Cambria" w:cs="Times New Roman"/>
      <w:szCs w:val="24"/>
    </w:rPr>
  </w:style>
  <w:style w:type="paragraph" w:styleId="TOC7">
    <w:name w:val="toc 7"/>
    <w:basedOn w:val="Normal"/>
    <w:next w:val="Normal"/>
    <w:autoRedefine/>
    <w:uiPriority w:val="39"/>
    <w:semiHidden/>
    <w:unhideWhenUsed/>
    <w:pPr>
      <w:spacing w:before="0" w:after="0"/>
      <w:ind w:left="1440"/>
    </w:pPr>
    <w:rPr>
      <w:rFonts w:asciiTheme="minorHAnsi" w:hAnsiTheme="minorHAnsi" w:cstheme="minorHAnsi"/>
      <w:sz w:val="20"/>
      <w:szCs w:val="20"/>
    </w:rPr>
  </w:style>
  <w:style w:type="paragraph" w:styleId="Caption">
    <w:name w:val="caption"/>
    <w:basedOn w:val="Normal"/>
    <w:next w:val="NoSpacing"/>
    <w:uiPriority w:val="35"/>
    <w:unhideWhenUsed/>
    <w:qFormat/>
    <w:pPr>
      <w:keepNext/>
    </w:pPr>
    <w:rPr>
      <w:rFonts w:cs="Times New Roman"/>
      <w:b/>
      <w:bCs/>
      <w:szCs w:val="24"/>
    </w:rPr>
  </w:style>
  <w:style w:type="paragraph" w:styleId="NoSpacing">
    <w:name w:val="No Spacing"/>
    <w:autoRedefine/>
    <w:uiPriority w:val="99"/>
    <w:unhideWhenUsed/>
    <w:qFormat/>
    <w:rPr>
      <w:rFonts w:ascii="Times New Roman" w:hAnsi="Times New Roman" w:cstheme="minorBidi"/>
      <w:sz w:val="24"/>
      <w:szCs w:val="22"/>
      <w:lang w:val="en-US" w:eastAsia="en-US"/>
    </w:rPr>
  </w:style>
  <w:style w:type="paragraph" w:styleId="CommentText">
    <w:name w:val="annotation text"/>
    <w:basedOn w:val="Normal"/>
    <w:link w:val="CommentTextChar"/>
    <w:autoRedefine/>
    <w:uiPriority w:val="99"/>
    <w:semiHidden/>
    <w:unhideWhenUsed/>
    <w:qFormat/>
    <w:rPr>
      <w:sz w:val="20"/>
      <w:szCs w:val="20"/>
    </w:rPr>
  </w:style>
  <w:style w:type="paragraph" w:styleId="TOC5">
    <w:name w:val="toc 5"/>
    <w:basedOn w:val="Normal"/>
    <w:next w:val="Normal"/>
    <w:autoRedefine/>
    <w:uiPriority w:val="39"/>
    <w:semiHidden/>
    <w:unhideWhenUsed/>
    <w:qFormat/>
    <w:pPr>
      <w:spacing w:before="0" w:after="0"/>
      <w:ind w:left="960"/>
    </w:pPr>
    <w:rPr>
      <w:rFonts w:asciiTheme="minorHAnsi" w:hAnsiTheme="minorHAnsi" w:cstheme="minorHAnsi"/>
      <w:sz w:val="20"/>
      <w:szCs w:val="20"/>
    </w:rPr>
  </w:style>
  <w:style w:type="paragraph" w:styleId="TOC3">
    <w:name w:val="toc 3"/>
    <w:basedOn w:val="Normal"/>
    <w:next w:val="Normal"/>
    <w:autoRedefine/>
    <w:uiPriority w:val="39"/>
    <w:semiHidden/>
    <w:unhideWhenUsed/>
    <w:qFormat/>
    <w:pPr>
      <w:spacing w:before="0" w:after="0"/>
      <w:ind w:left="480"/>
    </w:pPr>
    <w:rPr>
      <w:rFonts w:asciiTheme="minorHAnsi" w:hAnsiTheme="minorHAnsi" w:cstheme="minorHAnsi"/>
      <w:sz w:val="20"/>
      <w:szCs w:val="20"/>
    </w:rPr>
  </w:style>
  <w:style w:type="paragraph" w:styleId="TOC8">
    <w:name w:val="toc 8"/>
    <w:basedOn w:val="Normal"/>
    <w:next w:val="Normal"/>
    <w:autoRedefine/>
    <w:uiPriority w:val="39"/>
    <w:semiHidden/>
    <w:unhideWhenUsed/>
    <w:qFormat/>
    <w:pPr>
      <w:spacing w:before="0" w:after="0"/>
      <w:ind w:left="1680"/>
    </w:pPr>
    <w:rPr>
      <w:rFonts w:asciiTheme="minorHAnsi" w:hAnsiTheme="minorHAnsi" w:cstheme="minorHAnsi"/>
      <w:sz w:val="20"/>
      <w:szCs w:val="20"/>
    </w:rPr>
  </w:style>
  <w:style w:type="paragraph" w:styleId="EndnoteText">
    <w:name w:val="endnote text"/>
    <w:basedOn w:val="Normal"/>
    <w:link w:val="EndnoteTextChar"/>
    <w:autoRedefine/>
    <w:uiPriority w:val="99"/>
    <w:semiHidden/>
    <w:unhideWhenUsed/>
    <w:qFormat/>
    <w:pPr>
      <w:spacing w:after="0"/>
    </w:pPr>
    <w:rPr>
      <w:sz w:val="20"/>
      <w:szCs w:val="20"/>
    </w:rPr>
  </w:style>
  <w:style w:type="paragraph" w:styleId="BalloonText">
    <w:name w:val="Balloon Text"/>
    <w:basedOn w:val="Normal"/>
    <w:link w:val="BalloonTextChar"/>
    <w:uiPriority w:val="99"/>
    <w:semiHidden/>
    <w:unhideWhenUsed/>
    <w:qFormat/>
    <w:pPr>
      <w:spacing w:after="0"/>
    </w:pPr>
    <w:rPr>
      <w:rFonts w:ascii="Tahoma" w:hAnsi="Tahoma" w:cs="Tahoma"/>
      <w:sz w:val="16"/>
      <w:szCs w:val="16"/>
    </w:rPr>
  </w:style>
  <w:style w:type="paragraph" w:styleId="Footer">
    <w:name w:val="footer"/>
    <w:basedOn w:val="Normal"/>
    <w:link w:val="FooterChar"/>
    <w:uiPriority w:val="99"/>
    <w:unhideWhenUsed/>
    <w:qFormat/>
    <w:pPr>
      <w:tabs>
        <w:tab w:val="center" w:pos="4844"/>
        <w:tab w:val="right" w:pos="9689"/>
      </w:tabs>
      <w:spacing w:after="0"/>
    </w:pPr>
  </w:style>
  <w:style w:type="paragraph" w:styleId="Header">
    <w:name w:val="header"/>
    <w:basedOn w:val="Normal"/>
    <w:link w:val="HeaderChar"/>
    <w:uiPriority w:val="99"/>
    <w:unhideWhenUsed/>
    <w:qFormat/>
    <w:pPr>
      <w:tabs>
        <w:tab w:val="center" w:pos="4844"/>
        <w:tab w:val="right" w:pos="9689"/>
      </w:tabs>
    </w:pPr>
    <w:rPr>
      <w:b/>
    </w:rPr>
  </w:style>
  <w:style w:type="paragraph" w:styleId="TOC1">
    <w:name w:val="toc 1"/>
    <w:basedOn w:val="Normal"/>
    <w:next w:val="Normal"/>
    <w:autoRedefine/>
    <w:uiPriority w:val="39"/>
    <w:unhideWhenUsed/>
    <w:pPr>
      <w:spacing w:after="0"/>
    </w:pPr>
    <w:rPr>
      <w:rFonts w:asciiTheme="minorHAnsi" w:hAnsiTheme="minorHAnsi" w:cstheme="minorHAnsi"/>
      <w:b/>
      <w:bCs/>
      <w:i/>
      <w:iCs/>
      <w:szCs w:val="24"/>
    </w:rPr>
  </w:style>
  <w:style w:type="paragraph" w:styleId="TOC4">
    <w:name w:val="toc 4"/>
    <w:basedOn w:val="Normal"/>
    <w:next w:val="Normal"/>
    <w:autoRedefine/>
    <w:uiPriority w:val="39"/>
    <w:semiHidden/>
    <w:unhideWhenUsed/>
    <w:pPr>
      <w:spacing w:before="0" w:after="0"/>
      <w:ind w:left="720"/>
    </w:pPr>
    <w:rPr>
      <w:rFonts w:asciiTheme="minorHAnsi" w:hAnsiTheme="minorHAnsi" w:cstheme="minorHAnsi"/>
      <w:sz w:val="20"/>
      <w:szCs w:val="20"/>
    </w:rPr>
  </w:style>
  <w:style w:type="paragraph" w:styleId="Subtitle">
    <w:name w:val="Subtitle"/>
    <w:basedOn w:val="Normal"/>
    <w:next w:val="Normal"/>
    <w:link w:val="SubtitleChar"/>
    <w:autoRedefine/>
    <w:uiPriority w:val="99"/>
    <w:unhideWhenUsed/>
    <w:qFormat/>
    <w:pPr>
      <w:spacing w:before="240"/>
    </w:pPr>
    <w:rPr>
      <w:rFonts w:cs="Times New Roman"/>
      <w:b/>
      <w:szCs w:val="24"/>
    </w:rPr>
  </w:style>
  <w:style w:type="paragraph" w:styleId="FootnoteText">
    <w:name w:val="footnote text"/>
    <w:basedOn w:val="Normal"/>
    <w:link w:val="FootnoteTextChar"/>
    <w:uiPriority w:val="99"/>
    <w:semiHidden/>
    <w:unhideWhenUsed/>
    <w:qFormat/>
    <w:pPr>
      <w:spacing w:after="0"/>
    </w:pPr>
    <w:rPr>
      <w:sz w:val="20"/>
      <w:szCs w:val="20"/>
    </w:rPr>
  </w:style>
  <w:style w:type="paragraph" w:styleId="TOC6">
    <w:name w:val="toc 6"/>
    <w:basedOn w:val="Normal"/>
    <w:next w:val="Normal"/>
    <w:autoRedefine/>
    <w:uiPriority w:val="39"/>
    <w:semiHidden/>
    <w:unhideWhenUsed/>
    <w:qFormat/>
    <w:pPr>
      <w:spacing w:before="0" w:after="0"/>
      <w:ind w:left="1200"/>
    </w:pPr>
    <w:rPr>
      <w:rFonts w:asciiTheme="minorHAnsi" w:hAnsiTheme="minorHAnsi" w:cstheme="minorHAnsi"/>
      <w:sz w:val="20"/>
      <w:szCs w:val="20"/>
    </w:rPr>
  </w:style>
  <w:style w:type="paragraph" w:styleId="TOC2">
    <w:name w:val="toc 2"/>
    <w:basedOn w:val="Normal"/>
    <w:next w:val="Normal"/>
    <w:autoRedefine/>
    <w:uiPriority w:val="39"/>
    <w:semiHidden/>
    <w:unhideWhenUsed/>
    <w:pPr>
      <w:spacing w:after="0"/>
      <w:ind w:left="240"/>
    </w:pPr>
    <w:rPr>
      <w:rFonts w:asciiTheme="minorHAnsi" w:hAnsiTheme="minorHAnsi" w:cstheme="minorHAnsi"/>
      <w:b/>
      <w:bCs/>
      <w:sz w:val="22"/>
    </w:rPr>
  </w:style>
  <w:style w:type="paragraph" w:styleId="TOC9">
    <w:name w:val="toc 9"/>
    <w:basedOn w:val="Normal"/>
    <w:next w:val="Normal"/>
    <w:autoRedefine/>
    <w:uiPriority w:val="39"/>
    <w:semiHidden/>
    <w:unhideWhenUsed/>
    <w:pPr>
      <w:spacing w:before="0" w:after="0"/>
      <w:ind w:left="1920"/>
    </w:pPr>
    <w:rPr>
      <w:rFonts w:asciiTheme="minorHAnsi" w:hAnsiTheme="minorHAnsi" w:cstheme="minorHAnsi"/>
      <w:sz w:val="20"/>
      <w:szCs w:val="20"/>
    </w:rPr>
  </w:style>
  <w:style w:type="paragraph" w:styleId="NormalWeb">
    <w:name w:val="Normal (Web)"/>
    <w:basedOn w:val="Normal"/>
    <w:uiPriority w:val="99"/>
    <w:unhideWhenUsed/>
    <w:qFormat/>
    <w:pPr>
      <w:spacing w:before="100" w:beforeAutospacing="1" w:after="100" w:afterAutospacing="1"/>
    </w:pPr>
    <w:rPr>
      <w:rFonts w:eastAsia="Times New Roman" w:cs="Times New Roman"/>
      <w:szCs w:val="24"/>
    </w:rPr>
  </w:style>
  <w:style w:type="paragraph" w:styleId="Title">
    <w:name w:val="Title"/>
    <w:basedOn w:val="Normal"/>
    <w:next w:val="Normal"/>
    <w:link w:val="TitleChar"/>
    <w:autoRedefine/>
    <w:qFormat/>
    <w:pPr>
      <w:suppressLineNumbers/>
      <w:spacing w:before="240" w:after="360"/>
      <w:jc w:val="center"/>
    </w:pPr>
    <w:rPr>
      <w:rFonts w:eastAsia="Arial" w:cs="Times New Roman"/>
      <w:b/>
      <w:sz w:val="28"/>
      <w:szCs w:val="28"/>
    </w:rPr>
  </w:style>
  <w:style w:type="paragraph" w:styleId="CommentSubject">
    <w:name w:val="annotation subject"/>
    <w:basedOn w:val="CommentText"/>
    <w:next w:val="CommentText"/>
    <w:link w:val="CommentSubjectChar"/>
    <w:autoRedefine/>
    <w:uiPriority w:val="99"/>
    <w:semiHidden/>
    <w:unhideWhenUsed/>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rFonts w:ascii="Times New Roman" w:hAnsi="Times New Roman"/>
      <w:b/>
      <w:bCs/>
    </w:rPr>
  </w:style>
  <w:style w:type="character" w:styleId="EndnoteReference">
    <w:name w:val="endnote reference"/>
    <w:basedOn w:val="DefaultParagraphFont"/>
    <w:autoRedefine/>
    <w:uiPriority w:val="99"/>
    <w:semiHidden/>
    <w:unhideWhenUsed/>
    <w:qFormat/>
    <w:rPr>
      <w:vertAlign w:val="superscript"/>
    </w:rPr>
  </w:style>
  <w:style w:type="character" w:styleId="FollowedHyperlink">
    <w:name w:val="FollowedHyperlink"/>
    <w:basedOn w:val="DefaultParagraphFont"/>
    <w:autoRedefine/>
    <w:uiPriority w:val="99"/>
    <w:semiHidden/>
    <w:unhideWhenUsed/>
    <w:qFormat/>
    <w:rPr>
      <w:color w:val="800080" w:themeColor="followedHyperlink"/>
      <w:u w:val="single"/>
    </w:rPr>
  </w:style>
  <w:style w:type="character" w:styleId="Emphasis">
    <w:name w:val="Emphasis"/>
    <w:basedOn w:val="DefaultParagraphFont"/>
    <w:uiPriority w:val="20"/>
    <w:qFormat/>
    <w:rPr>
      <w:rFonts w:ascii="Times New Roman" w:hAnsi="Times New Roman"/>
      <w:i/>
      <w:iCs/>
    </w:rPr>
  </w:style>
  <w:style w:type="character" w:styleId="LineNumber">
    <w:name w:val="line number"/>
    <w:basedOn w:val="DefaultParagraphFont"/>
    <w:autoRedefine/>
    <w:uiPriority w:val="99"/>
    <w:semiHidden/>
    <w:unhideWhenUsed/>
    <w:qFormat/>
  </w:style>
  <w:style w:type="character" w:styleId="Hyperlink">
    <w:name w:val="Hyperlink"/>
    <w:basedOn w:val="DefaultParagraphFont"/>
    <w:autoRedefine/>
    <w:uiPriority w:val="99"/>
    <w:unhideWhenUsed/>
    <w:qFormat/>
    <w:rPr>
      <w:color w:val="0000FF"/>
      <w:u w:val="single"/>
    </w:rPr>
  </w:style>
  <w:style w:type="character" w:styleId="HTMLCode">
    <w:name w:val="HTML Code"/>
    <w:basedOn w:val="DefaultParagraphFont"/>
    <w:uiPriority w:val="99"/>
    <w:semiHidden/>
    <w:unhideWhenUsed/>
    <w:rPr>
      <w:rFonts w:ascii="Courier New" w:eastAsia="Times New Roman" w:hAnsi="Courier New" w:cs="Courier New"/>
      <w:sz w:val="20"/>
      <w:szCs w:val="20"/>
    </w:rPr>
  </w:style>
  <w:style w:type="character" w:styleId="CommentReference">
    <w:name w:val="annotation reference"/>
    <w:basedOn w:val="DefaultParagraphFont"/>
    <w:autoRedefine/>
    <w:uiPriority w:val="99"/>
    <w:semiHidden/>
    <w:unhideWhenUsed/>
    <w:qFormat/>
    <w:rPr>
      <w:sz w:val="16"/>
      <w:szCs w:val="16"/>
    </w:rPr>
  </w:style>
  <w:style w:type="character" w:styleId="FootnoteReference">
    <w:name w:val="footnote reference"/>
    <w:basedOn w:val="DefaultParagraphFont"/>
    <w:uiPriority w:val="99"/>
    <w:semiHidden/>
    <w:unhideWhenUsed/>
    <w:qFormat/>
    <w:rPr>
      <w:vertAlign w:val="superscript"/>
    </w:rPr>
  </w:style>
  <w:style w:type="character" w:customStyle="1" w:styleId="Heading1Char">
    <w:name w:val="Heading 1 Char"/>
    <w:basedOn w:val="DefaultParagraphFont"/>
    <w:link w:val="Heading1"/>
    <w:uiPriority w:val="2"/>
    <w:qFormat/>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qFormat/>
    <w:rPr>
      <w:rFonts w:ascii="Times New Roman" w:eastAsia="Cambria" w:hAnsi="Times New Roman" w:cs="Times New Roman"/>
      <w:b/>
      <w:sz w:val="24"/>
      <w:szCs w:val="24"/>
    </w:rPr>
  </w:style>
  <w:style w:type="character" w:customStyle="1" w:styleId="HeaderChar">
    <w:name w:val="Header Char"/>
    <w:basedOn w:val="DefaultParagraphFont"/>
    <w:link w:val="Header"/>
    <w:uiPriority w:val="99"/>
    <w:qFormat/>
    <w:rPr>
      <w:rFonts w:ascii="Times New Roman" w:hAnsi="Times New Roman"/>
      <w:b/>
      <w:sz w:val="24"/>
    </w:rPr>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EndnoteTextChar">
    <w:name w:val="Endnote Text Char"/>
    <w:basedOn w:val="DefaultParagraphFont"/>
    <w:link w:val="EndnoteText"/>
    <w:autoRedefine/>
    <w:uiPriority w:val="99"/>
    <w:semiHidden/>
    <w:qFormat/>
    <w:rPr>
      <w:sz w:val="20"/>
      <w:szCs w:val="20"/>
    </w:rPr>
  </w:style>
  <w:style w:type="character" w:customStyle="1" w:styleId="CommentTextChar">
    <w:name w:val="Comment Text Char"/>
    <w:basedOn w:val="DefaultParagraphFont"/>
    <w:link w:val="CommentText"/>
    <w:autoRedefine/>
    <w:uiPriority w:val="99"/>
    <w:semiHidden/>
    <w:qFormat/>
    <w:rPr>
      <w:sz w:val="20"/>
      <w:szCs w:val="20"/>
    </w:rPr>
  </w:style>
  <w:style w:type="character" w:customStyle="1" w:styleId="CommentSubjectChar">
    <w:name w:val="Comment Subject Char"/>
    <w:basedOn w:val="CommentTextChar"/>
    <w:link w:val="CommentSubject"/>
    <w:autoRedefine/>
    <w:uiPriority w:val="99"/>
    <w:semiHidden/>
    <w:qFormat/>
    <w:rPr>
      <w:b/>
      <w:bCs/>
      <w:sz w:val="20"/>
      <w:szCs w:val="20"/>
    </w:rPr>
  </w:style>
  <w:style w:type="character" w:customStyle="1" w:styleId="TitleChar">
    <w:name w:val="Title Char"/>
    <w:basedOn w:val="DefaultParagraphFont"/>
    <w:link w:val="Title"/>
    <w:autoRedefine/>
    <w:qFormat/>
    <w:rPr>
      <w:rFonts w:ascii="Times New Roman" w:eastAsia="Arial" w:hAnsi="Times New Roman" w:cs="Times New Roman"/>
      <w:b/>
      <w:sz w:val="28"/>
      <w:szCs w:val="28"/>
      <w:lang w:eastAsia="en-US"/>
    </w:rPr>
  </w:style>
  <w:style w:type="character" w:customStyle="1" w:styleId="SubtitleChar">
    <w:name w:val="Subtitle Char"/>
    <w:basedOn w:val="DefaultParagraphFont"/>
    <w:link w:val="Subtitle"/>
    <w:autoRedefine/>
    <w:uiPriority w:val="99"/>
    <w:qFormat/>
    <w:rPr>
      <w:rFonts w:ascii="Times New Roman" w:hAnsi="Times New Roman" w:cs="Times New Roman"/>
      <w:b/>
      <w:sz w:val="24"/>
      <w:szCs w:val="24"/>
    </w:rPr>
  </w:style>
  <w:style w:type="character" w:customStyle="1" w:styleId="Heading3Char">
    <w:name w:val="Heading 3 Char"/>
    <w:basedOn w:val="DefaultParagraphFont"/>
    <w:link w:val="Heading3"/>
    <w:autoRedefine/>
    <w:uiPriority w:val="2"/>
    <w:qFormat/>
    <w:rPr>
      <w:rFonts w:ascii="Times New Roman" w:eastAsiaTheme="majorEastAsia" w:hAnsi="Times New Roman" w:cstheme="majorBidi"/>
      <w:b/>
      <w:sz w:val="24"/>
      <w:szCs w:val="24"/>
    </w:rPr>
  </w:style>
  <w:style w:type="character" w:customStyle="1" w:styleId="Heading4Char">
    <w:name w:val="Heading 4 Char"/>
    <w:basedOn w:val="DefaultParagraphFont"/>
    <w:link w:val="Heading4"/>
    <w:autoRedefine/>
    <w:uiPriority w:val="2"/>
    <w:qFormat/>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autoRedefine/>
    <w:uiPriority w:val="2"/>
    <w:qFormat/>
    <w:rPr>
      <w:rFonts w:ascii="Times New Roman" w:eastAsiaTheme="majorEastAsia" w:hAnsi="Times New Roman" w:cstheme="majorBidi"/>
      <w:b/>
      <w:iCs/>
      <w:sz w:val="24"/>
      <w:szCs w:val="24"/>
    </w:rPr>
  </w:style>
  <w:style w:type="paragraph" w:customStyle="1" w:styleId="AuthorList">
    <w:name w:val="Author List"/>
    <w:basedOn w:val="Subtitle"/>
    <w:next w:val="Normal"/>
    <w:autoRedefine/>
    <w:uiPriority w:val="1"/>
    <w:qFormat/>
  </w:style>
  <w:style w:type="character" w:customStyle="1" w:styleId="1">
    <w:name w:val="不明显强调1"/>
    <w:basedOn w:val="DefaultParagraphFont"/>
    <w:autoRedefine/>
    <w:uiPriority w:val="19"/>
    <w:qFormat/>
    <w:rPr>
      <w:rFonts w:ascii="Times New Roman" w:hAnsi="Times New Roman"/>
      <w:i/>
      <w:iCs/>
      <w:color w:val="404040" w:themeColor="text1" w:themeTint="BF"/>
    </w:rPr>
  </w:style>
  <w:style w:type="character" w:customStyle="1" w:styleId="10">
    <w:name w:val="明显强调1"/>
    <w:basedOn w:val="DefaultParagraphFont"/>
    <w:autoRedefine/>
    <w:uiPriority w:val="21"/>
    <w:unhideWhenUsed/>
    <w:qFormat/>
    <w:rPr>
      <w:rFonts w:ascii="Times New Roman" w:hAnsi="Times New Roman"/>
      <w:i/>
      <w:iCs/>
      <w:color w:val="auto"/>
    </w:rPr>
  </w:style>
  <w:style w:type="paragraph" w:styleId="Quote">
    <w:name w:val="Quote"/>
    <w:basedOn w:val="Normal"/>
    <w:next w:val="Normal"/>
    <w:link w:val="QuoteChar"/>
    <w:autoRedefine/>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autoRedefine/>
    <w:uiPriority w:val="29"/>
    <w:qFormat/>
    <w:rPr>
      <w:rFonts w:ascii="Times New Roman" w:hAnsi="Times New Roman"/>
      <w:i/>
      <w:iCs/>
      <w:color w:val="404040" w:themeColor="text1" w:themeTint="BF"/>
      <w:sz w:val="24"/>
    </w:rPr>
  </w:style>
  <w:style w:type="character" w:customStyle="1" w:styleId="11">
    <w:name w:val="明显参考1"/>
    <w:basedOn w:val="DefaultParagraphFont"/>
    <w:autoRedefine/>
    <w:uiPriority w:val="32"/>
    <w:qFormat/>
    <w:rPr>
      <w:b/>
      <w:bCs/>
      <w:smallCaps/>
      <w:color w:val="auto"/>
      <w:spacing w:val="5"/>
    </w:rPr>
  </w:style>
  <w:style w:type="character" w:customStyle="1" w:styleId="12">
    <w:name w:val="书籍标题1"/>
    <w:basedOn w:val="DefaultParagraphFont"/>
    <w:autoRedefine/>
    <w:uiPriority w:val="33"/>
    <w:qFormat/>
    <w:rPr>
      <w:rFonts w:ascii="Times New Roman" w:hAnsi="Times New Roman"/>
      <w:b/>
      <w:bCs/>
      <w:i/>
      <w:iCs/>
      <w:spacing w:val="5"/>
    </w:rPr>
  </w:style>
  <w:style w:type="paragraph" w:customStyle="1" w:styleId="13">
    <w:name w:val="修订1"/>
    <w:autoRedefine/>
    <w:hidden/>
    <w:uiPriority w:val="99"/>
    <w:semiHidden/>
    <w:qFormat/>
    <w:rPr>
      <w:rFonts w:ascii="Times New Roman" w:hAnsi="Times New Roman" w:cstheme="minorBidi"/>
      <w:sz w:val="24"/>
      <w:szCs w:val="22"/>
      <w:lang w:val="en-US" w:eastAsia="en-US"/>
    </w:rPr>
  </w:style>
  <w:style w:type="character" w:customStyle="1" w:styleId="14">
    <w:name w:val="未处理的提及1"/>
    <w:basedOn w:val="DefaultParagraphFont"/>
    <w:uiPriority w:val="99"/>
    <w:semiHidden/>
    <w:unhideWhenUsed/>
    <w:qFormat/>
    <w:rPr>
      <w:color w:val="605E5C"/>
      <w:shd w:val="clear" w:color="auto" w:fill="E1DFDD"/>
    </w:rPr>
  </w:style>
  <w:style w:type="character" w:customStyle="1" w:styleId="null">
    <w:name w:val="null"/>
    <w:basedOn w:val="DefaultParagraphFont"/>
    <w:qFormat/>
  </w:style>
  <w:style w:type="paragraph" w:customStyle="1" w:styleId="EndNoteBibliographyTitle">
    <w:name w:val="EndNote Bibliography Title"/>
    <w:basedOn w:val="Normal"/>
    <w:link w:val="EndNoteBibliographyTitle0"/>
    <w:qFormat/>
    <w:pPr>
      <w:spacing w:after="0"/>
      <w:jc w:val="center"/>
    </w:pPr>
    <w:rPr>
      <w:rFonts w:cs="Times New Roman"/>
    </w:rPr>
  </w:style>
  <w:style w:type="character" w:customStyle="1" w:styleId="EndNoteBibliographyTitle0">
    <w:name w:val="EndNote Bibliography Title 字符"/>
    <w:basedOn w:val="DefaultParagraphFont"/>
    <w:link w:val="EndNoteBibliographyTitle"/>
    <w:qFormat/>
    <w:rPr>
      <w:rFonts w:ascii="Times New Roman" w:hAnsi="Times New Roman" w:cs="Times New Roman"/>
      <w:sz w:val="24"/>
      <w:szCs w:val="22"/>
      <w:lang w:eastAsia="en-US"/>
    </w:rPr>
  </w:style>
  <w:style w:type="paragraph" w:customStyle="1" w:styleId="EndNoteBibliography">
    <w:name w:val="EndNote Bibliography"/>
    <w:basedOn w:val="Normal"/>
    <w:link w:val="EndNoteBibliography0"/>
    <w:qFormat/>
    <w:rPr>
      <w:rFonts w:cs="Times New Roman"/>
    </w:rPr>
  </w:style>
  <w:style w:type="character" w:customStyle="1" w:styleId="EndNoteBibliography0">
    <w:name w:val="EndNote Bibliography 字符"/>
    <w:basedOn w:val="DefaultParagraphFont"/>
    <w:link w:val="EndNoteBibliography"/>
    <w:qFormat/>
    <w:rPr>
      <w:rFonts w:ascii="Times New Roman" w:hAnsi="Times New Roman" w:cs="Times New Roman"/>
      <w:sz w:val="24"/>
      <w:szCs w:val="22"/>
      <w:lang w:eastAsia="en-US"/>
    </w:rPr>
  </w:style>
  <w:style w:type="paragraph" w:customStyle="1" w:styleId="2">
    <w:name w:val="修订2"/>
    <w:hidden/>
    <w:uiPriority w:val="99"/>
    <w:unhideWhenUsed/>
    <w:qFormat/>
    <w:rPr>
      <w:rFonts w:ascii="Times New Roman" w:hAnsi="Times New Roman" w:cstheme="minorBidi"/>
      <w:sz w:val="24"/>
      <w:szCs w:val="22"/>
      <w:lang w:val="en-US" w:eastAsia="en-US"/>
    </w:rPr>
  </w:style>
  <w:style w:type="paragraph" w:customStyle="1" w:styleId="TOCHeading1">
    <w:name w:val="TOC Heading1"/>
    <w:basedOn w:val="Heading1"/>
    <w:next w:val="Normal"/>
    <w:uiPriority w:val="39"/>
    <w:unhideWhenUsed/>
    <w:qFormat/>
    <w:pPr>
      <w:keepNext/>
      <w:keepLines/>
      <w:numPr>
        <w:numId w:val="0"/>
      </w:numPr>
      <w:tabs>
        <w:tab w:val="clear" w:pos="567"/>
      </w:tabs>
      <w:spacing w:before="480" w:after="0" w:line="276" w:lineRule="auto"/>
      <w:outlineLvl w:val="9"/>
    </w:pPr>
    <w:rPr>
      <w:rFonts w:asciiTheme="majorHAnsi" w:eastAsiaTheme="majorEastAsia" w:hAnsiTheme="majorHAnsi" w:cstheme="majorBidi"/>
      <w:bCs/>
      <w:color w:val="365F91" w:themeColor="accent1" w:themeShade="BF"/>
      <w:sz w:val="28"/>
      <w:szCs w:val="28"/>
    </w:rPr>
  </w:style>
  <w:style w:type="character" w:customStyle="1" w:styleId="katex-mathml">
    <w:name w:val="katex-mathml"/>
    <w:basedOn w:val="DefaultParagraphFont"/>
    <w:qFormat/>
  </w:style>
  <w:style w:type="character" w:customStyle="1" w:styleId="mord">
    <w:name w:val="mord"/>
    <w:basedOn w:val="DefaultParagraphFont"/>
    <w:qFormat/>
  </w:style>
  <w:style w:type="character" w:customStyle="1" w:styleId="vlist-s">
    <w:name w:val="vlist-s"/>
    <w:basedOn w:val="DefaultParagraphFont"/>
    <w:qFormat/>
  </w:style>
  <w:style w:type="character" w:customStyle="1" w:styleId="mrel">
    <w:name w:val="mrel"/>
    <w:basedOn w:val="DefaultParagraphFont"/>
    <w:qFormat/>
  </w:style>
  <w:style w:type="character" w:customStyle="1" w:styleId="mopen">
    <w:name w:val="mopen"/>
    <w:basedOn w:val="DefaultParagraphFont"/>
    <w:qFormat/>
  </w:style>
  <w:style w:type="character" w:customStyle="1" w:styleId="mpunct">
    <w:name w:val="mpunct"/>
    <w:basedOn w:val="DefaultParagraphFont"/>
    <w:qFormat/>
  </w:style>
  <w:style w:type="character" w:customStyle="1" w:styleId="mclose">
    <w:name w:val="mclose"/>
    <w:basedOn w:val="DefaultParagraphFont"/>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EastAsia" w:hAnsi="Cambria" w:cs="Cambria"/>
        <w:lang w:val="en-PH" w:eastAsia="en-P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semiHidden="0" w:uiPriority="2" w:unhideWhenUsed="0" w:qFormat="1"/>
    <w:lsdException w:name="heading 3" w:semiHidden="0" w:uiPriority="2" w:unhideWhenUsed="0" w:qFormat="1"/>
    <w:lsdException w:name="heading 4" w:semiHidden="0" w:uiPriority="2" w:unhideWhenUsed="0" w:qFormat="1"/>
    <w:lsdException w:name="heading 5" w:semiHidden="0" w:uiPriority="2"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semiHidden="0" w:uiPriority="39"/>
    <w:lsdException w:name="toc 2" w:uiPriority="39"/>
    <w:lsdException w:name="toc 3" w:uiPriority="39" w:qFormat="1"/>
    <w:lsdException w:name="toc 4" w:uiPriority="39"/>
    <w:lsdException w:name="toc 5" w:uiPriority="39" w:qFormat="1"/>
    <w:lsdException w:name="toc 6" w:uiPriority="39" w:qFormat="1"/>
    <w:lsdException w:name="toc 7" w:uiPriority="39"/>
    <w:lsdException w:name="toc 8" w:uiPriority="39" w:qFormat="1"/>
    <w:lsdException w:name="toc 9" w:uiPriority="39"/>
    <w:lsdException w:name="footnote text" w:qFormat="1"/>
    <w:lsdException w:name="annotation text" w:qFormat="1"/>
    <w:lsdException w:name="header" w:semiHidden="0" w:qFormat="1"/>
    <w:lsdException w:name="footer" w:semiHidden="0" w:qFormat="1"/>
    <w:lsdException w:name="caption" w:semiHidden="0" w:uiPriority="35" w:qFormat="1"/>
    <w:lsdException w:name="footnote reference" w:qFormat="1"/>
    <w:lsdException w:name="annotation reference" w:qFormat="1"/>
    <w:lsdException w:name="line number" w:qFormat="1"/>
    <w:lsdException w:name="endnote reference" w:qFormat="1"/>
    <w:lsdException w:name="endnote text" w:qFormat="1"/>
    <w:lsdException w:name="Title" w:semiHidden="0" w:uiPriority="0" w:unhideWhenUsed="0" w:qFormat="1"/>
    <w:lsdException w:name="Default Paragraph Font" w:uiPriority="1" w:qFormat="1"/>
    <w:lsdException w:name="Subtitle" w:semiHidden="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59" w:unhideWhenUsed="0" w:qFormat="1"/>
    <w:lsdException w:name="No Spacing"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240"/>
    </w:pPr>
    <w:rPr>
      <w:rFonts w:ascii="Times New Roman" w:hAnsi="Times New Roman" w:cstheme="minorBidi"/>
      <w:sz w:val="24"/>
      <w:szCs w:val="22"/>
      <w:lang w:val="en-US" w:eastAsia="en-US"/>
    </w:rPr>
  </w:style>
  <w:style w:type="paragraph" w:styleId="Heading1">
    <w:name w:val="heading 1"/>
    <w:basedOn w:val="ListParagraph"/>
    <w:next w:val="Normal"/>
    <w:link w:val="Heading1Char"/>
    <w:uiPriority w:val="2"/>
    <w:qFormat/>
    <w:pPr>
      <w:numPr>
        <w:numId w:val="1"/>
      </w:numPr>
      <w:spacing w:before="240"/>
      <w:contextualSpacing w:val="0"/>
      <w:outlineLvl w:val="0"/>
    </w:pPr>
    <w:rPr>
      <w:b/>
    </w:rPr>
  </w:style>
  <w:style w:type="paragraph" w:styleId="Heading2">
    <w:name w:val="heading 2"/>
    <w:basedOn w:val="Heading1"/>
    <w:next w:val="Normal"/>
    <w:link w:val="Heading2Char"/>
    <w:uiPriority w:val="2"/>
    <w:qFormat/>
    <w:pPr>
      <w:numPr>
        <w:ilvl w:val="1"/>
      </w:numPr>
      <w:spacing w:after="200"/>
      <w:outlineLvl w:val="1"/>
    </w:pPr>
  </w:style>
  <w:style w:type="paragraph" w:styleId="Heading3">
    <w:name w:val="heading 3"/>
    <w:basedOn w:val="Normal"/>
    <w:next w:val="Normal"/>
    <w:link w:val="Heading3Char"/>
    <w:uiPriority w:val="2"/>
    <w:qFormat/>
    <w:pPr>
      <w:keepNext/>
      <w:keepLines/>
      <w:numPr>
        <w:ilvl w:val="2"/>
        <w:numId w:val="1"/>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pPr>
      <w:numPr>
        <w:ilvl w:val="3"/>
      </w:numPr>
      <w:outlineLvl w:val="3"/>
    </w:pPr>
    <w:rPr>
      <w:iCs/>
    </w:rPr>
  </w:style>
  <w:style w:type="paragraph" w:styleId="Heading5">
    <w:name w:val="heading 5"/>
    <w:basedOn w:val="Heading4"/>
    <w:next w:val="Normal"/>
    <w:link w:val="Heading5Char"/>
    <w:uiPriority w:val="2"/>
    <w:qFormat/>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numPr>
        <w:numId w:val="2"/>
      </w:numPr>
      <w:ind w:left="1434" w:hanging="357"/>
      <w:contextualSpacing/>
    </w:pPr>
    <w:rPr>
      <w:rFonts w:eastAsia="Cambria" w:cs="Times New Roman"/>
      <w:szCs w:val="24"/>
    </w:rPr>
  </w:style>
  <w:style w:type="paragraph" w:styleId="TOC7">
    <w:name w:val="toc 7"/>
    <w:basedOn w:val="Normal"/>
    <w:next w:val="Normal"/>
    <w:autoRedefine/>
    <w:uiPriority w:val="39"/>
    <w:semiHidden/>
    <w:unhideWhenUsed/>
    <w:pPr>
      <w:spacing w:before="0" w:after="0"/>
      <w:ind w:left="1440"/>
    </w:pPr>
    <w:rPr>
      <w:rFonts w:asciiTheme="minorHAnsi" w:hAnsiTheme="minorHAnsi" w:cstheme="minorHAnsi"/>
      <w:sz w:val="20"/>
      <w:szCs w:val="20"/>
    </w:rPr>
  </w:style>
  <w:style w:type="paragraph" w:styleId="Caption">
    <w:name w:val="caption"/>
    <w:basedOn w:val="Normal"/>
    <w:next w:val="NoSpacing"/>
    <w:uiPriority w:val="35"/>
    <w:unhideWhenUsed/>
    <w:qFormat/>
    <w:pPr>
      <w:keepNext/>
    </w:pPr>
    <w:rPr>
      <w:rFonts w:cs="Times New Roman"/>
      <w:b/>
      <w:bCs/>
      <w:szCs w:val="24"/>
    </w:rPr>
  </w:style>
  <w:style w:type="paragraph" w:styleId="NoSpacing">
    <w:name w:val="No Spacing"/>
    <w:autoRedefine/>
    <w:uiPriority w:val="99"/>
    <w:unhideWhenUsed/>
    <w:qFormat/>
    <w:rPr>
      <w:rFonts w:ascii="Times New Roman" w:hAnsi="Times New Roman" w:cstheme="minorBidi"/>
      <w:sz w:val="24"/>
      <w:szCs w:val="22"/>
      <w:lang w:val="en-US" w:eastAsia="en-US"/>
    </w:rPr>
  </w:style>
  <w:style w:type="paragraph" w:styleId="CommentText">
    <w:name w:val="annotation text"/>
    <w:basedOn w:val="Normal"/>
    <w:link w:val="CommentTextChar"/>
    <w:autoRedefine/>
    <w:uiPriority w:val="99"/>
    <w:semiHidden/>
    <w:unhideWhenUsed/>
    <w:qFormat/>
    <w:rPr>
      <w:sz w:val="20"/>
      <w:szCs w:val="20"/>
    </w:rPr>
  </w:style>
  <w:style w:type="paragraph" w:styleId="TOC5">
    <w:name w:val="toc 5"/>
    <w:basedOn w:val="Normal"/>
    <w:next w:val="Normal"/>
    <w:autoRedefine/>
    <w:uiPriority w:val="39"/>
    <w:semiHidden/>
    <w:unhideWhenUsed/>
    <w:qFormat/>
    <w:pPr>
      <w:spacing w:before="0" w:after="0"/>
      <w:ind w:left="960"/>
    </w:pPr>
    <w:rPr>
      <w:rFonts w:asciiTheme="minorHAnsi" w:hAnsiTheme="minorHAnsi" w:cstheme="minorHAnsi"/>
      <w:sz w:val="20"/>
      <w:szCs w:val="20"/>
    </w:rPr>
  </w:style>
  <w:style w:type="paragraph" w:styleId="TOC3">
    <w:name w:val="toc 3"/>
    <w:basedOn w:val="Normal"/>
    <w:next w:val="Normal"/>
    <w:autoRedefine/>
    <w:uiPriority w:val="39"/>
    <w:semiHidden/>
    <w:unhideWhenUsed/>
    <w:qFormat/>
    <w:pPr>
      <w:spacing w:before="0" w:after="0"/>
      <w:ind w:left="480"/>
    </w:pPr>
    <w:rPr>
      <w:rFonts w:asciiTheme="minorHAnsi" w:hAnsiTheme="minorHAnsi" w:cstheme="minorHAnsi"/>
      <w:sz w:val="20"/>
      <w:szCs w:val="20"/>
    </w:rPr>
  </w:style>
  <w:style w:type="paragraph" w:styleId="TOC8">
    <w:name w:val="toc 8"/>
    <w:basedOn w:val="Normal"/>
    <w:next w:val="Normal"/>
    <w:autoRedefine/>
    <w:uiPriority w:val="39"/>
    <w:semiHidden/>
    <w:unhideWhenUsed/>
    <w:qFormat/>
    <w:pPr>
      <w:spacing w:before="0" w:after="0"/>
      <w:ind w:left="1680"/>
    </w:pPr>
    <w:rPr>
      <w:rFonts w:asciiTheme="minorHAnsi" w:hAnsiTheme="minorHAnsi" w:cstheme="minorHAnsi"/>
      <w:sz w:val="20"/>
      <w:szCs w:val="20"/>
    </w:rPr>
  </w:style>
  <w:style w:type="paragraph" w:styleId="EndnoteText">
    <w:name w:val="endnote text"/>
    <w:basedOn w:val="Normal"/>
    <w:link w:val="EndnoteTextChar"/>
    <w:autoRedefine/>
    <w:uiPriority w:val="99"/>
    <w:semiHidden/>
    <w:unhideWhenUsed/>
    <w:qFormat/>
    <w:pPr>
      <w:spacing w:after="0"/>
    </w:pPr>
    <w:rPr>
      <w:sz w:val="20"/>
      <w:szCs w:val="20"/>
    </w:rPr>
  </w:style>
  <w:style w:type="paragraph" w:styleId="BalloonText">
    <w:name w:val="Balloon Text"/>
    <w:basedOn w:val="Normal"/>
    <w:link w:val="BalloonTextChar"/>
    <w:uiPriority w:val="99"/>
    <w:semiHidden/>
    <w:unhideWhenUsed/>
    <w:qFormat/>
    <w:pPr>
      <w:spacing w:after="0"/>
    </w:pPr>
    <w:rPr>
      <w:rFonts w:ascii="Tahoma" w:hAnsi="Tahoma" w:cs="Tahoma"/>
      <w:sz w:val="16"/>
      <w:szCs w:val="16"/>
    </w:rPr>
  </w:style>
  <w:style w:type="paragraph" w:styleId="Footer">
    <w:name w:val="footer"/>
    <w:basedOn w:val="Normal"/>
    <w:link w:val="FooterChar"/>
    <w:uiPriority w:val="99"/>
    <w:unhideWhenUsed/>
    <w:qFormat/>
    <w:pPr>
      <w:tabs>
        <w:tab w:val="center" w:pos="4844"/>
        <w:tab w:val="right" w:pos="9689"/>
      </w:tabs>
      <w:spacing w:after="0"/>
    </w:pPr>
  </w:style>
  <w:style w:type="paragraph" w:styleId="Header">
    <w:name w:val="header"/>
    <w:basedOn w:val="Normal"/>
    <w:link w:val="HeaderChar"/>
    <w:uiPriority w:val="99"/>
    <w:unhideWhenUsed/>
    <w:qFormat/>
    <w:pPr>
      <w:tabs>
        <w:tab w:val="center" w:pos="4844"/>
        <w:tab w:val="right" w:pos="9689"/>
      </w:tabs>
    </w:pPr>
    <w:rPr>
      <w:b/>
    </w:rPr>
  </w:style>
  <w:style w:type="paragraph" w:styleId="TOC1">
    <w:name w:val="toc 1"/>
    <w:basedOn w:val="Normal"/>
    <w:next w:val="Normal"/>
    <w:autoRedefine/>
    <w:uiPriority w:val="39"/>
    <w:unhideWhenUsed/>
    <w:pPr>
      <w:spacing w:after="0"/>
    </w:pPr>
    <w:rPr>
      <w:rFonts w:asciiTheme="minorHAnsi" w:hAnsiTheme="minorHAnsi" w:cstheme="minorHAnsi"/>
      <w:b/>
      <w:bCs/>
      <w:i/>
      <w:iCs/>
      <w:szCs w:val="24"/>
    </w:rPr>
  </w:style>
  <w:style w:type="paragraph" w:styleId="TOC4">
    <w:name w:val="toc 4"/>
    <w:basedOn w:val="Normal"/>
    <w:next w:val="Normal"/>
    <w:autoRedefine/>
    <w:uiPriority w:val="39"/>
    <w:semiHidden/>
    <w:unhideWhenUsed/>
    <w:pPr>
      <w:spacing w:before="0" w:after="0"/>
      <w:ind w:left="720"/>
    </w:pPr>
    <w:rPr>
      <w:rFonts w:asciiTheme="minorHAnsi" w:hAnsiTheme="minorHAnsi" w:cstheme="minorHAnsi"/>
      <w:sz w:val="20"/>
      <w:szCs w:val="20"/>
    </w:rPr>
  </w:style>
  <w:style w:type="paragraph" w:styleId="Subtitle">
    <w:name w:val="Subtitle"/>
    <w:basedOn w:val="Normal"/>
    <w:next w:val="Normal"/>
    <w:link w:val="SubtitleChar"/>
    <w:autoRedefine/>
    <w:uiPriority w:val="99"/>
    <w:unhideWhenUsed/>
    <w:qFormat/>
    <w:pPr>
      <w:spacing w:before="240"/>
    </w:pPr>
    <w:rPr>
      <w:rFonts w:cs="Times New Roman"/>
      <w:b/>
      <w:szCs w:val="24"/>
    </w:rPr>
  </w:style>
  <w:style w:type="paragraph" w:styleId="FootnoteText">
    <w:name w:val="footnote text"/>
    <w:basedOn w:val="Normal"/>
    <w:link w:val="FootnoteTextChar"/>
    <w:uiPriority w:val="99"/>
    <w:semiHidden/>
    <w:unhideWhenUsed/>
    <w:qFormat/>
    <w:pPr>
      <w:spacing w:after="0"/>
    </w:pPr>
    <w:rPr>
      <w:sz w:val="20"/>
      <w:szCs w:val="20"/>
    </w:rPr>
  </w:style>
  <w:style w:type="paragraph" w:styleId="TOC6">
    <w:name w:val="toc 6"/>
    <w:basedOn w:val="Normal"/>
    <w:next w:val="Normal"/>
    <w:autoRedefine/>
    <w:uiPriority w:val="39"/>
    <w:semiHidden/>
    <w:unhideWhenUsed/>
    <w:qFormat/>
    <w:pPr>
      <w:spacing w:before="0" w:after="0"/>
      <w:ind w:left="1200"/>
    </w:pPr>
    <w:rPr>
      <w:rFonts w:asciiTheme="minorHAnsi" w:hAnsiTheme="minorHAnsi" w:cstheme="minorHAnsi"/>
      <w:sz w:val="20"/>
      <w:szCs w:val="20"/>
    </w:rPr>
  </w:style>
  <w:style w:type="paragraph" w:styleId="TOC2">
    <w:name w:val="toc 2"/>
    <w:basedOn w:val="Normal"/>
    <w:next w:val="Normal"/>
    <w:autoRedefine/>
    <w:uiPriority w:val="39"/>
    <w:semiHidden/>
    <w:unhideWhenUsed/>
    <w:pPr>
      <w:spacing w:after="0"/>
      <w:ind w:left="240"/>
    </w:pPr>
    <w:rPr>
      <w:rFonts w:asciiTheme="minorHAnsi" w:hAnsiTheme="minorHAnsi" w:cstheme="minorHAnsi"/>
      <w:b/>
      <w:bCs/>
      <w:sz w:val="22"/>
    </w:rPr>
  </w:style>
  <w:style w:type="paragraph" w:styleId="TOC9">
    <w:name w:val="toc 9"/>
    <w:basedOn w:val="Normal"/>
    <w:next w:val="Normal"/>
    <w:autoRedefine/>
    <w:uiPriority w:val="39"/>
    <w:semiHidden/>
    <w:unhideWhenUsed/>
    <w:pPr>
      <w:spacing w:before="0" w:after="0"/>
      <w:ind w:left="1920"/>
    </w:pPr>
    <w:rPr>
      <w:rFonts w:asciiTheme="minorHAnsi" w:hAnsiTheme="minorHAnsi" w:cstheme="minorHAnsi"/>
      <w:sz w:val="20"/>
      <w:szCs w:val="20"/>
    </w:rPr>
  </w:style>
  <w:style w:type="paragraph" w:styleId="NormalWeb">
    <w:name w:val="Normal (Web)"/>
    <w:basedOn w:val="Normal"/>
    <w:uiPriority w:val="99"/>
    <w:unhideWhenUsed/>
    <w:qFormat/>
    <w:pPr>
      <w:spacing w:before="100" w:beforeAutospacing="1" w:after="100" w:afterAutospacing="1"/>
    </w:pPr>
    <w:rPr>
      <w:rFonts w:eastAsia="Times New Roman" w:cs="Times New Roman"/>
      <w:szCs w:val="24"/>
    </w:rPr>
  </w:style>
  <w:style w:type="paragraph" w:styleId="Title">
    <w:name w:val="Title"/>
    <w:basedOn w:val="Normal"/>
    <w:next w:val="Normal"/>
    <w:link w:val="TitleChar"/>
    <w:autoRedefine/>
    <w:qFormat/>
    <w:pPr>
      <w:suppressLineNumbers/>
      <w:spacing w:before="240" w:after="360"/>
      <w:jc w:val="center"/>
    </w:pPr>
    <w:rPr>
      <w:rFonts w:eastAsia="Arial" w:cs="Times New Roman"/>
      <w:b/>
      <w:sz w:val="28"/>
      <w:szCs w:val="28"/>
    </w:rPr>
  </w:style>
  <w:style w:type="paragraph" w:styleId="CommentSubject">
    <w:name w:val="annotation subject"/>
    <w:basedOn w:val="CommentText"/>
    <w:next w:val="CommentText"/>
    <w:link w:val="CommentSubjectChar"/>
    <w:autoRedefine/>
    <w:uiPriority w:val="99"/>
    <w:semiHidden/>
    <w:unhideWhenUsed/>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rFonts w:ascii="Times New Roman" w:hAnsi="Times New Roman"/>
      <w:b/>
      <w:bCs/>
    </w:rPr>
  </w:style>
  <w:style w:type="character" w:styleId="EndnoteReference">
    <w:name w:val="endnote reference"/>
    <w:basedOn w:val="DefaultParagraphFont"/>
    <w:autoRedefine/>
    <w:uiPriority w:val="99"/>
    <w:semiHidden/>
    <w:unhideWhenUsed/>
    <w:qFormat/>
    <w:rPr>
      <w:vertAlign w:val="superscript"/>
    </w:rPr>
  </w:style>
  <w:style w:type="character" w:styleId="FollowedHyperlink">
    <w:name w:val="FollowedHyperlink"/>
    <w:basedOn w:val="DefaultParagraphFont"/>
    <w:autoRedefine/>
    <w:uiPriority w:val="99"/>
    <w:semiHidden/>
    <w:unhideWhenUsed/>
    <w:qFormat/>
    <w:rPr>
      <w:color w:val="800080" w:themeColor="followedHyperlink"/>
      <w:u w:val="single"/>
    </w:rPr>
  </w:style>
  <w:style w:type="character" w:styleId="Emphasis">
    <w:name w:val="Emphasis"/>
    <w:basedOn w:val="DefaultParagraphFont"/>
    <w:uiPriority w:val="20"/>
    <w:qFormat/>
    <w:rPr>
      <w:rFonts w:ascii="Times New Roman" w:hAnsi="Times New Roman"/>
      <w:i/>
      <w:iCs/>
    </w:rPr>
  </w:style>
  <w:style w:type="character" w:styleId="LineNumber">
    <w:name w:val="line number"/>
    <w:basedOn w:val="DefaultParagraphFont"/>
    <w:autoRedefine/>
    <w:uiPriority w:val="99"/>
    <w:semiHidden/>
    <w:unhideWhenUsed/>
    <w:qFormat/>
  </w:style>
  <w:style w:type="character" w:styleId="Hyperlink">
    <w:name w:val="Hyperlink"/>
    <w:basedOn w:val="DefaultParagraphFont"/>
    <w:autoRedefine/>
    <w:uiPriority w:val="99"/>
    <w:unhideWhenUsed/>
    <w:qFormat/>
    <w:rPr>
      <w:color w:val="0000FF"/>
      <w:u w:val="single"/>
    </w:rPr>
  </w:style>
  <w:style w:type="character" w:styleId="HTMLCode">
    <w:name w:val="HTML Code"/>
    <w:basedOn w:val="DefaultParagraphFont"/>
    <w:uiPriority w:val="99"/>
    <w:semiHidden/>
    <w:unhideWhenUsed/>
    <w:rPr>
      <w:rFonts w:ascii="Courier New" w:eastAsia="Times New Roman" w:hAnsi="Courier New" w:cs="Courier New"/>
      <w:sz w:val="20"/>
      <w:szCs w:val="20"/>
    </w:rPr>
  </w:style>
  <w:style w:type="character" w:styleId="CommentReference">
    <w:name w:val="annotation reference"/>
    <w:basedOn w:val="DefaultParagraphFont"/>
    <w:autoRedefine/>
    <w:uiPriority w:val="99"/>
    <w:semiHidden/>
    <w:unhideWhenUsed/>
    <w:qFormat/>
    <w:rPr>
      <w:sz w:val="16"/>
      <w:szCs w:val="16"/>
    </w:rPr>
  </w:style>
  <w:style w:type="character" w:styleId="FootnoteReference">
    <w:name w:val="footnote reference"/>
    <w:basedOn w:val="DefaultParagraphFont"/>
    <w:uiPriority w:val="99"/>
    <w:semiHidden/>
    <w:unhideWhenUsed/>
    <w:qFormat/>
    <w:rPr>
      <w:vertAlign w:val="superscript"/>
    </w:rPr>
  </w:style>
  <w:style w:type="character" w:customStyle="1" w:styleId="Heading1Char">
    <w:name w:val="Heading 1 Char"/>
    <w:basedOn w:val="DefaultParagraphFont"/>
    <w:link w:val="Heading1"/>
    <w:uiPriority w:val="2"/>
    <w:qFormat/>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qFormat/>
    <w:rPr>
      <w:rFonts w:ascii="Times New Roman" w:eastAsia="Cambria" w:hAnsi="Times New Roman" w:cs="Times New Roman"/>
      <w:b/>
      <w:sz w:val="24"/>
      <w:szCs w:val="24"/>
    </w:rPr>
  </w:style>
  <w:style w:type="character" w:customStyle="1" w:styleId="HeaderChar">
    <w:name w:val="Header Char"/>
    <w:basedOn w:val="DefaultParagraphFont"/>
    <w:link w:val="Header"/>
    <w:uiPriority w:val="99"/>
    <w:qFormat/>
    <w:rPr>
      <w:rFonts w:ascii="Times New Roman" w:hAnsi="Times New Roman"/>
      <w:b/>
      <w:sz w:val="24"/>
    </w:rPr>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EndnoteTextChar">
    <w:name w:val="Endnote Text Char"/>
    <w:basedOn w:val="DefaultParagraphFont"/>
    <w:link w:val="EndnoteText"/>
    <w:autoRedefine/>
    <w:uiPriority w:val="99"/>
    <w:semiHidden/>
    <w:qFormat/>
    <w:rPr>
      <w:sz w:val="20"/>
      <w:szCs w:val="20"/>
    </w:rPr>
  </w:style>
  <w:style w:type="character" w:customStyle="1" w:styleId="CommentTextChar">
    <w:name w:val="Comment Text Char"/>
    <w:basedOn w:val="DefaultParagraphFont"/>
    <w:link w:val="CommentText"/>
    <w:autoRedefine/>
    <w:uiPriority w:val="99"/>
    <w:semiHidden/>
    <w:qFormat/>
    <w:rPr>
      <w:sz w:val="20"/>
      <w:szCs w:val="20"/>
    </w:rPr>
  </w:style>
  <w:style w:type="character" w:customStyle="1" w:styleId="CommentSubjectChar">
    <w:name w:val="Comment Subject Char"/>
    <w:basedOn w:val="CommentTextChar"/>
    <w:link w:val="CommentSubject"/>
    <w:autoRedefine/>
    <w:uiPriority w:val="99"/>
    <w:semiHidden/>
    <w:qFormat/>
    <w:rPr>
      <w:b/>
      <w:bCs/>
      <w:sz w:val="20"/>
      <w:szCs w:val="20"/>
    </w:rPr>
  </w:style>
  <w:style w:type="character" w:customStyle="1" w:styleId="TitleChar">
    <w:name w:val="Title Char"/>
    <w:basedOn w:val="DefaultParagraphFont"/>
    <w:link w:val="Title"/>
    <w:autoRedefine/>
    <w:qFormat/>
    <w:rPr>
      <w:rFonts w:ascii="Times New Roman" w:eastAsia="Arial" w:hAnsi="Times New Roman" w:cs="Times New Roman"/>
      <w:b/>
      <w:sz w:val="28"/>
      <w:szCs w:val="28"/>
      <w:lang w:eastAsia="en-US"/>
    </w:rPr>
  </w:style>
  <w:style w:type="character" w:customStyle="1" w:styleId="SubtitleChar">
    <w:name w:val="Subtitle Char"/>
    <w:basedOn w:val="DefaultParagraphFont"/>
    <w:link w:val="Subtitle"/>
    <w:autoRedefine/>
    <w:uiPriority w:val="99"/>
    <w:qFormat/>
    <w:rPr>
      <w:rFonts w:ascii="Times New Roman" w:hAnsi="Times New Roman" w:cs="Times New Roman"/>
      <w:b/>
      <w:sz w:val="24"/>
      <w:szCs w:val="24"/>
    </w:rPr>
  </w:style>
  <w:style w:type="character" w:customStyle="1" w:styleId="Heading3Char">
    <w:name w:val="Heading 3 Char"/>
    <w:basedOn w:val="DefaultParagraphFont"/>
    <w:link w:val="Heading3"/>
    <w:autoRedefine/>
    <w:uiPriority w:val="2"/>
    <w:qFormat/>
    <w:rPr>
      <w:rFonts w:ascii="Times New Roman" w:eastAsiaTheme="majorEastAsia" w:hAnsi="Times New Roman" w:cstheme="majorBidi"/>
      <w:b/>
      <w:sz w:val="24"/>
      <w:szCs w:val="24"/>
    </w:rPr>
  </w:style>
  <w:style w:type="character" w:customStyle="1" w:styleId="Heading4Char">
    <w:name w:val="Heading 4 Char"/>
    <w:basedOn w:val="DefaultParagraphFont"/>
    <w:link w:val="Heading4"/>
    <w:autoRedefine/>
    <w:uiPriority w:val="2"/>
    <w:qFormat/>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autoRedefine/>
    <w:uiPriority w:val="2"/>
    <w:qFormat/>
    <w:rPr>
      <w:rFonts w:ascii="Times New Roman" w:eastAsiaTheme="majorEastAsia" w:hAnsi="Times New Roman" w:cstheme="majorBidi"/>
      <w:b/>
      <w:iCs/>
      <w:sz w:val="24"/>
      <w:szCs w:val="24"/>
    </w:rPr>
  </w:style>
  <w:style w:type="paragraph" w:customStyle="1" w:styleId="AuthorList">
    <w:name w:val="Author List"/>
    <w:basedOn w:val="Subtitle"/>
    <w:next w:val="Normal"/>
    <w:autoRedefine/>
    <w:uiPriority w:val="1"/>
    <w:qFormat/>
  </w:style>
  <w:style w:type="character" w:customStyle="1" w:styleId="1">
    <w:name w:val="不明显强调1"/>
    <w:basedOn w:val="DefaultParagraphFont"/>
    <w:autoRedefine/>
    <w:uiPriority w:val="19"/>
    <w:qFormat/>
    <w:rPr>
      <w:rFonts w:ascii="Times New Roman" w:hAnsi="Times New Roman"/>
      <w:i/>
      <w:iCs/>
      <w:color w:val="404040" w:themeColor="text1" w:themeTint="BF"/>
    </w:rPr>
  </w:style>
  <w:style w:type="character" w:customStyle="1" w:styleId="10">
    <w:name w:val="明显强调1"/>
    <w:basedOn w:val="DefaultParagraphFont"/>
    <w:autoRedefine/>
    <w:uiPriority w:val="21"/>
    <w:unhideWhenUsed/>
    <w:qFormat/>
    <w:rPr>
      <w:rFonts w:ascii="Times New Roman" w:hAnsi="Times New Roman"/>
      <w:i/>
      <w:iCs/>
      <w:color w:val="auto"/>
    </w:rPr>
  </w:style>
  <w:style w:type="paragraph" w:styleId="Quote">
    <w:name w:val="Quote"/>
    <w:basedOn w:val="Normal"/>
    <w:next w:val="Normal"/>
    <w:link w:val="QuoteChar"/>
    <w:autoRedefine/>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autoRedefine/>
    <w:uiPriority w:val="29"/>
    <w:qFormat/>
    <w:rPr>
      <w:rFonts w:ascii="Times New Roman" w:hAnsi="Times New Roman"/>
      <w:i/>
      <w:iCs/>
      <w:color w:val="404040" w:themeColor="text1" w:themeTint="BF"/>
      <w:sz w:val="24"/>
    </w:rPr>
  </w:style>
  <w:style w:type="character" w:customStyle="1" w:styleId="11">
    <w:name w:val="明显参考1"/>
    <w:basedOn w:val="DefaultParagraphFont"/>
    <w:autoRedefine/>
    <w:uiPriority w:val="32"/>
    <w:qFormat/>
    <w:rPr>
      <w:b/>
      <w:bCs/>
      <w:smallCaps/>
      <w:color w:val="auto"/>
      <w:spacing w:val="5"/>
    </w:rPr>
  </w:style>
  <w:style w:type="character" w:customStyle="1" w:styleId="12">
    <w:name w:val="书籍标题1"/>
    <w:basedOn w:val="DefaultParagraphFont"/>
    <w:autoRedefine/>
    <w:uiPriority w:val="33"/>
    <w:qFormat/>
    <w:rPr>
      <w:rFonts w:ascii="Times New Roman" w:hAnsi="Times New Roman"/>
      <w:b/>
      <w:bCs/>
      <w:i/>
      <w:iCs/>
      <w:spacing w:val="5"/>
    </w:rPr>
  </w:style>
  <w:style w:type="paragraph" w:customStyle="1" w:styleId="13">
    <w:name w:val="修订1"/>
    <w:autoRedefine/>
    <w:hidden/>
    <w:uiPriority w:val="99"/>
    <w:semiHidden/>
    <w:qFormat/>
    <w:rPr>
      <w:rFonts w:ascii="Times New Roman" w:hAnsi="Times New Roman" w:cstheme="minorBidi"/>
      <w:sz w:val="24"/>
      <w:szCs w:val="22"/>
      <w:lang w:val="en-US" w:eastAsia="en-US"/>
    </w:rPr>
  </w:style>
  <w:style w:type="character" w:customStyle="1" w:styleId="14">
    <w:name w:val="未处理的提及1"/>
    <w:basedOn w:val="DefaultParagraphFont"/>
    <w:uiPriority w:val="99"/>
    <w:semiHidden/>
    <w:unhideWhenUsed/>
    <w:qFormat/>
    <w:rPr>
      <w:color w:val="605E5C"/>
      <w:shd w:val="clear" w:color="auto" w:fill="E1DFDD"/>
    </w:rPr>
  </w:style>
  <w:style w:type="character" w:customStyle="1" w:styleId="null">
    <w:name w:val="null"/>
    <w:basedOn w:val="DefaultParagraphFont"/>
    <w:qFormat/>
  </w:style>
  <w:style w:type="paragraph" w:customStyle="1" w:styleId="EndNoteBibliographyTitle">
    <w:name w:val="EndNote Bibliography Title"/>
    <w:basedOn w:val="Normal"/>
    <w:link w:val="EndNoteBibliographyTitle0"/>
    <w:qFormat/>
    <w:pPr>
      <w:spacing w:after="0"/>
      <w:jc w:val="center"/>
    </w:pPr>
    <w:rPr>
      <w:rFonts w:cs="Times New Roman"/>
    </w:rPr>
  </w:style>
  <w:style w:type="character" w:customStyle="1" w:styleId="EndNoteBibliographyTitle0">
    <w:name w:val="EndNote Bibliography Title 字符"/>
    <w:basedOn w:val="DefaultParagraphFont"/>
    <w:link w:val="EndNoteBibliographyTitle"/>
    <w:qFormat/>
    <w:rPr>
      <w:rFonts w:ascii="Times New Roman" w:hAnsi="Times New Roman" w:cs="Times New Roman"/>
      <w:sz w:val="24"/>
      <w:szCs w:val="22"/>
      <w:lang w:eastAsia="en-US"/>
    </w:rPr>
  </w:style>
  <w:style w:type="paragraph" w:customStyle="1" w:styleId="EndNoteBibliography">
    <w:name w:val="EndNote Bibliography"/>
    <w:basedOn w:val="Normal"/>
    <w:link w:val="EndNoteBibliography0"/>
    <w:qFormat/>
    <w:rPr>
      <w:rFonts w:cs="Times New Roman"/>
    </w:rPr>
  </w:style>
  <w:style w:type="character" w:customStyle="1" w:styleId="EndNoteBibliography0">
    <w:name w:val="EndNote Bibliography 字符"/>
    <w:basedOn w:val="DefaultParagraphFont"/>
    <w:link w:val="EndNoteBibliography"/>
    <w:qFormat/>
    <w:rPr>
      <w:rFonts w:ascii="Times New Roman" w:hAnsi="Times New Roman" w:cs="Times New Roman"/>
      <w:sz w:val="24"/>
      <w:szCs w:val="22"/>
      <w:lang w:eastAsia="en-US"/>
    </w:rPr>
  </w:style>
  <w:style w:type="paragraph" w:customStyle="1" w:styleId="2">
    <w:name w:val="修订2"/>
    <w:hidden/>
    <w:uiPriority w:val="99"/>
    <w:unhideWhenUsed/>
    <w:qFormat/>
    <w:rPr>
      <w:rFonts w:ascii="Times New Roman" w:hAnsi="Times New Roman" w:cstheme="minorBidi"/>
      <w:sz w:val="24"/>
      <w:szCs w:val="22"/>
      <w:lang w:val="en-US" w:eastAsia="en-US"/>
    </w:rPr>
  </w:style>
  <w:style w:type="paragraph" w:customStyle="1" w:styleId="TOCHeading1">
    <w:name w:val="TOC Heading1"/>
    <w:basedOn w:val="Heading1"/>
    <w:next w:val="Normal"/>
    <w:uiPriority w:val="39"/>
    <w:unhideWhenUsed/>
    <w:qFormat/>
    <w:pPr>
      <w:keepNext/>
      <w:keepLines/>
      <w:numPr>
        <w:numId w:val="0"/>
      </w:numPr>
      <w:tabs>
        <w:tab w:val="clear" w:pos="567"/>
      </w:tabs>
      <w:spacing w:before="480" w:after="0" w:line="276" w:lineRule="auto"/>
      <w:outlineLvl w:val="9"/>
    </w:pPr>
    <w:rPr>
      <w:rFonts w:asciiTheme="majorHAnsi" w:eastAsiaTheme="majorEastAsia" w:hAnsiTheme="majorHAnsi" w:cstheme="majorBidi"/>
      <w:bCs/>
      <w:color w:val="365F91" w:themeColor="accent1" w:themeShade="BF"/>
      <w:sz w:val="28"/>
      <w:szCs w:val="28"/>
    </w:rPr>
  </w:style>
  <w:style w:type="character" w:customStyle="1" w:styleId="katex-mathml">
    <w:name w:val="katex-mathml"/>
    <w:basedOn w:val="DefaultParagraphFont"/>
    <w:qFormat/>
  </w:style>
  <w:style w:type="character" w:customStyle="1" w:styleId="mord">
    <w:name w:val="mord"/>
    <w:basedOn w:val="DefaultParagraphFont"/>
    <w:qFormat/>
  </w:style>
  <w:style w:type="character" w:customStyle="1" w:styleId="vlist-s">
    <w:name w:val="vlist-s"/>
    <w:basedOn w:val="DefaultParagraphFont"/>
    <w:qFormat/>
  </w:style>
  <w:style w:type="character" w:customStyle="1" w:styleId="mrel">
    <w:name w:val="mrel"/>
    <w:basedOn w:val="DefaultParagraphFont"/>
    <w:qFormat/>
  </w:style>
  <w:style w:type="character" w:customStyle="1" w:styleId="mopen">
    <w:name w:val="mopen"/>
    <w:basedOn w:val="DefaultParagraphFont"/>
    <w:qFormat/>
  </w:style>
  <w:style w:type="character" w:customStyle="1" w:styleId="mpunct">
    <w:name w:val="mpunct"/>
    <w:basedOn w:val="DefaultParagraphFont"/>
    <w:qFormat/>
  </w:style>
  <w:style w:type="character" w:customStyle="1" w:styleId="mclose">
    <w:name w:val="mclose"/>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frontiers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3B9B34B1FCDAF94EB2608DE80A5BA693" ma:contentTypeVersion="3" ma:contentTypeDescription="Create a new document." ma:contentTypeScope="" ma:versionID="2583e322207393641a6287030bc27d9f">
  <xsd:schema xmlns:xsd="http://www.w3.org/2001/XMLSchema" xmlns:xs="http://www.w3.org/2001/XMLSchema" xmlns:p="http://schemas.microsoft.com/office/2006/metadata/properties" xmlns:ns2="95fc93e4-c1f6-47a2-9471-89897f152575" targetNamespace="http://schemas.microsoft.com/office/2006/metadata/properties" ma:root="true" ma:fieldsID="f0b51e4c7b02fb0287411ae54573cc70" ns2:_="">
    <xsd:import namespace="95fc93e4-c1f6-47a2-9471-89897f15257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fc93e4-c1f6-47a2-9471-89897f1525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F88353-3D03-40A4-A725-11CC3FAB9B00}">
  <ds:schemaRefs/>
</ds:datastoreItem>
</file>

<file path=customXml/itemProps3.xml><?xml version="1.0" encoding="utf-8"?>
<ds:datastoreItem xmlns:ds="http://schemas.openxmlformats.org/officeDocument/2006/customXml" ds:itemID="{C80633FE-2C4D-43D3-9027-7B70B5BC8799}">
  <ds:schemaRefs/>
</ds:datastoreItem>
</file>

<file path=customXml/itemProps4.xml><?xml version="1.0" encoding="utf-8"?>
<ds:datastoreItem xmlns:ds="http://schemas.openxmlformats.org/officeDocument/2006/customXml" ds:itemID="{A547FD6E-73F0-4542-8474-D6680317EFD1}">
  <ds:schemaRefs/>
</ds:datastoreItem>
</file>

<file path=customXml/itemProps5.xml><?xml version="1.0" encoding="utf-8"?>
<ds:datastoreItem xmlns:ds="http://schemas.openxmlformats.org/officeDocument/2006/customXml" ds:itemID="{9AEF8E48-EADC-4C4C-95CB-4EBB32787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frontiers_template</Template>
  <TotalTime>14</TotalTime>
  <Pages>11</Pages>
  <Words>4078</Words>
  <Characters>23249</Characters>
  <Application>Microsoft Office Word</Application>
  <DocSecurity>0</DocSecurity>
  <Lines>193</Lines>
  <Paragraphs>54</Paragraphs>
  <ScaleCrop>false</ScaleCrop>
  <Company/>
  <LinksUpToDate>false</LinksUpToDate>
  <CharactersWithSpaces>27273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dc:creator>
  <cp:lastModifiedBy>Mary Pearl Gem Singco Guardario</cp:lastModifiedBy>
  <cp:revision>11</cp:revision>
  <cp:lastPrinted>2013-10-03T12:51:00Z</cp:lastPrinted>
  <dcterms:created xsi:type="dcterms:W3CDTF">2025-07-08T07:17:00Z</dcterms:created>
  <dcterms:modified xsi:type="dcterms:W3CDTF">2025-09-05T02:38:00Z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0x0101003B9B34B1FCDAF94EB2608DE80A5BA693</vt:lpwstr>
  </property>
  <property fmtid="{D5CDD505-2E9C-101B-9397-08002B2CF9AE}" pid="3" name="_dlc_DocIdItemGuid">
    <vt:lpwstr>1f20ac40-4545-4ae8-9e88-2ffc72570862</vt:lpwstr>
  </property>
  <property fmtid="{D5CDD505-2E9C-101B-9397-08002B2CF9AE}" pid="4" name="Order">
    <vt:r8>1012000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KSOProductBuildVer">
    <vt:lpwstr>2052-12.1.0.22529</vt:lpwstr>
  </property>
  <property fmtid="{D5CDD505-2E9C-101B-9397-08002B2CF9AE}" pid="11" name="ICV">
    <vt:lpwstr>3D9BB6B3BDFA4D5ABA26DA1E7C0E5DA5_13</vt:lpwstr>
  </property>
  <property fmtid="{D5CDD505-2E9C-101B-9397-08002B2CF9AE}" pid="12" name="KSOTemplateDocerSaveRecord">
    <vt:lpwstr>eyJoZGlkIjoiMWExYWU3MTJiMTk5OTY1ZjMxN2E3ZTczNWQ2ODZjMTUiLCJ1c2VySWQiOiI4NzYyODEyNjMifQ==</vt:lpwstr>
  </property>
</Properties>
</file>