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 xml:space="preserve">The </w:t>
      </w:r>
      <w:r>
        <w:rPr>
          <w:rFonts w:hint="eastAsia" w:ascii="Times New Roman" w:hAnsi="Times New Roman" w:cs="Times New Roman"/>
          <w:b/>
          <w:bCs/>
          <w:sz w:val="28"/>
          <w:szCs w:val="36"/>
          <w:lang w:val="en-US" w:eastAsia="zh-CN"/>
        </w:rPr>
        <w:t xml:space="preserve">1 round results of Delphi </w:t>
      </w:r>
    </w:p>
    <w:p>
      <w:pPr>
        <w:numPr>
          <w:ilvl w:val="0"/>
          <w:numId w:val="0"/>
        </w:numPr>
        <w:spacing w:line="480" w:lineRule="auto"/>
        <w:ind w:firstLine="480" w:firstLineChars="20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In the initial round of inquiry, 7 indicators were eliminated based on expert opinions and criteria for indicator selection: "Gender," "Mental Health Status," "Primary Source of Income," "Personal Annual Income," "Housing Structure," "Pre-Retirement Occupation," and "Ground Slip Prevention Signs and Treatment." Additionally, 8 indicators were introduced: "Sleep Quality," "BMI Index," "Thrombosis Risk Score," "Pressure Injury Risk Score," "Adherence to Medical Advice," "Dispute Resolution and Complaint Channels," and "Multifunctional Nursing Beds." The subcategory "Family Social Vulnerability" was subdivided into "Family Vulnerability" and "Social Vulnerability,"</w:t>
      </w:r>
      <w:bookmarkStart w:id="4" w:name="_GoBack"/>
      <w:bookmarkEnd w:id="4"/>
      <w:r>
        <w:rPr>
          <w:rFonts w:hint="eastAsia" w:ascii="Times New Roman" w:hAnsi="Times New Roman" w:eastAsia="宋体" w:cs="Times New Roman"/>
          <w:sz w:val="24"/>
          <w:szCs w:val="24"/>
          <w:lang w:val="en-US" w:eastAsia="zh-CN"/>
        </w:rPr>
        <w:t xml:space="preserve"> while 2 indicators underwent modification: "Self-Rated Health Status" was adjusted to "Two-Week Disease Rate," and the indicators "Smoking Index" and "Alcohol Abuse" were assimilated into the third-level indicators of health vulnerability. Following the initial round of inquiry, a pool of indicators comprising 2 primary indicators, 12 secondary indicators, and 58 third-level indicators was established.</w:t>
      </w:r>
    </w:p>
    <w:tbl>
      <w:tblPr>
        <w:tblStyle w:val="3"/>
        <w:tblW w:w="9967"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54"/>
        <w:gridCol w:w="4013"/>
        <w:gridCol w:w="1300"/>
        <w:gridCol w:w="1300"/>
        <w:gridCol w:w="130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2054" w:type="dxa"/>
            <w:tcBorders>
              <w:bottom w:val="single" w:color="auto" w:sz="2" w:space="0"/>
            </w:tcBorders>
            <w:noWrap w:val="0"/>
            <w:vAlign w:val="center"/>
          </w:tcPr>
          <w:p>
            <w:pPr>
              <w:bidi w:val="0"/>
              <w:jc w:val="center"/>
              <w:rPr>
                <w:rFonts w:hint="default" w:ascii="Times New Roman" w:hAnsi="Times New Roman" w:eastAsia="宋体" w:cs="Times New Roman"/>
                <w:color w:val="auto"/>
                <w:highlight w:val="none"/>
                <w:lang w:val="en-US" w:eastAsia="zh-CN"/>
              </w:rPr>
            </w:pPr>
            <w:bookmarkStart w:id="0" w:name="OLE_LINK1"/>
            <w:bookmarkStart w:id="1" w:name="OLE_LINK2" w:colFirst="6" w:colLast="6"/>
            <w:r>
              <w:rPr>
                <w:rFonts w:hint="default" w:ascii="Times New Roman" w:hAnsi="Times New Roman" w:eastAsia="宋体" w:cs="Times New Roman"/>
                <w:b/>
                <w:bCs/>
                <w:highlight w:val="none"/>
              </w:rPr>
              <w:t>Indicators</w:t>
            </w:r>
          </w:p>
        </w:tc>
        <w:tc>
          <w:tcPr>
            <w:tcW w:w="4013" w:type="dxa"/>
            <w:tcBorders>
              <w:bottom w:val="single" w:color="auto" w:sz="2" w:space="0"/>
            </w:tcBorders>
            <w:noWrap w:val="0"/>
            <w:vAlign w:val="center"/>
          </w:tcPr>
          <w:p>
            <w:pPr>
              <w:bidi w:val="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b/>
                <w:bCs/>
                <w:highlight w:val="none"/>
              </w:rPr>
              <w:t>Indicators</w:t>
            </w:r>
            <w:r>
              <w:rPr>
                <w:rFonts w:hint="eastAsia" w:ascii="Times New Roman" w:hAnsi="Times New Roman" w:eastAsia="宋体" w:cs="Times New Roman"/>
                <w:b/>
                <w:bCs/>
                <w:highlight w:val="none"/>
                <w:lang w:val="en-US" w:eastAsia="zh-CN"/>
              </w:rPr>
              <w:t xml:space="preserve"> c</w:t>
            </w:r>
            <w:r>
              <w:rPr>
                <w:rFonts w:hint="default" w:ascii="Times New Roman" w:hAnsi="Times New Roman" w:eastAsia="宋体" w:cs="Times New Roman"/>
                <w:b/>
                <w:bCs/>
                <w:highlight w:val="none"/>
              </w:rPr>
              <w:t>onnotation</w:t>
            </w:r>
          </w:p>
        </w:tc>
        <w:tc>
          <w:tcPr>
            <w:tcW w:w="1300" w:type="dxa"/>
            <w:tcBorders>
              <w:bottom w:val="single" w:color="auto" w:sz="2" w:space="0"/>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sym w:font="Symbol" w:char="F060"/>
            </w:r>
            <w:r>
              <w:rPr>
                <w:rFonts w:hint="default" w:ascii="Times New Roman" w:hAnsi="Times New Roman" w:eastAsia="宋体" w:cs="Times New Roman"/>
                <w:sz w:val="21"/>
                <w:szCs w:val="21"/>
                <w:lang w:val="en-US" w:eastAsia="zh-CN"/>
              </w:rPr>
              <w:sym w:font="Symbol" w:char="F063"/>
            </w:r>
          </w:p>
        </w:tc>
        <w:tc>
          <w:tcPr>
            <w:tcW w:w="1300" w:type="dxa"/>
            <w:tcBorders>
              <w:bottom w:val="single" w:color="auto" w:sz="2" w:space="0"/>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s</w:t>
            </w:r>
          </w:p>
        </w:tc>
        <w:tc>
          <w:tcPr>
            <w:tcW w:w="1300" w:type="dxa"/>
            <w:tcBorders>
              <w:bottom w:val="single" w:color="auto" w:sz="2" w:space="0"/>
            </w:tcBorders>
            <w:noWrap w:val="0"/>
            <w:vAlign w:val="center"/>
          </w:tcPr>
          <w:p>
            <w:pPr>
              <w:numPr>
                <w:ilvl w:val="0"/>
                <w:numId w:val="0"/>
              </w:numPr>
              <w:spacing w:line="480" w:lineRule="auto"/>
              <w:ind w:firstLine="210" w:firstLineChars="1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CV=s/</w:t>
            </w:r>
            <w:r>
              <w:rPr>
                <w:rFonts w:hint="default" w:ascii="Times New Roman" w:hAnsi="Times New Roman" w:eastAsia="宋体" w:cs="Times New Roman"/>
                <w:sz w:val="21"/>
                <w:szCs w:val="21"/>
                <w:lang w:val="en-US" w:eastAsia="zh-CN"/>
              </w:rPr>
              <w:sym w:font="Symbol" w:char="F063"/>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2054" w:type="dxa"/>
            <w:tcBorders>
              <w:top w:val="single" w:color="auto" w:sz="2" w:space="0"/>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Ⅰ-1 Individual Sensitivity</w:t>
            </w:r>
          </w:p>
        </w:tc>
        <w:tc>
          <w:tcPr>
            <w:tcW w:w="4013" w:type="dxa"/>
            <w:tcBorders>
              <w:top w:val="single" w:color="auto" w:sz="2" w:space="0"/>
              <w:tl2br w:val="nil"/>
              <w:tr2bl w:val="nil"/>
            </w:tcBorders>
            <w:noWrap w:val="0"/>
            <w:vAlign w:val="center"/>
          </w:tcPr>
          <w:p>
            <w:pPr>
              <w:bidi w:val="0"/>
              <w:rPr>
                <w:rFonts w:hint="default" w:ascii="Times New Roman" w:hAnsi="Times New Roman" w:eastAsia="宋体" w:cs="Times New Roman"/>
                <w:highlight w:val="none"/>
                <w:lang w:val="en-US" w:eastAsia="zh-CN"/>
              </w:rPr>
            </w:pPr>
          </w:p>
        </w:tc>
        <w:tc>
          <w:tcPr>
            <w:tcW w:w="1300" w:type="dxa"/>
            <w:tcBorders>
              <w:top w:val="single" w:color="auto" w:sz="2" w:space="0"/>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4.80 </w:t>
            </w:r>
          </w:p>
        </w:tc>
        <w:tc>
          <w:tcPr>
            <w:tcW w:w="1300" w:type="dxa"/>
            <w:tcBorders>
              <w:top w:val="single" w:color="auto" w:sz="2" w:space="0"/>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0.41 </w:t>
            </w:r>
          </w:p>
        </w:tc>
        <w:tc>
          <w:tcPr>
            <w:tcW w:w="1300" w:type="dxa"/>
            <w:tcBorders>
              <w:top w:val="single" w:color="auto" w:sz="2" w:space="0"/>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0.09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Ⅱ-1</w:t>
            </w:r>
            <w:r>
              <w:rPr>
                <w:rFonts w:hint="eastAsia" w:ascii="Times New Roman" w:hAnsi="Times New Roman" w:eastAsia="宋体" w:cs="Times New Roman"/>
                <w:color w:val="auto"/>
                <w:highlight w:val="none"/>
                <w:lang w:val="en-US" w:eastAsia="zh-CN"/>
              </w:rPr>
              <w:t>Physiological Vulnerability</w:t>
            </w:r>
          </w:p>
        </w:tc>
        <w:tc>
          <w:tcPr>
            <w:tcW w:w="4013" w:type="dxa"/>
            <w:tcBorders>
              <w:tl2br w:val="nil"/>
              <w:tr2bl w:val="nil"/>
            </w:tcBorders>
            <w:noWrap w:val="0"/>
            <w:vAlign w:val="center"/>
          </w:tcPr>
          <w:p>
            <w:pPr>
              <w:bidi w:val="0"/>
              <w:rPr>
                <w:rFonts w:hint="default" w:ascii="Times New Roman" w:hAnsi="Times New Roman" w:eastAsia="宋体" w:cs="Times New Roman"/>
                <w:highlight w:val="none"/>
                <w:lang w:val="en-US" w:eastAsia="zh-CN"/>
              </w:rPr>
            </w:pP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4.85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0.37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Ⅲ-1 Age</w:t>
            </w:r>
          </w:p>
        </w:tc>
        <w:tc>
          <w:tcPr>
            <w:tcW w:w="4013" w:type="dxa"/>
            <w:tcBorders>
              <w:tl2br w:val="nil"/>
              <w:tr2bl w:val="nil"/>
            </w:tcBorders>
            <w:noWrap w:val="0"/>
            <w:vAlign w:val="center"/>
          </w:tcPr>
          <w:p>
            <w:pPr>
              <w:bidi w:val="0"/>
              <w:rPr>
                <w:rFonts w:hint="default" w:ascii="Times New Roman" w:hAnsi="Times New Roman" w:eastAsia="宋体" w:cs="Times New Roman"/>
                <w:highlight w:val="none"/>
                <w:lang w:val="en-US" w:eastAsia="zh-CN"/>
              </w:rPr>
            </w:pPr>
            <w:r>
              <w:rPr>
                <w:rFonts w:hint="default" w:ascii="Times New Roman" w:hAnsi="Times New Roman" w:eastAsia="宋体" w:cs="Times New Roman"/>
                <w:lang w:val="en-US" w:eastAsia="zh-CN"/>
              </w:rPr>
              <w:t>60-74 years old are considered young elderly; ≥75 years old are considered elderly.</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4.50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0.76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0.17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2Gender</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Male or female.</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2.70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0.66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0.24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bookmarkStart w:id="2" w:name="OLE_LINK3"/>
            <w:r>
              <w:rPr>
                <w:rFonts w:hint="default" w:ascii="Times New Roman" w:hAnsi="Times New Roman" w:eastAsia="宋体" w:cs="Times New Roman"/>
                <w:color w:val="auto"/>
                <w:highlight w:val="none"/>
                <w:lang w:val="en-US" w:eastAsia="zh-CN"/>
              </w:rPr>
              <w:t>Ⅲ</w:t>
            </w:r>
            <w:bookmarkEnd w:id="2"/>
            <w:r>
              <w:rPr>
                <w:rFonts w:hint="default"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lang w:val="en-US" w:eastAsia="zh-CN"/>
              </w:rPr>
              <w:t>Activities of Daily Living (ADL)</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 xml:space="preserve">Evaluate an individual's ability to care for themselves in daily life using </w:t>
            </w:r>
            <w:bookmarkStart w:id="3" w:name="OLE_LINK4"/>
            <w:r>
              <w:rPr>
                <w:rFonts w:hint="eastAsia" w:ascii="Times New Roman" w:hAnsi="Times New Roman" w:eastAsia="宋体" w:cs="Times New Roman"/>
                <w:lang w:val="en-US" w:eastAsia="zh-CN"/>
              </w:rPr>
              <w:t>the Barthel Index</w:t>
            </w:r>
            <w:bookmarkEnd w:id="3"/>
            <w:r>
              <w:rPr>
                <w:rFonts w:hint="eastAsia" w:ascii="Times New Roman" w:hAnsi="Times New Roman" w:eastAsia="宋体" w:cs="Times New Roman"/>
                <w:lang w:val="en-US" w:eastAsia="zh-CN"/>
              </w:rPr>
              <w:t>(BI).</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4.65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0.81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0.17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4Cognitive Ability</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T</w:t>
            </w:r>
            <w:r>
              <w:rPr>
                <w:rFonts w:hint="eastAsia" w:ascii="Times New Roman" w:hAnsi="Times New Roman" w:eastAsia="宋体" w:cs="Times New Roman"/>
                <w:lang w:val="en-US" w:eastAsia="zh-CN"/>
              </w:rPr>
              <w:t>he Mini-Mental State Examination (MMSE) is used to assess the cognitive abilities of elderly individuals, including perception, memory, attention, thinking, and imagination.</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4.85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0.37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lang w:val="en-US" w:eastAsia="zh-CN"/>
              </w:rPr>
              <w:t>Oral Health Status</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the oral health condition, including teeth, gums, tongue, and oral mucosa.</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4.35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0.88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0.20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6Degree of Visual Impairment</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Whether there are serious eye conditions such as visual impairment, blindness, or other severe ocular disorders significantly affecting daily life.</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4.45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0.76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0.17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7Degree of Hearing Impairment</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Assessing four indicators: awareness, vision, hearing, and communication in elderly individuals.</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4.40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0.82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0.19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8</w:t>
            </w:r>
            <w:r>
              <w:rPr>
                <w:rFonts w:hint="default" w:ascii="Times New Roman" w:hAnsi="Times New Roman" w:eastAsia="宋体" w:cs="Times New Roman"/>
                <w:color w:val="auto"/>
                <w:highlight w:val="none"/>
                <w:lang w:val="en-US" w:eastAsia="zh-CN"/>
              </w:rPr>
              <w:t>Pain Level</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the pain level of the elderly using the Wong-Baker Faces Pain Rating Scale.</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4.75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0.55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0.12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9</w:t>
            </w:r>
            <w:r>
              <w:rPr>
                <w:rFonts w:hint="default" w:ascii="Times New Roman" w:hAnsi="Times New Roman" w:eastAsia="宋体" w:cs="Times New Roman"/>
                <w:color w:val="auto"/>
                <w:highlight w:val="none"/>
                <w:lang w:val="en-US" w:eastAsia="zh-CN"/>
              </w:rPr>
              <w:t>Smoking Index</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Calculate the smoking index by multiplying the number of cigarettes smoked per day by the number of years smoked. A smoking index ≤200 is mild, 200-400 is moderate, and ≥400 is heavy smoking.</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4.60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0.75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0.16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10</w:t>
            </w:r>
            <w:r>
              <w:rPr>
                <w:rFonts w:hint="default" w:ascii="Times New Roman" w:hAnsi="Times New Roman" w:eastAsia="宋体" w:cs="Times New Roman"/>
                <w:lang w:val="en-US" w:eastAsia="zh-CN"/>
              </w:rPr>
              <w:t>Alcohol</w:t>
            </w:r>
            <w:r>
              <w:rPr>
                <w:rFonts w:hint="eastAsia" w:ascii="Times New Roman" w:hAnsi="Times New Roman" w:eastAsia="宋体" w:cs="Times New Roman"/>
                <w:lang w:val="en-US" w:eastAsia="zh-CN"/>
              </w:rPr>
              <w:t xml:space="preserve"> </w:t>
            </w:r>
            <w:r>
              <w:rPr>
                <w:rFonts w:hint="default" w:ascii="Times New Roman" w:hAnsi="Times New Roman" w:eastAsia="宋体" w:cs="Times New Roman"/>
                <w:lang w:val="en-US" w:eastAsia="zh-CN"/>
              </w:rPr>
              <w:t>Abuse Situation</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alcohol abuse, considering whether there is repeated or long-term alcohol consumption leading to psychological dependence or physical and mental dependence for ≥1 year or daily consumption for ≥1 month.</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4.70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0.66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0.14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2Health Vulnerability</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4.95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0.22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0.05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11</w:t>
            </w:r>
            <w:r>
              <w:rPr>
                <w:rFonts w:hint="default" w:ascii="Times New Roman" w:hAnsi="Times New Roman" w:eastAsia="宋体" w:cs="Times New Roman"/>
                <w:color w:val="auto"/>
                <w:highlight w:val="none"/>
                <w:lang w:val="en-US" w:eastAsia="zh-CN"/>
              </w:rPr>
              <w:t>Functional Comorbidity Index</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the number of chronic diseases an individual has using the Functional Comorbidity Index (FCI).</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4.60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0.75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0.16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12Self-Rated Health Status</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The subjective assessment of their health condition by the elderly.</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4.35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0.75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0.17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13</w:t>
            </w:r>
            <w:r>
              <w:rPr>
                <w:rFonts w:hint="default" w:ascii="Times New Roman" w:hAnsi="Times New Roman" w:eastAsia="宋体" w:cs="Times New Roman"/>
                <w:lang w:val="en-US" w:eastAsia="zh-CN"/>
              </w:rPr>
              <w:t>Fall Risk</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the risk of falls using the Morse Fall Scale and classify the individual's fall risk level accordingly.</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4.50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0.83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lang w:val="en-US" w:eastAsia="zh-CN"/>
              </w:rPr>
              <w:t>Psychological Vulnerability</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4.85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0.37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14Mental Health Status</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The individual's health status in terms of cognition, emotion, will, behavior, and personality psychology.</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2.60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0.60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0.23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Ⅲ-1</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lang w:val="en-US" w:eastAsia="zh-CN"/>
              </w:rPr>
              <w:t>Anxiety Index</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anxiety using the Self-Rating Anxiety Scale (SAS).</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4.70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0.66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0.14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Ⅲ-1</w:t>
            </w:r>
            <w:r>
              <w:rPr>
                <w:rFonts w:hint="eastAsia" w:ascii="Times New Roman" w:hAnsi="Times New Roman" w:eastAsia="宋体" w:cs="Times New Roman"/>
                <w:color w:val="auto"/>
                <w:highlight w:val="none"/>
                <w:lang w:val="en-US" w:eastAsia="zh-CN"/>
              </w:rPr>
              <w:t>6</w:t>
            </w:r>
            <w:r>
              <w:rPr>
                <w:rFonts w:hint="default" w:ascii="Times New Roman" w:hAnsi="Times New Roman" w:eastAsia="宋体" w:cs="Times New Roman"/>
                <w:lang w:val="en-US" w:eastAsia="zh-CN"/>
              </w:rPr>
              <w:t xml:space="preserve"> Depression Level</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depression using the Patient Health Questionnaire-9 (PHQ-9).</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4.65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0.67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0.14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Ⅲ-1</w:t>
            </w:r>
            <w:r>
              <w:rPr>
                <w:rFonts w:hint="eastAsia" w:ascii="Times New Roman" w:hAnsi="Times New Roman" w:eastAsia="宋体" w:cs="Times New Roman"/>
                <w:color w:val="auto"/>
                <w:highlight w:val="none"/>
                <w:lang w:val="en-US" w:eastAsia="zh-CN"/>
              </w:rPr>
              <w:t>7</w:t>
            </w:r>
            <w:r>
              <w:rPr>
                <w:rFonts w:hint="default" w:ascii="Times New Roman" w:hAnsi="Times New Roman" w:eastAsia="宋体" w:cs="Times New Roman"/>
                <w:lang w:val="en-US" w:eastAsia="zh-CN"/>
              </w:rPr>
              <w:t>Loneliness Situation</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loneliness using the UCLA Loneliness Scale (ULS-8).</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4.60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0.75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0.16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18</w:t>
            </w:r>
            <w:r>
              <w:rPr>
                <w:rFonts w:hint="default" w:ascii="Times New Roman" w:hAnsi="Times New Roman" w:eastAsia="宋体" w:cs="Times New Roman"/>
                <w:lang w:val="en-US" w:eastAsia="zh-CN"/>
              </w:rPr>
              <w:t>Self-Burden Perception</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self-perceived burden using the Self-Perceived Burden Scale (SPBS).</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4.35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0.88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0.20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lang w:val="en-US" w:eastAsia="zh-CN"/>
              </w:rPr>
              <w:t>Family Social Vulnerability</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4.80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0.41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0.09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19</w:t>
            </w:r>
            <w:r>
              <w:rPr>
                <w:rFonts w:hint="default" w:ascii="Times New Roman" w:hAnsi="Times New Roman" w:eastAsia="宋体" w:cs="Times New Roman"/>
                <w:color w:val="auto"/>
                <w:highlight w:val="none"/>
                <w:lang w:val="en-US" w:eastAsia="zh-CN"/>
              </w:rPr>
              <w:t>Marital Status</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marital status, including unmarried, married, widowed, or divorced.</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4.50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0.83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20Number of Children</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The number of biological/adopted children of the elderly.</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4.70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0.57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0.12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21</w:t>
            </w:r>
            <w:r>
              <w:rPr>
                <w:rFonts w:hint="default" w:ascii="Times New Roman" w:hAnsi="Times New Roman" w:eastAsia="宋体" w:cs="Times New Roman"/>
                <w:lang w:val="en-US" w:eastAsia="zh-CN"/>
              </w:rPr>
              <w:t>Average Annual Visits by Children</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Average number of visits per year by children to nursing homes.</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4.30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0.19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Ⅲ-2</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lang w:val="en-US" w:eastAsia="zh-CN"/>
              </w:rPr>
              <w:t>Average Annual Visits by Relatives Excluding Children</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Average number of visits per year by relatives excluding children to nursing homes.</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4.55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0.76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0.17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Ⅲ-2</w:t>
            </w:r>
            <w:r>
              <w:rPr>
                <w:rFonts w:hint="eastAsia" w:ascii="Times New Roman" w:hAnsi="Times New Roman" w:eastAsia="宋体" w:cs="Times New Roman"/>
                <w:color w:val="auto"/>
                <w:highlight w:val="none"/>
                <w:lang w:val="en-US" w:eastAsia="zh-CN"/>
              </w:rPr>
              <w:t>3</w:t>
            </w:r>
            <w:r>
              <w:rPr>
                <w:rFonts w:hint="default" w:ascii="Times New Roman" w:hAnsi="Times New Roman" w:eastAsia="宋体" w:cs="Times New Roman"/>
                <w:lang w:val="en-US" w:eastAsia="zh-CN"/>
              </w:rPr>
              <w:t>Frequency of Participating in Recreational Activities</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Number of times elderly individuals participate in leisure activities such as singing and dancing within a certain period.</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4.50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0.76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0.17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Ⅲ-2</w:t>
            </w:r>
            <w:r>
              <w:rPr>
                <w:rFonts w:hint="eastAsia"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lang w:val="en-US" w:eastAsia="zh-CN"/>
              </w:rPr>
              <w:t>Frequency of Participation in Social Activities</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Number of times elderly individuals participate in social activities related to interpersonal interaction within a certain period.</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4.40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0.82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0.19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Ⅲ-2</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sz w:val="24"/>
                <w:szCs w:val="24"/>
                <w:highlight w:val="none"/>
                <w:lang w:val="en-US" w:eastAsia="zh-CN"/>
              </w:rPr>
              <w:t>Living Arrangements</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The size and quality structure of the living space for the elderly.</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3.30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0.24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Ⅲ-2</w:t>
            </w:r>
            <w:r>
              <w:rPr>
                <w:rFonts w:hint="eastAsia"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lang w:val="en-US" w:eastAsia="zh-CN"/>
              </w:rPr>
              <w:t>Composition of Co-residents</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Composition of co-residents living with the elderly in a fixed space for a relatively long period.</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4.35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0.88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0.20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5Economic Vulnerability</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4.70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0.57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0.12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Ⅲ-2</w:t>
            </w:r>
            <w:r>
              <w:rPr>
                <w:rFonts w:hint="eastAsia" w:ascii="Times New Roman" w:hAnsi="Times New Roman" w:eastAsia="宋体" w:cs="Times New Roman"/>
                <w:color w:val="auto"/>
                <w:highlight w:val="none"/>
                <w:lang w:val="en-US" w:eastAsia="zh-CN"/>
              </w:rPr>
              <w:t>7</w:t>
            </w:r>
            <w:r>
              <w:rPr>
                <w:rFonts w:hint="eastAsia" w:ascii="Times New Roman" w:hAnsi="Times New Roman" w:eastAsia="宋体" w:cs="Times New Roman"/>
                <w:sz w:val="24"/>
                <w:szCs w:val="24"/>
                <w:highlight w:val="none"/>
                <w:lang w:val="en-US" w:eastAsia="zh-CN"/>
              </w:rPr>
              <w:t>Primary Source of Income</w:t>
            </w:r>
          </w:p>
        </w:tc>
        <w:tc>
          <w:tcPr>
            <w:tcW w:w="4013" w:type="dxa"/>
            <w:tcBorders>
              <w:tl2br w:val="nil"/>
              <w:tr2bl w:val="nil"/>
            </w:tcBorders>
            <w:noWrap w:val="0"/>
            <w:vAlign w:val="center"/>
          </w:tcPr>
          <w:p>
            <w:pPr>
              <w:bidi w:val="0"/>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The primary sources of income for the elderly.</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3.35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0.93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0.28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Ⅲ-2</w:t>
            </w:r>
            <w:r>
              <w:rPr>
                <w:rFonts w:hint="eastAsia" w:ascii="Times New Roman" w:hAnsi="Times New Roman" w:eastAsia="宋体" w:cs="Times New Roman"/>
                <w:color w:val="auto"/>
                <w:highlight w:val="none"/>
                <w:lang w:val="en-US" w:eastAsia="zh-CN"/>
              </w:rPr>
              <w:t>8</w:t>
            </w:r>
            <w:r>
              <w:rPr>
                <w:rFonts w:hint="eastAsia" w:ascii="Times New Roman" w:hAnsi="Times New Roman" w:eastAsia="宋体" w:cs="Times New Roman"/>
                <w:sz w:val="24"/>
                <w:szCs w:val="24"/>
                <w:highlight w:val="none"/>
                <w:lang w:val="en-US" w:eastAsia="zh-CN"/>
              </w:rPr>
              <w:t>Personal Annual Income</w:t>
            </w:r>
          </w:p>
        </w:tc>
        <w:tc>
          <w:tcPr>
            <w:tcW w:w="4013" w:type="dxa"/>
            <w:tcBorders>
              <w:tl2br w:val="nil"/>
              <w:tr2bl w:val="nil"/>
            </w:tcBorders>
            <w:noWrap w:val="0"/>
            <w:vAlign w:val="center"/>
          </w:tcPr>
          <w:p>
            <w:pPr>
              <w:bidi w:val="0"/>
              <w:rPr>
                <w:rFonts w:hint="eastAsia" w:ascii="Times New Roman" w:hAnsi="Times New Roman" w:eastAsia="宋体" w:cs="Times New Roman"/>
                <w:lang w:val="en-US" w:eastAsia="zh-CN"/>
              </w:rPr>
            </w:pPr>
            <w:r>
              <w:rPr>
                <w:rFonts w:hint="default" w:ascii="Times New Roman" w:hAnsi="Times New Roman" w:eastAsia="宋体" w:cs="Times New Roman"/>
                <w:lang w:val="en-US" w:eastAsia="zh-CN"/>
              </w:rPr>
              <w:t>The total income obtained by the elderly from various economic activities within a year, including wages, dividends, bonuses, and other forms of earnings.</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2.95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0.89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0.30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29Adequacy of Living Sources</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Whether the sources of income are sufficient to meet the basic living needs of the elderly.</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4.35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0.75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0.17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30</w:t>
            </w:r>
            <w:r>
              <w:rPr>
                <w:rFonts w:hint="default" w:ascii="Times New Roman" w:hAnsi="Times New Roman" w:eastAsia="宋体" w:cs="Times New Roman"/>
                <w:color w:val="auto"/>
                <w:highlight w:val="none"/>
                <w:lang w:val="en-US" w:eastAsia="zh-CN"/>
              </w:rPr>
              <w:t>Family Economic Status</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Total household income and property owned by cohabiting family members.</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4.25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0.20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31</w:t>
            </w:r>
            <w:r>
              <w:rPr>
                <w:rFonts w:hint="default" w:ascii="Times New Roman" w:hAnsi="Times New Roman" w:eastAsia="宋体" w:cs="Times New Roman"/>
                <w:lang w:val="en-US" w:eastAsia="zh-CN"/>
              </w:rPr>
              <w:t>Burden of Elderly Care Expenses</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Whether the economic situation can afford the elderly's retirement expenses.</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4.60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0.60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0.13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32</w:t>
            </w:r>
            <w:r>
              <w:rPr>
                <w:rFonts w:hint="default" w:ascii="Times New Roman" w:hAnsi="Times New Roman" w:eastAsia="宋体" w:cs="Times New Roman"/>
                <w:lang w:val="en-US" w:eastAsia="zh-CN"/>
              </w:rPr>
              <w:t>Burden of Disease Expenses</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Whether the economic situation can afford the elderly's medical expenses.</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4.65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0.59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0.13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Ⅰ-2Anti-fragility Ability</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4.85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0.37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lang w:val="en-US" w:eastAsia="zh-CN"/>
              </w:rPr>
              <w:t>Health Security</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4.70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0.47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33</w:t>
            </w:r>
            <w:r>
              <w:rPr>
                <w:rFonts w:hint="eastAsia" w:ascii="Times New Roman" w:hAnsi="Times New Roman" w:eastAsia="宋体" w:cs="Times New Roman"/>
                <w:sz w:val="24"/>
                <w:szCs w:val="24"/>
                <w:highlight w:val="none"/>
                <w:lang w:val="en-US" w:eastAsia="zh-CN"/>
              </w:rPr>
              <w:t>Pre-retirement Occupation</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The nature of work undertaken by the elderly before retiring from their positions due to old age, retirement, disability, or illness, in accordance with relevant national regulations.</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3.90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1.33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0.34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34</w:t>
            </w:r>
            <w:r>
              <w:rPr>
                <w:rFonts w:hint="default" w:ascii="Times New Roman" w:hAnsi="Times New Roman" w:eastAsia="宋体" w:cs="Times New Roman"/>
                <w:color w:val="auto"/>
                <w:highlight w:val="none"/>
                <w:lang w:val="en-US" w:eastAsia="zh-CN"/>
              </w:rPr>
              <w:t>Medical Compliance</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the individual's compliance with medical care, including whether they actively choose or accept medical and nursing care based on their health condition.</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4.55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0.76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0.17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35</w:t>
            </w:r>
            <w:r>
              <w:rPr>
                <w:rFonts w:hint="default" w:ascii="Times New Roman" w:hAnsi="Times New Roman" w:eastAsia="宋体" w:cs="Times New Roman"/>
                <w:lang w:val="en-US" w:eastAsia="zh-CN"/>
              </w:rPr>
              <w:t>Regular Physical Examination Status</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Number of proactive visits to medical institutions for health check-ups per year.</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4.70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0.17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7Family Social Security Ability</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4.70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0.47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6"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36</w:t>
            </w:r>
            <w:r>
              <w:rPr>
                <w:rFonts w:hint="eastAsia" w:ascii="Times New Roman" w:hAnsi="Times New Roman" w:eastAsia="宋体" w:cs="Times New Roman"/>
                <w:color w:val="auto"/>
                <w:sz w:val="21"/>
                <w:szCs w:val="21"/>
                <w:highlight w:val="none"/>
                <w:lang w:val="en-US" w:eastAsia="zh-CN"/>
              </w:rPr>
              <w:t>Proportion of Adult Children who Regularly Contact the Elderly</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The proportion of adult children, who contact their elderly parents through methods such as phone calls or visits to nursing homes at least twice a week, relative to the total number of children the elderly have.</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4.50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0.83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37</w:t>
            </w:r>
            <w:r>
              <w:rPr>
                <w:rFonts w:hint="default" w:ascii="Times New Roman" w:hAnsi="Times New Roman" w:eastAsia="宋体" w:cs="Times New Roman"/>
                <w:color w:val="auto"/>
                <w:highlight w:val="none"/>
                <w:lang w:val="en-US" w:eastAsia="zh-CN"/>
              </w:rPr>
              <w:t>Social Support Status</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social support using the Social Support Rating Scale (SSRS).</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4.80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0.41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0.09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38</w:t>
            </w:r>
            <w:r>
              <w:rPr>
                <w:rFonts w:hint="default" w:ascii="Times New Roman" w:hAnsi="Times New Roman" w:eastAsia="宋体" w:cs="Times New Roman"/>
                <w:color w:val="auto"/>
                <w:highlight w:val="none"/>
                <w:lang w:val="en-US" w:eastAsia="zh-CN"/>
              </w:rPr>
              <w:t>Pension Insurance</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Whether there is employee pension insurance or urban and rural residents pension insurance or commercial pension insurance</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4.95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0.22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0.05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39</w:t>
            </w:r>
            <w:r>
              <w:rPr>
                <w:rFonts w:hint="default" w:ascii="Times New Roman" w:hAnsi="Times New Roman" w:eastAsia="宋体" w:cs="Times New Roman"/>
                <w:color w:val="auto"/>
                <w:highlight w:val="none"/>
                <w:lang w:val="en-US" w:eastAsia="zh-CN"/>
              </w:rPr>
              <w:t>Medical Insurance</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Whether it has employee medical insurance or resident medical insurance or commercial medical insurance</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4.85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0.37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8</w:t>
            </w:r>
            <w:r>
              <w:rPr>
                <w:rFonts w:hint="default" w:ascii="Times New Roman" w:hAnsi="Times New Roman" w:eastAsia="宋体" w:cs="Times New Roman"/>
                <w:color w:val="auto"/>
                <w:highlight w:val="none"/>
                <w:lang w:val="en-US" w:eastAsia="zh-CN"/>
              </w:rPr>
              <w:t>Institutional Living Care Guarantee</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4.70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0.47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40</w:t>
            </w:r>
            <w:r>
              <w:rPr>
                <w:rFonts w:hint="default" w:ascii="Times New Roman" w:hAnsi="Times New Roman" w:eastAsia="宋体" w:cs="Times New Roman"/>
                <w:lang w:val="en-US" w:eastAsia="zh-CN"/>
              </w:rPr>
              <w:t xml:space="preserve"> Room Hygiene Service</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Implementation of cleaning beds, changing sheets, and cleaning room hygiene.</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4.45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0.69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0.15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41</w:t>
            </w:r>
            <w:r>
              <w:rPr>
                <w:rFonts w:hint="default" w:ascii="Times New Roman" w:hAnsi="Times New Roman" w:eastAsia="宋体" w:cs="Times New Roman"/>
                <w:color w:val="auto"/>
                <w:highlight w:val="none"/>
                <w:lang w:val="en-US" w:eastAsia="zh-CN"/>
              </w:rPr>
              <w:t>Personal Hygiene Services</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Implementation of facial washing, oral hygiene, hand washing, hair washing, foot washing, nail trimming, assisting with bathing, and showering for patients who cannot take care of themselves.</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4.45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0.69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0.15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42</w:t>
            </w:r>
            <w:r>
              <w:rPr>
                <w:rFonts w:hint="default" w:ascii="Times New Roman" w:hAnsi="Times New Roman" w:eastAsia="宋体" w:cs="Times New Roman"/>
                <w:color w:val="auto"/>
                <w:highlight w:val="none"/>
                <w:lang w:val="en-US" w:eastAsia="zh-CN"/>
              </w:rPr>
              <w:t>Dietary Services</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Implementation of oral and dental care, menu planning, meal preparation, dining at designated locations, meal delivery, and feeding for elderly individuals who cannot feed themselves; unnecessary placement of gastric tubes.</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4.50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0.83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43</w:t>
            </w:r>
            <w:r>
              <w:rPr>
                <w:rFonts w:hint="eastAsia" w:ascii="Times New Roman" w:hAnsi="Times New Roman" w:eastAsia="宋体" w:cs="Times New Roman"/>
                <w:color w:val="auto"/>
                <w:sz w:val="21"/>
                <w:szCs w:val="21"/>
                <w:highlight w:val="none"/>
                <w:lang w:val="en-US" w:eastAsia="zh-CN"/>
              </w:rPr>
              <w:t>Assistance with Travel</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Whether there are institutional staff members assisting 'needy elderly' individuals with tasks such as going up and down stairs or going out to nursing homes.</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4.40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0.82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0.19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9</w:t>
            </w:r>
            <w:r>
              <w:rPr>
                <w:rFonts w:hint="default" w:ascii="Times New Roman" w:hAnsi="Times New Roman" w:eastAsia="宋体" w:cs="Times New Roman"/>
                <w:color w:val="auto"/>
                <w:highlight w:val="none"/>
                <w:lang w:val="en-US" w:eastAsia="zh-CN"/>
              </w:rPr>
              <w:t>Institutional Medical Care Guarantee</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4.95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0.22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0.05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44</w:t>
            </w:r>
            <w:r>
              <w:rPr>
                <w:rFonts w:hint="default" w:ascii="Times New Roman" w:hAnsi="Times New Roman" w:eastAsia="宋体" w:cs="Times New Roman"/>
                <w:color w:val="auto"/>
                <w:highlight w:val="none"/>
                <w:lang w:val="en-US" w:eastAsia="zh-CN"/>
              </w:rPr>
              <w:t>Basic Diagnosis and Treatment</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Capability to recognize early symptoms, manage common diseases, and operate clinical skills.</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4.30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0.86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0.20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45</w:t>
            </w:r>
            <w:r>
              <w:rPr>
                <w:rFonts w:hint="default" w:ascii="Times New Roman" w:hAnsi="Times New Roman" w:eastAsia="宋体" w:cs="Times New Roman"/>
                <w:color w:val="auto"/>
                <w:highlight w:val="none"/>
                <w:lang w:val="en-US" w:eastAsia="zh-CN"/>
              </w:rPr>
              <w:t>Chronic Disease Management</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Control of common chronic diseases and prevention of complications</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4.90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0.31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0.06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46</w:t>
            </w:r>
            <w:r>
              <w:rPr>
                <w:rFonts w:hint="default" w:ascii="Times New Roman" w:hAnsi="Times New Roman" w:eastAsia="宋体" w:cs="Times New Roman"/>
                <w:color w:val="auto"/>
                <w:highlight w:val="none"/>
                <w:lang w:val="en-US" w:eastAsia="zh-CN"/>
              </w:rPr>
              <w:t>Specialized Nursing Care</w:t>
            </w:r>
          </w:p>
        </w:tc>
        <w:tc>
          <w:tcPr>
            <w:tcW w:w="4013"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Common cardiovascular, cerebrovascular, respiratory system and other chronic diseases in the acute phase of the identification, stable or rehabilitation period of nursing and other implementation</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4.65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0.67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0.14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47</w:t>
            </w:r>
            <w:r>
              <w:rPr>
                <w:rFonts w:hint="eastAsia" w:ascii="Times New Roman" w:hAnsi="Times New Roman" w:eastAsia="宋体" w:cs="Times New Roman"/>
                <w:color w:val="auto"/>
                <w:sz w:val="21"/>
                <w:szCs w:val="21"/>
                <w:highlight w:val="none"/>
                <w:lang w:val="en-US" w:eastAsia="zh-CN"/>
              </w:rPr>
              <w:t>Medication Guidance</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Providing oral medication management, medication reminders, and guidance on medication precautions for 'needy elderly' individuals</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4.65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0.67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0.14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10</w:t>
            </w:r>
            <w:r>
              <w:rPr>
                <w:rFonts w:hint="default" w:ascii="Times New Roman" w:hAnsi="Times New Roman" w:eastAsia="宋体" w:cs="Times New Roman"/>
                <w:color w:val="auto"/>
                <w:highlight w:val="none"/>
                <w:lang w:val="en-US" w:eastAsia="zh-CN"/>
              </w:rPr>
              <w:t>Institutional Rehabilitation Health Guarantee</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4.80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0.41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0.09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Ⅲ-4</w:t>
            </w:r>
            <w:r>
              <w:rPr>
                <w:rFonts w:hint="eastAsia" w:ascii="Times New Roman" w:hAnsi="Times New Roman" w:eastAsia="宋体" w:cs="Times New Roman"/>
                <w:color w:val="auto"/>
                <w:highlight w:val="none"/>
                <w:lang w:val="en-US" w:eastAsia="zh-CN"/>
              </w:rPr>
              <w:t>8</w:t>
            </w:r>
            <w:r>
              <w:rPr>
                <w:rFonts w:hint="default" w:ascii="Times New Roman" w:hAnsi="Times New Roman" w:eastAsia="宋体" w:cs="Times New Roman"/>
                <w:color w:val="auto"/>
                <w:highlight w:val="none"/>
                <w:lang w:val="en-US" w:eastAsia="zh-CN"/>
              </w:rPr>
              <w:t>Nutritional Monitoring</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Regular monitoring, analysis, and evaluation of nutritional indicators for the elderly, and development of nutrition management plans.</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4.55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0.76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0.17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49</w:t>
            </w:r>
            <w:r>
              <w:rPr>
                <w:rFonts w:hint="default" w:ascii="Times New Roman" w:hAnsi="Times New Roman" w:eastAsia="宋体" w:cs="Times New Roman"/>
                <w:color w:val="auto"/>
                <w:highlight w:val="none"/>
                <w:lang w:val="en-US" w:eastAsia="zh-CN"/>
              </w:rPr>
              <w:t>Elderly Health Records</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Systematic documentation recording various health-related factors covering the health status of the elderly at each stage, including prevention, medical care, health care, and rehabilitation information.</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4.75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0.55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0.12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50</w:t>
            </w:r>
            <w:r>
              <w:rPr>
                <w:rFonts w:hint="default" w:ascii="Times New Roman" w:hAnsi="Times New Roman" w:eastAsia="宋体" w:cs="Times New Roman"/>
                <w:lang w:val="en-US" w:eastAsia="zh-CN"/>
              </w:rPr>
              <w:t>Rehabilitation Exercise Guidance</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Availability of rehabilitation plans and implementation of occupational therapy, physical therapy, and guidance for healthy exercise for patients in need.</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4.45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0.83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0.19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51</w:t>
            </w:r>
            <w:r>
              <w:rPr>
                <w:rFonts w:hint="eastAsia" w:ascii="Times New Roman" w:hAnsi="Times New Roman" w:eastAsia="宋体" w:cs="Times New Roman"/>
                <w:color w:val="auto"/>
                <w:sz w:val="24"/>
                <w:szCs w:val="24"/>
                <w:highlight w:val="none"/>
                <w:lang w:val="en-US" w:eastAsia="zh-CN"/>
              </w:rPr>
              <w:t>Fitness Exercise Guidance</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The implementation of fitness exercise plans and guidance on physical activities for 'needy patients'.</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4.50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0.83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Ⅱ-1</w:t>
            </w:r>
            <w:r>
              <w:rPr>
                <w:rFonts w:hint="eastAsia"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lang w:val="en-US" w:eastAsia="zh-CN"/>
              </w:rPr>
              <w:t>Institutional Psychological Service Guarantee</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4.80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0.41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0.09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52</w:t>
            </w:r>
            <w:r>
              <w:rPr>
                <w:rFonts w:hint="default" w:ascii="Times New Roman" w:hAnsi="Times New Roman" w:eastAsia="宋体" w:cs="Times New Roman"/>
                <w:lang w:val="en-US" w:eastAsia="zh-CN"/>
              </w:rPr>
              <w:t>Privacy and Dignity Maintenance</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Respect and protection of the rights of the elderly and their families, including the right to informed consent, participation in decision-making, privacy, and dignity.</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4.95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0.22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0.05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53</w:t>
            </w:r>
            <w:r>
              <w:rPr>
                <w:rFonts w:hint="default" w:ascii="Times New Roman" w:hAnsi="Times New Roman" w:eastAsia="宋体" w:cs="Times New Roman"/>
                <w:lang w:val="en-US" w:eastAsia="zh-CN"/>
              </w:rPr>
              <w:t>Privacy and Dignity Maintenance</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Respect and protection of the rights of the elderly and their families, including the right to informed consent, participation in decision-making, privacy, and dignity.</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4.60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0.68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0.15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54</w:t>
            </w:r>
            <w:r>
              <w:rPr>
                <w:rFonts w:hint="default" w:ascii="Times New Roman" w:hAnsi="Times New Roman" w:eastAsia="宋体" w:cs="Times New Roman"/>
                <w:color w:val="auto"/>
                <w:highlight w:val="none"/>
                <w:lang w:val="en-US" w:eastAsia="zh-CN"/>
              </w:rPr>
              <w:t>Elderly Recreational Activities</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Organization of singing, dancing, musical instrument playing, and other recreational activities for the elderly.</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4.40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0.82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0.19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Ⅱ-1</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lang w:val="en-US" w:eastAsia="zh-CN"/>
              </w:rPr>
              <w:t>Institutional Safety Guarantee</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4.10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0.31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0.08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Ⅲ-5</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lang w:val="en-US" w:eastAsia="zh-CN"/>
              </w:rPr>
              <w:t>Age-friendly Renovation</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Installation of facilities such as elevators, barrier-free stairs, barrier-free ramps, etc., in accordance with the requirements of Chapters 5, 6, and 7 of the "Urban Road and Building Accessibility Design Code JGJ_50-2001".</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4.60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0.75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0.16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56</w:t>
            </w:r>
            <w:r>
              <w:rPr>
                <w:rFonts w:hint="eastAsia" w:ascii="Times New Roman" w:hAnsi="Times New Roman" w:eastAsia="宋体" w:cs="Times New Roman"/>
                <w:sz w:val="24"/>
                <w:szCs w:val="24"/>
                <w:highlight w:val="none"/>
                <w:lang w:val="en-US" w:eastAsia="zh-CN"/>
              </w:rPr>
              <w:t>Floor Non-slip Signage and Treatment</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Whether residential and public areas have reminders and signs for slip and fall prevention.</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3.00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0.73 </w:t>
            </w:r>
          </w:p>
        </w:tc>
        <w:tc>
          <w:tcPr>
            <w:tcW w:w="1300" w:type="dxa"/>
            <w:tcBorders>
              <w:tl2br w:val="nil"/>
              <w:tr2bl w:val="nil"/>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0.24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57</w:t>
            </w:r>
            <w:r>
              <w:rPr>
                <w:rFonts w:hint="default" w:ascii="Times New Roman" w:hAnsi="Times New Roman" w:eastAsia="宋体" w:cs="Times New Roman"/>
                <w:color w:val="auto"/>
                <w:highlight w:val="none"/>
                <w:lang w:val="en-US" w:eastAsia="zh-CN"/>
              </w:rPr>
              <w:t>Security Facilities</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Availability and management of fire-fighting equipment, fire exits, safety escape routes, access control facilities, monitoring equipment, positioning equipment, emergency call systems, etc., in accordance with the relevant provisions of the industry standard "Safety Management of Elderly Care Institutions" (MZ/T032-2012).</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4.15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0.67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0.16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Ⅲ-5</w:t>
            </w:r>
            <w:r>
              <w:rPr>
                <w:rFonts w:hint="eastAsia" w:ascii="Times New Roman" w:hAnsi="Times New Roman" w:eastAsia="宋体" w:cs="Times New Roman"/>
                <w:color w:val="auto"/>
                <w:highlight w:val="none"/>
                <w:lang w:val="en-US" w:eastAsia="zh-CN"/>
              </w:rPr>
              <w:t>8</w:t>
            </w:r>
            <w:r>
              <w:rPr>
                <w:rFonts w:hint="default" w:ascii="Times New Roman" w:hAnsi="Times New Roman" w:eastAsia="宋体" w:cs="Times New Roman"/>
                <w:lang w:val="en-US" w:eastAsia="zh-CN"/>
              </w:rPr>
              <w:t xml:space="preserve"> Service Manpower Situation</w:t>
            </w:r>
          </w:p>
        </w:tc>
        <w:tc>
          <w:tcPr>
            <w:tcW w:w="4013"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Number of physicians, rehabilitation physicians, and nurses per thousand elderly individuals in the institution.</w:t>
            </w:r>
            <w:r>
              <w:rPr>
                <w:rFonts w:hint="default" w:ascii="Times New Roman" w:hAnsi="Times New Roman" w:eastAsia="宋体" w:cs="Times New Roman"/>
                <w:lang w:val="en-US" w:eastAsia="zh-CN"/>
              </w:rPr>
              <w:t xml:space="preserve">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4.70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0.66 </w:t>
            </w:r>
          </w:p>
        </w:tc>
        <w:tc>
          <w:tcPr>
            <w:tcW w:w="1300" w:type="dxa"/>
            <w:tcBorders>
              <w:tl2br w:val="nil"/>
              <w:tr2bl w:val="nil"/>
            </w:tcBorders>
            <w:noWrap w:val="0"/>
            <w:vAlign w:val="center"/>
          </w:tcPr>
          <w:p>
            <w:pPr>
              <w:numPr>
                <w:ilvl w:val="0"/>
                <w:numId w:val="0"/>
              </w:numPr>
              <w:spacing w:line="480" w:lineRule="auto"/>
              <w:ind w:firstLine="420" w:firstLineChars="200"/>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0.14 </w:t>
            </w:r>
          </w:p>
        </w:tc>
      </w:tr>
      <w:bookmarkEnd w:id="0"/>
      <w:bookmarkEnd w:id="1"/>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000000"/>
    <w:rsid w:val="0AD61B81"/>
    <w:rsid w:val="4DB47E0B"/>
    <w:rsid w:val="52FF57A2"/>
    <w:rsid w:val="66103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2024-05-06T05:58:17Z</dcterms:created>
  <dc:creator>40963</dc:creator>
  <cp:lastModifiedBy>肉丸子</cp:lastModifiedBy>
  <dcterms:modified xsi:type="dcterms:W3CDTF">2024-05-06T06:08:05Z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A7DC58C7CC684E918F51F741A6B76544_12</vt:lpwstr>
  </property>
</Properties>
</file>