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 xml:space="preserve">The </w:t>
      </w:r>
      <w:r>
        <w:rPr>
          <w:rFonts w:hint="eastAsia" w:ascii="Times New Roman" w:hAnsi="Times New Roman" w:cs="Times New Roman"/>
          <w:b/>
          <w:bCs/>
          <w:sz w:val="28"/>
          <w:szCs w:val="36"/>
          <w:lang w:val="en-US" w:eastAsia="zh-CN"/>
        </w:rPr>
        <w:t xml:space="preserve">2 round results of Delphi </w:t>
      </w:r>
    </w:p>
    <w:p>
      <w:pPr>
        <w:numPr>
          <w:ilvl w:val="0"/>
          <w:numId w:val="0"/>
        </w:numPr>
        <w:spacing w:line="48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After the second round of expert inquiry, a total of 6 indicators were removed based on expert opinions and criteria for indicator selection: "Cognitive Ability," "Adequacy of Living Resources," "Number of Children," "Proportion of Children Regularly Contacting Elderly Parents," "Assistance with Travel," and "Medication Guidance." Additionally, 6 indicators were added: "Excretion Care Situation," "Palliative Care," "Vital Signs Monitoring," "Referral Services," "Traditional Chinese Medicine Health Guidance," and "Long-Term Care Insurance." Two indicators were merged: "Degree of Visual Impairment" and "Degree of Hearing Impairment" were combined into "Perception and Communication Ability," and "Rehabilitation Therapy Guidance" and "Fitness Exercise Guidance" were amalgamated into "Rehabilitation Exercise Guidance." Following the second round of inquiry, a pool of indicators comprising 2 primary indicators, 12 secondary indicators, and 56 third-level indicators was established.</w:t>
      </w:r>
    </w:p>
    <w:tbl>
      <w:tblPr>
        <w:tblStyle w:val="3"/>
        <w:tblW w:w="996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54"/>
        <w:gridCol w:w="4857"/>
        <w:gridCol w:w="1053"/>
        <w:gridCol w:w="907"/>
        <w:gridCol w:w="1096"/>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2054" w:type="dxa"/>
            <w:tcBorders>
              <w:bottom w:val="single" w:color="auto" w:sz="2" w:space="0"/>
            </w:tcBorders>
            <w:noWrap w:val="0"/>
            <w:vAlign w:val="center"/>
          </w:tcPr>
          <w:p>
            <w:pPr>
              <w:bidi w:val="0"/>
              <w:jc w:val="center"/>
              <w:rPr>
                <w:rFonts w:hint="default" w:ascii="Times New Roman" w:hAnsi="Times New Roman" w:eastAsia="宋体" w:cs="Times New Roman"/>
                <w:color w:val="auto"/>
                <w:highlight w:val="none"/>
                <w:lang w:val="en-US" w:eastAsia="zh-CN"/>
              </w:rPr>
            </w:pPr>
            <w:bookmarkStart w:id="0" w:name="OLE_LINK1"/>
            <w:bookmarkStart w:id="1" w:name="OLE_LINK2" w:colFirst="6" w:colLast="6"/>
            <w:r>
              <w:rPr>
                <w:rFonts w:hint="default" w:ascii="Times New Roman" w:hAnsi="Times New Roman" w:eastAsia="宋体" w:cs="Times New Roman"/>
                <w:b/>
                <w:bCs/>
                <w:highlight w:val="none"/>
              </w:rPr>
              <w:t>Indicators</w:t>
            </w:r>
          </w:p>
        </w:tc>
        <w:tc>
          <w:tcPr>
            <w:tcW w:w="4857" w:type="dxa"/>
            <w:tcBorders>
              <w:bottom w:val="single" w:color="auto" w:sz="2" w:space="0"/>
            </w:tcBorders>
            <w:noWrap w:val="0"/>
            <w:vAlign w:val="center"/>
          </w:tcPr>
          <w:p>
            <w:pPr>
              <w:bidi w:val="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b/>
                <w:bCs/>
                <w:highlight w:val="none"/>
              </w:rPr>
              <w:t>Indicators</w:t>
            </w:r>
            <w:r>
              <w:rPr>
                <w:rFonts w:hint="eastAsia" w:ascii="Times New Roman" w:hAnsi="Times New Roman" w:eastAsia="宋体" w:cs="Times New Roman"/>
                <w:b/>
                <w:bCs/>
                <w:highlight w:val="none"/>
                <w:lang w:val="en-US" w:eastAsia="zh-CN"/>
              </w:rPr>
              <w:t xml:space="preserve"> c</w:t>
            </w:r>
            <w:r>
              <w:rPr>
                <w:rFonts w:hint="default" w:ascii="Times New Roman" w:hAnsi="Times New Roman" w:eastAsia="宋体" w:cs="Times New Roman"/>
                <w:b/>
                <w:bCs/>
                <w:highlight w:val="none"/>
              </w:rPr>
              <w:t>onnotation</w:t>
            </w:r>
          </w:p>
        </w:tc>
        <w:tc>
          <w:tcPr>
            <w:tcW w:w="1053" w:type="dxa"/>
            <w:tcBorders>
              <w:bottom w:val="single" w:color="auto" w:sz="2" w:space="0"/>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sym w:font="Symbol" w:char="F060"/>
            </w:r>
            <w:r>
              <w:rPr>
                <w:rFonts w:hint="default" w:ascii="Times New Roman" w:hAnsi="Times New Roman" w:eastAsia="宋体" w:cs="Times New Roman"/>
                <w:sz w:val="21"/>
                <w:szCs w:val="21"/>
                <w:lang w:val="en-US" w:eastAsia="zh-CN"/>
              </w:rPr>
              <w:sym w:font="Symbol" w:char="F063"/>
            </w:r>
          </w:p>
        </w:tc>
        <w:tc>
          <w:tcPr>
            <w:tcW w:w="907" w:type="dxa"/>
            <w:tcBorders>
              <w:bottom w:val="single" w:color="auto" w:sz="2" w:space="0"/>
            </w:tcBorders>
            <w:noWrap w:val="0"/>
            <w:vAlign w:val="center"/>
          </w:tcPr>
          <w:p>
            <w:pPr>
              <w:numPr>
                <w:ilvl w:val="0"/>
                <w:numId w:val="0"/>
              </w:numPr>
              <w:spacing w:line="480" w:lineRule="auto"/>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s</w:t>
            </w:r>
          </w:p>
        </w:tc>
        <w:tc>
          <w:tcPr>
            <w:tcW w:w="1096" w:type="dxa"/>
            <w:tcBorders>
              <w:bottom w:val="single" w:color="auto" w:sz="2" w:space="0"/>
            </w:tcBorders>
            <w:noWrap w:val="0"/>
            <w:vAlign w:val="center"/>
          </w:tcPr>
          <w:p>
            <w:pPr>
              <w:numPr>
                <w:ilvl w:val="0"/>
                <w:numId w:val="0"/>
              </w:numPr>
              <w:spacing w:line="480" w:lineRule="auto"/>
              <w:ind w:firstLine="210" w:firstLineChars="1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CV=s/</w:t>
            </w:r>
            <w:r>
              <w:rPr>
                <w:rFonts w:hint="default" w:ascii="Times New Roman" w:hAnsi="Times New Roman" w:eastAsia="宋体" w:cs="Times New Roman"/>
                <w:sz w:val="21"/>
                <w:szCs w:val="21"/>
                <w:lang w:val="en-US" w:eastAsia="zh-CN"/>
              </w:rPr>
              <w:sym w:font="Symbol" w:char="F063"/>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2054" w:type="dxa"/>
            <w:tcBorders>
              <w:top w:val="single" w:color="auto" w:sz="2" w:space="0"/>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Ⅰ-1 Individual Sensitivity</w:t>
            </w:r>
          </w:p>
        </w:tc>
        <w:tc>
          <w:tcPr>
            <w:tcW w:w="4857" w:type="dxa"/>
            <w:tcBorders>
              <w:top w:val="single" w:color="auto" w:sz="2" w:space="0"/>
              <w:tl2br w:val="nil"/>
              <w:tr2bl w:val="nil"/>
            </w:tcBorders>
            <w:noWrap w:val="0"/>
            <w:vAlign w:val="center"/>
          </w:tcPr>
          <w:p>
            <w:pPr>
              <w:bidi w:val="0"/>
              <w:rPr>
                <w:rFonts w:hint="default" w:ascii="Times New Roman" w:hAnsi="Times New Roman" w:eastAsia="宋体" w:cs="Times New Roman"/>
                <w:highlight w:val="none"/>
                <w:lang w:val="en-US" w:eastAsia="zh-CN"/>
              </w:rPr>
            </w:pPr>
          </w:p>
        </w:tc>
        <w:tc>
          <w:tcPr>
            <w:tcW w:w="1053" w:type="dxa"/>
            <w:tcBorders>
              <w:top w:val="single" w:color="auto" w:sz="2" w:space="0"/>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4.79</w:t>
            </w:r>
          </w:p>
        </w:tc>
        <w:tc>
          <w:tcPr>
            <w:tcW w:w="907" w:type="dxa"/>
            <w:tcBorders>
              <w:top w:val="single" w:color="auto" w:sz="2" w:space="0"/>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0.42</w:t>
            </w:r>
          </w:p>
        </w:tc>
        <w:tc>
          <w:tcPr>
            <w:tcW w:w="1096" w:type="dxa"/>
            <w:tcBorders>
              <w:top w:val="single" w:color="auto" w:sz="2" w:space="0"/>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Physiological Vulnerability</w:t>
            </w:r>
          </w:p>
        </w:tc>
        <w:tc>
          <w:tcPr>
            <w:tcW w:w="4857" w:type="dxa"/>
            <w:tcBorders>
              <w:tl2br w:val="nil"/>
              <w:tr2bl w:val="nil"/>
            </w:tcBorders>
            <w:noWrap w:val="0"/>
            <w:vAlign w:val="center"/>
          </w:tcPr>
          <w:p>
            <w:pPr>
              <w:bidi w:val="0"/>
              <w:rPr>
                <w:rFonts w:hint="default" w:ascii="Times New Roman" w:hAnsi="Times New Roman" w:eastAsia="宋体" w:cs="Times New Roman"/>
                <w:highlight w:val="none"/>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4.84</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0.37</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0.08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Ⅲ-1 Age</w:t>
            </w:r>
          </w:p>
        </w:tc>
        <w:tc>
          <w:tcPr>
            <w:tcW w:w="4857" w:type="dxa"/>
            <w:tcBorders>
              <w:tl2br w:val="nil"/>
              <w:tr2bl w:val="nil"/>
            </w:tcBorders>
            <w:noWrap w:val="0"/>
            <w:vAlign w:val="center"/>
          </w:tcPr>
          <w:p>
            <w:pPr>
              <w:bidi w:val="0"/>
              <w:rPr>
                <w:rFonts w:hint="default" w:ascii="Times New Roman" w:hAnsi="Times New Roman" w:eastAsia="宋体" w:cs="Times New Roman"/>
                <w:highlight w:val="none"/>
                <w:lang w:val="en-US" w:eastAsia="zh-CN"/>
              </w:rPr>
            </w:pPr>
            <w:r>
              <w:rPr>
                <w:rFonts w:hint="default" w:ascii="Times New Roman" w:hAnsi="Times New Roman" w:eastAsia="宋体" w:cs="Times New Roman"/>
                <w:lang w:val="en-US" w:eastAsia="zh-CN"/>
              </w:rPr>
              <w:t>60-74 years old are considered young elderly; ≥75 years old are considered elderly.</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4.47</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0.51</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2"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Activities of Daily Living (ADL)</w:t>
            </w:r>
          </w:p>
        </w:tc>
        <w:tc>
          <w:tcPr>
            <w:tcW w:w="4857" w:type="dxa"/>
            <w:tcBorders>
              <w:tl2br w:val="nil"/>
              <w:tr2bl w:val="nil"/>
            </w:tcBorders>
            <w:noWrap w:val="0"/>
            <w:vAlign w:val="center"/>
          </w:tcPr>
          <w:p>
            <w:pPr>
              <w:bidi w:val="0"/>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Evaluate an individual's ability to care for themselves in daily life using the Barthel Index(BI).</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4.74</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0.56</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bookmarkStart w:id="2" w:name="OLE_LINK3"/>
            <w:r>
              <w:rPr>
                <w:rFonts w:hint="default" w:ascii="Times New Roman" w:hAnsi="Times New Roman" w:eastAsia="宋体" w:cs="Times New Roman"/>
                <w:color w:val="auto"/>
                <w:highlight w:val="none"/>
                <w:lang w:val="en-US" w:eastAsia="zh-CN"/>
              </w:rPr>
              <w:t>Ⅲ</w:t>
            </w:r>
            <w:bookmarkEnd w:id="2"/>
            <w:r>
              <w:rPr>
                <w:rFonts w:hint="default"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lang w:val="en-US" w:eastAsia="zh-CN"/>
              </w:rPr>
              <w:t xml:space="preserve">3 </w:t>
            </w:r>
            <w:r>
              <w:rPr>
                <w:rFonts w:hint="default" w:ascii="Times New Roman" w:hAnsi="Times New Roman" w:eastAsia="宋体" w:cs="Times New Roman"/>
                <w:color w:val="auto"/>
                <w:highlight w:val="none"/>
                <w:lang w:val="en-US" w:eastAsia="zh-CN"/>
              </w:rPr>
              <w:t>Sleep Quality</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sleep condition of the elderly using the Athens Insomnia Scale (AIS).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4.47</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 xml:space="preserve">4 </w:t>
            </w:r>
            <w:r>
              <w:rPr>
                <w:rFonts w:hint="default" w:ascii="Times New Roman" w:hAnsi="Times New Roman" w:eastAsia="宋体" w:cs="Times New Roman"/>
                <w:lang w:val="en-US" w:eastAsia="zh-CN"/>
              </w:rPr>
              <w:t>BMI Index</w:t>
            </w:r>
          </w:p>
        </w:tc>
        <w:tc>
          <w:tcPr>
            <w:tcW w:w="4857" w:type="dxa"/>
            <w:tcBorders>
              <w:tl2br w:val="nil"/>
              <w:tr2bl w:val="nil"/>
            </w:tcBorders>
            <w:noWrap w:val="0"/>
            <w:vAlign w:val="center"/>
          </w:tcPr>
          <w:p>
            <w:pPr>
              <w:bidi w:val="0"/>
              <w:jc w:val="left"/>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Body Mass Index (BMI) is calculated as weight divided by the square of height. A range of 18.5-23.9 kg/m^2 is considered normal. Below 18.5 is underweight, and above 23.9 is obese.</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4.37</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0.50</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bookmarkStart w:id="3" w:name="OLE_LINK4"/>
            <w:r>
              <w:rPr>
                <w:rFonts w:hint="default" w:ascii="Times New Roman" w:hAnsi="Times New Roman" w:eastAsia="宋体" w:cs="Times New Roman"/>
                <w:color w:val="auto"/>
                <w:highlight w:val="none"/>
                <w:lang w:val="en-US" w:eastAsia="zh-CN"/>
              </w:rPr>
              <w:t>Ⅲ-</w:t>
            </w:r>
            <w:bookmarkEnd w:id="3"/>
            <w:r>
              <w:rPr>
                <w:rFonts w:hint="eastAsia" w:ascii="Times New Roman" w:hAnsi="Times New Roman" w:eastAsia="宋体" w:cs="Times New Roman"/>
                <w:color w:val="auto"/>
                <w:highlight w:val="none"/>
                <w:lang w:val="en-US" w:eastAsia="zh-CN"/>
              </w:rPr>
              <w:t>5 Cognitive Ability</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w:t>
            </w:r>
            <w:r>
              <w:rPr>
                <w:rFonts w:hint="eastAsia" w:ascii="Times New Roman" w:hAnsi="Times New Roman" w:eastAsia="宋体" w:cs="Times New Roman"/>
                <w:lang w:val="en-US" w:eastAsia="zh-CN"/>
              </w:rPr>
              <w:t>he Mini-Mental State Examination (MMSE) is used to assess the cognitive abilities of elderly individuals, including perception, memory, attention, thinking, and imagination.</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2.42</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0.96</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 xml:space="preserve">6 </w:t>
            </w:r>
            <w:r>
              <w:rPr>
                <w:rFonts w:hint="default" w:ascii="Times New Roman" w:hAnsi="Times New Roman" w:eastAsia="宋体" w:cs="Times New Roman"/>
                <w:color w:val="auto"/>
                <w:highlight w:val="none"/>
                <w:lang w:val="en-US" w:eastAsia="zh-CN"/>
              </w:rPr>
              <w:t>Oral Health Status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the oral health condition, including teeth, gums, tongue, and oral mucosa.</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4.05</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0.23</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7Degree of Visual Impairment</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there are serious eye conditions such as visual impairment, blindness, or other severe ocular disorders significantly affecting daily life.</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4.63</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0.50</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8Degree of Hearing Impairment</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Assessing four indicators: awareness, vision, hearing, and communication in elderly individuals.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4.42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9</w:t>
            </w:r>
            <w:r>
              <w:rPr>
                <w:rFonts w:hint="default" w:ascii="Times New Roman" w:hAnsi="Times New Roman" w:eastAsia="宋体" w:cs="Times New Roman"/>
                <w:color w:val="auto"/>
                <w:highlight w:val="none"/>
                <w:lang w:val="en-US" w:eastAsia="zh-CN"/>
              </w:rPr>
              <w:t>Pain Level</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the pain level of the elderly using the Wong-Baker Faces Pain Rating Scale.</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4.26</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0.45</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2Health Vulnerability</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4.95</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0.23</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lang w:val="en-US" w:eastAsia="zh-CN"/>
              </w:rPr>
              <w:t>Functional Comorbidity Index</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number of chronic diseases an individual has using the Functional Comorbidity Index (FCI).</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4.74</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0.45</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lang w:val="en-US" w:eastAsia="zh-CN"/>
              </w:rPr>
              <w:t>Ⅲ-</w:t>
            </w:r>
            <w:r>
              <w:rPr>
                <w:rFonts w:hint="eastAsia" w:ascii="Times New Roman" w:hAnsi="Times New Roman" w:eastAsia="宋体" w:cs="Times New Roman"/>
                <w:lang w:val="en-US" w:eastAsia="zh-CN"/>
              </w:rPr>
              <w:t>11</w:t>
            </w:r>
            <w:r>
              <w:rPr>
                <w:rFonts w:hint="default" w:ascii="Times New Roman" w:hAnsi="Times New Roman" w:eastAsia="宋体" w:cs="Times New Roman"/>
                <w:lang w:val="en-US" w:eastAsia="zh-CN"/>
              </w:rPr>
              <w:t xml:space="preserve"> Biweekly Illness Rate</w:t>
            </w:r>
          </w:p>
        </w:tc>
        <w:tc>
          <w:tcPr>
            <w:tcW w:w="4857" w:type="dxa"/>
            <w:tcBorders>
              <w:tl2br w:val="nil"/>
              <w:tr2bl w:val="nil"/>
            </w:tcBorders>
            <w:noWrap w:val="0"/>
            <w:vAlign w:val="center"/>
          </w:tcPr>
          <w:p>
            <w:pPr>
              <w:bidi w:val="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The occurrence of any symptoms or signs such as fever, cough/sputum, nasal congestion/runny nose, sore throat, headache, nausea/vomiting, abdominal pain/diarrhea, rash, tension, anxiety, insomnia, or low mood within two weeks is considered illness.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4.42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12</w:t>
            </w:r>
            <w:r>
              <w:rPr>
                <w:rFonts w:hint="default" w:ascii="Times New Roman" w:hAnsi="Times New Roman" w:eastAsia="宋体" w:cs="Times New Roman"/>
                <w:lang w:val="en-US" w:eastAsia="zh-CN"/>
              </w:rPr>
              <w:t>Fall Risk</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risk of falls using the Morse Fall Scale and classify the individual's fall risk level accordingly.</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4.37</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0.60</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lang w:val="en-US" w:eastAsia="zh-CN"/>
              </w:rPr>
              <w:t>Ⅲ-</w:t>
            </w:r>
            <w:r>
              <w:rPr>
                <w:rFonts w:hint="eastAsia" w:ascii="Times New Roman" w:hAnsi="Times New Roman" w:eastAsia="宋体" w:cs="Times New Roman"/>
                <w:lang w:val="en-US" w:eastAsia="zh-CN"/>
              </w:rPr>
              <w:t>13</w:t>
            </w:r>
            <w:r>
              <w:rPr>
                <w:rFonts w:hint="default" w:ascii="Times New Roman" w:hAnsi="Times New Roman" w:eastAsia="宋体" w:cs="Times New Roman"/>
                <w:lang w:val="en-US" w:eastAsia="zh-CN"/>
              </w:rPr>
              <w:t>Thrombosis Risk</w:t>
            </w:r>
          </w:p>
        </w:tc>
        <w:tc>
          <w:tcPr>
            <w:tcW w:w="4857" w:type="dxa"/>
            <w:tcBorders>
              <w:tl2br w:val="nil"/>
              <w:tr2bl w:val="nil"/>
            </w:tcBorders>
            <w:noWrap w:val="0"/>
            <w:vAlign w:val="center"/>
          </w:tcPr>
          <w:p>
            <w:pPr>
              <w:bidi w:val="0"/>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Assess the risk of thrombosis using the Caprini Risk Assessment Model and classify the individual's thrombosis risk level accordingly.</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4.05</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0.40</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Ⅲ-1</w:t>
            </w:r>
            <w:r>
              <w:rPr>
                <w:rFonts w:hint="eastAsia" w:ascii="Times New Roman" w:hAnsi="Times New Roman" w:eastAsia="宋体" w:cs="Times New Roman"/>
                <w:lang w:val="en-US" w:eastAsia="zh-CN"/>
              </w:rPr>
              <w:t>4</w:t>
            </w:r>
            <w:bookmarkStart w:id="5" w:name="_GoBack"/>
            <w:bookmarkEnd w:id="5"/>
            <w:r>
              <w:rPr>
                <w:rFonts w:hint="default" w:ascii="Times New Roman" w:hAnsi="Times New Roman" w:eastAsia="宋体" w:cs="Times New Roman"/>
                <w:lang w:val="en-US" w:eastAsia="zh-CN"/>
              </w:rPr>
              <w:t xml:space="preserve"> Pressure Injury Risk Score</w:t>
            </w:r>
          </w:p>
        </w:tc>
        <w:tc>
          <w:tcPr>
            <w:tcW w:w="4857" w:type="dxa"/>
            <w:tcBorders>
              <w:tl2br w:val="nil"/>
              <w:tr2bl w:val="nil"/>
            </w:tcBorders>
            <w:noWrap w:val="0"/>
            <w:vAlign w:val="center"/>
          </w:tcPr>
          <w:p>
            <w:pPr>
              <w:bidi w:val="0"/>
              <w:jc w:val="lef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the risk of pressure injuries using the Braden Scale and classify the individual's risk level accordingly.</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0.48</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lang w:val="en-US" w:eastAsia="zh-CN"/>
              </w:rPr>
            </w:pPr>
            <w:r>
              <w:rPr>
                <w:rFonts w:hint="default" w:ascii="Times New Roman" w:hAnsi="Times New Roman" w:eastAsia="宋体" w:cs="Times New Roman"/>
                <w:i w:val="0"/>
                <w:iCs w:val="0"/>
                <w:color w:val="000000"/>
                <w:kern w:val="0"/>
                <w:sz w:val="21"/>
                <w:szCs w:val="21"/>
                <w:u w:val="none"/>
                <w:lang w:val="en-US" w:eastAsia="zh-CN" w:bidi="ar"/>
              </w:rPr>
              <w:t>Ⅲ-</w:t>
            </w:r>
            <w:r>
              <w:rPr>
                <w:rFonts w:hint="eastAsia" w:ascii="Times New Roman" w:hAnsi="Times New Roman" w:eastAsia="宋体" w:cs="Times New Roman"/>
                <w:i w:val="0"/>
                <w:iCs w:val="0"/>
                <w:color w:val="000000"/>
                <w:kern w:val="0"/>
                <w:sz w:val="21"/>
                <w:szCs w:val="21"/>
                <w:u w:val="none"/>
                <w:lang w:val="en-US" w:eastAsia="zh-CN" w:bidi="ar"/>
              </w:rPr>
              <w:t>15</w:t>
            </w:r>
            <w:r>
              <w:rPr>
                <w:rStyle w:val="5"/>
                <w:rFonts w:eastAsia="宋体"/>
                <w:lang w:val="en-US" w:eastAsia="zh-CN" w:bidi="ar"/>
              </w:rPr>
              <w:t>Smoking Index</w:t>
            </w:r>
          </w:p>
        </w:tc>
        <w:tc>
          <w:tcPr>
            <w:tcW w:w="4857"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Calculate the smoking index by multiplying the number of cigarettes smoked per day by the number of years smoked. A smoking index </w:t>
            </w:r>
            <w:r>
              <w:rPr>
                <w:rStyle w:val="6"/>
                <w:lang w:val="en-US" w:eastAsia="zh-CN" w:bidi="ar"/>
              </w:rPr>
              <w:t>≤</w:t>
            </w:r>
            <w:r>
              <w:rPr>
                <w:rStyle w:val="5"/>
                <w:rFonts w:eastAsia="宋体"/>
                <w:lang w:val="en-US" w:eastAsia="zh-CN" w:bidi="ar"/>
              </w:rPr>
              <w:t xml:space="preserve">200 is mild, 200-400 is moderate, and </w:t>
            </w:r>
            <w:r>
              <w:rPr>
                <w:rStyle w:val="6"/>
                <w:lang w:val="en-US" w:eastAsia="zh-CN" w:bidi="ar"/>
              </w:rPr>
              <w:t>≥</w:t>
            </w:r>
            <w:r>
              <w:rPr>
                <w:rStyle w:val="5"/>
                <w:rFonts w:eastAsia="宋体"/>
                <w:lang w:val="en-US" w:eastAsia="zh-CN" w:bidi="ar"/>
              </w:rPr>
              <w:t>400 is heavy smoking.</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0.48</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keepNext w:val="0"/>
              <w:keepLines w:val="0"/>
              <w:widowControl/>
              <w:suppressLineNumbers w:val="0"/>
              <w:jc w:val="left"/>
              <w:textAlignment w:val="center"/>
              <w:rPr>
                <w:rFonts w:hint="default" w:ascii="Times New Roman" w:hAnsi="Times New Roman" w:eastAsia="宋体" w:cs="Times New Roman"/>
                <w:lang w:val="en-US" w:eastAsia="zh-CN"/>
              </w:rPr>
            </w:pPr>
            <w:r>
              <w:rPr>
                <w:rFonts w:hint="default" w:ascii="Times New Roman" w:hAnsi="Times New Roman" w:eastAsia="宋体" w:cs="Times New Roman"/>
                <w:i w:val="0"/>
                <w:iCs w:val="0"/>
                <w:color w:val="000000"/>
                <w:kern w:val="0"/>
                <w:sz w:val="21"/>
                <w:szCs w:val="21"/>
                <w:u w:val="none"/>
                <w:lang w:val="en-US" w:eastAsia="zh-CN" w:bidi="ar"/>
              </w:rPr>
              <w:t>Ⅲ-</w:t>
            </w:r>
            <w:r>
              <w:rPr>
                <w:rStyle w:val="5"/>
                <w:rFonts w:eastAsia="宋体"/>
                <w:lang w:val="en-US" w:eastAsia="zh-CN" w:bidi="ar"/>
              </w:rPr>
              <w:t>1</w:t>
            </w:r>
            <w:r>
              <w:rPr>
                <w:rStyle w:val="5"/>
                <w:rFonts w:hint="eastAsia" w:eastAsia="宋体"/>
                <w:lang w:val="en-US" w:eastAsia="zh-CN" w:bidi="ar"/>
              </w:rPr>
              <w:t>6</w:t>
            </w:r>
            <w:r>
              <w:rPr>
                <w:rStyle w:val="5"/>
                <w:rFonts w:eastAsia="宋体"/>
                <w:lang w:val="en-US" w:eastAsia="zh-CN" w:bidi="ar"/>
              </w:rPr>
              <w:t>Alcohol Abuse Situation</w:t>
            </w:r>
          </w:p>
        </w:tc>
        <w:tc>
          <w:tcPr>
            <w:tcW w:w="4857" w:type="dxa"/>
            <w:tcBorders>
              <w:tl2br w:val="nil"/>
              <w:tr2bl w:val="nil"/>
            </w:tcBorders>
            <w:noWrap w:val="0"/>
            <w:vAlign w:val="center"/>
          </w:tcPr>
          <w:p>
            <w:pPr>
              <w:keepNext w:val="0"/>
              <w:keepLines w:val="0"/>
              <w:widowControl/>
              <w:suppressLineNumbers w:val="0"/>
              <w:jc w:val="both"/>
              <w:textAlignment w:val="center"/>
              <w:rPr>
                <w:rFonts w:hint="default" w:ascii="Times New Roman" w:hAnsi="Times New Roman" w:eastAsia="宋体" w:cs="Times New Roman"/>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Assess alcohol abuse, considering whether there is repeated or long-term alcohol consumption leading to psychological dependence or physical and mental dependence for </w:t>
            </w:r>
            <w:r>
              <w:rPr>
                <w:rStyle w:val="6"/>
                <w:lang w:val="en-US" w:eastAsia="zh-CN" w:bidi="ar"/>
              </w:rPr>
              <w:t>≥</w:t>
            </w:r>
            <w:r>
              <w:rPr>
                <w:rStyle w:val="5"/>
                <w:rFonts w:eastAsia="宋体"/>
                <w:lang w:val="en-US" w:eastAsia="zh-CN" w:bidi="ar"/>
              </w:rPr>
              <w:t xml:space="preserve">1 year or daily consumption for </w:t>
            </w:r>
            <w:r>
              <w:rPr>
                <w:rStyle w:val="6"/>
                <w:lang w:val="en-US" w:eastAsia="zh-CN" w:bidi="ar"/>
              </w:rPr>
              <w:t>≥</w:t>
            </w:r>
            <w:r>
              <w:rPr>
                <w:rStyle w:val="5"/>
                <w:rFonts w:eastAsia="宋体"/>
                <w:lang w:val="en-US" w:eastAsia="zh-CN" w:bidi="ar"/>
              </w:rPr>
              <w:t>1 month.</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0.63</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3</w:t>
            </w:r>
            <w:r>
              <w:rPr>
                <w:rFonts w:hint="default" w:ascii="Times New Roman" w:hAnsi="Times New Roman" w:eastAsia="宋体" w:cs="Times New Roman"/>
                <w:color w:val="auto"/>
                <w:highlight w:val="none"/>
                <w:lang w:val="en-US" w:eastAsia="zh-CN"/>
              </w:rPr>
              <w:t>Psychological Vulnerability</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Ⅲ-1</w:t>
            </w: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color w:val="auto"/>
                <w:highlight w:val="none"/>
                <w:lang w:val="en-US" w:eastAsia="zh-CN"/>
              </w:rPr>
              <w:t>nxiety Index</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anxiety using the Self-Rating Anxiety Scale (SAS).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0.48</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Ⅲ-1</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lang w:val="en-US" w:eastAsia="zh-CN"/>
              </w:rPr>
              <w:t xml:space="preserve"> Depression Level</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depression using the Patient Health Questionnaire-9 (PHQ-9).</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4.11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0.46</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Ⅲ-1</w:t>
            </w:r>
            <w:r>
              <w:rPr>
                <w:rFonts w:hint="eastAsia" w:ascii="Times New Roman" w:hAnsi="Times New Roman" w:eastAsia="宋体" w:cs="Times New Roman"/>
                <w:color w:val="auto"/>
                <w:highlight w:val="none"/>
                <w:lang w:val="en-US" w:eastAsia="zh-CN"/>
              </w:rPr>
              <w:t>9</w:t>
            </w:r>
            <w:r>
              <w:rPr>
                <w:rFonts w:hint="default" w:ascii="Times New Roman" w:hAnsi="Times New Roman" w:eastAsia="宋体" w:cs="Times New Roman"/>
                <w:lang w:val="en-US" w:eastAsia="zh-CN"/>
              </w:rPr>
              <w:t>Loneliness Situation</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loneliness using the UCLA Loneliness Scale (ULS-8).</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0.75</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20</w:t>
            </w:r>
            <w:r>
              <w:rPr>
                <w:rFonts w:hint="default" w:ascii="Times New Roman" w:hAnsi="Times New Roman" w:eastAsia="宋体" w:cs="Times New Roman"/>
                <w:lang w:val="en-US" w:eastAsia="zh-CN"/>
              </w:rPr>
              <w:t>Self-Burden Perception</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self-perceived burden using the Self-Perceived Burden Scale (SPBS).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0.75</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lang w:val="en-US" w:eastAsia="zh-CN"/>
              </w:rPr>
              <w:t>Family Social Vulnerability</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4.58</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0.51</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21</w:t>
            </w:r>
            <w:r>
              <w:rPr>
                <w:rFonts w:hint="default" w:ascii="Times New Roman" w:hAnsi="Times New Roman" w:eastAsia="宋体" w:cs="Times New Roman"/>
                <w:color w:val="auto"/>
                <w:highlight w:val="none"/>
                <w:lang w:val="en-US" w:eastAsia="zh-CN"/>
              </w:rPr>
              <w:t>Marital Status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Assess marital status, including unmarried, married, widowed, or divorced.</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0.58</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0.25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22Number of Children</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number of biological/adopted children of the elderly.</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4.16</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0.83</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23</w:t>
            </w:r>
            <w:r>
              <w:rPr>
                <w:rFonts w:hint="default" w:ascii="Times New Roman" w:hAnsi="Times New Roman" w:eastAsia="宋体" w:cs="Times New Roman"/>
                <w:lang w:val="en-US" w:eastAsia="zh-CN"/>
              </w:rPr>
              <w:t>Average Annual Visits by Children</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Average number of visits per year by children to nursing homes.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4.05</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0.91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0.22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4</w:t>
            </w:r>
            <w:r>
              <w:rPr>
                <w:rFonts w:hint="default" w:ascii="Times New Roman" w:hAnsi="Times New Roman" w:eastAsia="宋体" w:cs="Times New Roman"/>
                <w:lang w:val="en-US" w:eastAsia="zh-CN"/>
              </w:rPr>
              <w:t>Average Annual Visits by Relatives Excluding Children</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Average number of visits per year by relatives excluding children to nursing homes.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4.05</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0.23</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0.06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lang w:val="en-US" w:eastAsia="zh-CN"/>
              </w:rPr>
              <w:t>Frequency of Participating in Recreational Activities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times elderly individuals participate in leisure activities such as singing and dancing within a certain period.</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4.16</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0.60</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Frequency of Participation in Social Activities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times elderly individuals participate in social activities related to interpersonal interaction within a certain period.</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0.54</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Ⅲ-2</w:t>
            </w: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color w:val="auto"/>
                <w:highlight w:val="none"/>
                <w:lang w:val="en-US" w:eastAsia="zh-CN"/>
              </w:rPr>
              <w:t>Composition of Co-residents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Composition of co-residents living with the elderly in a fixed space for a relatively long period.</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4.58</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5Economic Vulnerability</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4.74</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0.56</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28Adequacy of Living Sources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 sources of income are sufficient to meet the basic living needs of the elderly.</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1.84</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0.76</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29</w:t>
            </w:r>
            <w:r>
              <w:rPr>
                <w:rFonts w:hint="default" w:ascii="Times New Roman" w:hAnsi="Times New Roman" w:eastAsia="宋体" w:cs="Times New Roman"/>
                <w:color w:val="auto"/>
                <w:highlight w:val="none"/>
                <w:lang w:val="en-US" w:eastAsia="zh-CN"/>
              </w:rPr>
              <w:t>Family Economic Status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Total household income and property owned by cohabiting family members.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4.26</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0.65</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30</w:t>
            </w:r>
            <w:r>
              <w:rPr>
                <w:rFonts w:hint="default" w:ascii="Times New Roman" w:hAnsi="Times New Roman" w:eastAsia="宋体" w:cs="Times New Roman"/>
                <w:lang w:val="en-US" w:eastAsia="zh-CN"/>
              </w:rPr>
              <w:t>Burden of Elderly Care Expenses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the economic situation can afford the elderly's retirement expenses.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4.11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0.74</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31</w:t>
            </w:r>
            <w:r>
              <w:rPr>
                <w:rFonts w:hint="default" w:ascii="Times New Roman" w:hAnsi="Times New Roman" w:eastAsia="宋体" w:cs="Times New Roman"/>
                <w:lang w:val="en-US" w:eastAsia="zh-CN"/>
              </w:rPr>
              <w:t>Burden of Disease Expenses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the economic situation can afford the elderly's medical expenses.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4.26</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0.81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Ⅰ-2Anti-fragility Ability</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4.84</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0.37</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0.08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6</w:t>
            </w:r>
            <w:r>
              <w:rPr>
                <w:rFonts w:hint="default" w:ascii="Times New Roman" w:hAnsi="Times New Roman" w:eastAsia="宋体" w:cs="Times New Roman"/>
                <w:color w:val="auto"/>
                <w:highlight w:val="none"/>
                <w:lang w:val="en-US" w:eastAsia="zh-CN"/>
              </w:rPr>
              <w:t>Health Security</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4.68</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0.48</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w:t>
            </w:r>
            <w:r>
              <w:rPr>
                <w:rFonts w:hint="eastAsia" w:ascii="Times New Roman" w:hAnsi="Times New Roman" w:eastAsia="宋体" w:cs="Times New Roman"/>
                <w:lang w:val="en-US" w:eastAsia="zh-CN"/>
              </w:rPr>
              <w:t>32</w:t>
            </w:r>
            <w:r>
              <w:rPr>
                <w:rFonts w:hint="default" w:ascii="Times New Roman" w:hAnsi="Times New Roman" w:eastAsia="宋体" w:cs="Times New Roman"/>
                <w:lang w:val="en-US" w:eastAsia="zh-CN"/>
              </w:rPr>
              <w:t xml:space="preserve"> Actively seeking medical help behavior</w:t>
            </w:r>
          </w:p>
        </w:tc>
        <w:tc>
          <w:tcPr>
            <w:tcW w:w="4857" w:type="dxa"/>
            <w:tcBorders>
              <w:tl2br w:val="nil"/>
              <w:tr2bl w:val="nil"/>
            </w:tcBorders>
            <w:noWrap w:val="0"/>
            <w:vAlign w:val="center"/>
          </w:tcPr>
          <w:p>
            <w:pPr>
              <w:bidi w:val="0"/>
              <w:jc w:val="lef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Assess the individual's compliance with medical care, including whether they actively choose or accept medical and nursing care based on their health condition.</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4.42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0.69</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w:t>
            </w:r>
            <w:r>
              <w:rPr>
                <w:rFonts w:hint="eastAsia" w:ascii="Times New Roman" w:hAnsi="Times New Roman" w:eastAsia="宋体" w:cs="Times New Roman"/>
                <w:lang w:val="en-US" w:eastAsia="zh-CN"/>
              </w:rPr>
              <w:t>3</w:t>
            </w:r>
            <w:bookmarkStart w:id="4" w:name="OLE_LINK6"/>
            <w:r>
              <w:rPr>
                <w:rFonts w:hint="eastAsia" w:ascii="Times New Roman" w:hAnsi="Times New Roman" w:eastAsia="宋体" w:cs="Times New Roman"/>
                <w:lang w:val="en-US" w:eastAsia="zh-CN"/>
              </w:rPr>
              <w:t>3</w:t>
            </w:r>
            <w:r>
              <w:rPr>
                <w:rFonts w:hint="default" w:ascii="Times New Roman" w:hAnsi="Times New Roman" w:eastAsia="宋体" w:cs="Times New Roman"/>
                <w:lang w:val="en-US" w:eastAsia="zh-CN"/>
              </w:rPr>
              <w:t>Medical Adherence</w:t>
            </w:r>
            <w:bookmarkEnd w:id="4"/>
          </w:p>
        </w:tc>
        <w:tc>
          <w:tcPr>
            <w:tcW w:w="4857" w:type="dxa"/>
            <w:tcBorders>
              <w:tl2br w:val="nil"/>
              <w:tr2bl w:val="nil"/>
            </w:tcBorders>
            <w:noWrap w:val="0"/>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t>The act of following the medical staff's instructions for examination, treatment and prevention of disease.</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4.63</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0.50</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34</w:t>
            </w:r>
            <w:r>
              <w:rPr>
                <w:rFonts w:hint="default" w:ascii="Times New Roman" w:hAnsi="Times New Roman" w:eastAsia="宋体" w:cs="Times New Roman"/>
                <w:lang w:val="en-US" w:eastAsia="zh-CN"/>
              </w:rPr>
              <w:t>Regular Physical Examination Status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proactive visits to medical institutions for health check-ups per year.</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4.42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0.69</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7Family Social Security Ability</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4.74</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0.45</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35</w:t>
            </w:r>
            <w:r>
              <w:rPr>
                <w:rFonts w:hint="eastAsia" w:ascii="Times New Roman" w:hAnsi="Times New Roman" w:eastAsia="宋体" w:cs="Times New Roman"/>
                <w:color w:val="auto"/>
                <w:sz w:val="21"/>
                <w:szCs w:val="21"/>
                <w:highlight w:val="none"/>
                <w:lang w:val="en-US" w:eastAsia="zh-CN"/>
              </w:rPr>
              <w:t>Proportion of Adult Children who Regularly Contact the Elderly</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proportion of adult children, who contact their elderly parents through methods such as phone calls or visits to nursing homes at least twice a week, relative to the total number of children the elderly have.</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2.58</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1.12</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36</w:t>
            </w:r>
            <w:r>
              <w:rPr>
                <w:rFonts w:hint="default" w:ascii="Times New Roman" w:hAnsi="Times New Roman" w:eastAsia="宋体" w:cs="Times New Roman"/>
                <w:color w:val="auto"/>
                <w:highlight w:val="none"/>
                <w:lang w:val="en-US" w:eastAsia="zh-CN"/>
              </w:rPr>
              <w:t>Social Support Status</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Evaluate social support using the Social Support Rating Scale (SSRS).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4.74</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0.45</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37</w:t>
            </w:r>
            <w:r>
              <w:rPr>
                <w:rFonts w:hint="default" w:ascii="Times New Roman" w:hAnsi="Times New Roman" w:eastAsia="宋体" w:cs="Times New Roman"/>
                <w:color w:val="auto"/>
                <w:highlight w:val="none"/>
                <w:lang w:val="en-US" w:eastAsia="zh-CN"/>
              </w:rPr>
              <w:t>Pension Insurance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there is employee pension insurance or urban and rural residents pension insurance or commercial pension insurance</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4.63</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0.50</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38</w:t>
            </w:r>
            <w:r>
              <w:rPr>
                <w:rFonts w:hint="default" w:ascii="Times New Roman" w:hAnsi="Times New Roman" w:eastAsia="宋体" w:cs="Times New Roman"/>
                <w:color w:val="auto"/>
                <w:highlight w:val="none"/>
                <w:lang w:val="en-US" w:eastAsia="zh-CN"/>
              </w:rPr>
              <w:t>Medical Insurance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Whether it has employee medical insurance or resident medical insurance or commercial medical insurance</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4.58</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8</w:t>
            </w:r>
            <w:r>
              <w:rPr>
                <w:rFonts w:hint="default" w:ascii="Times New Roman" w:hAnsi="Times New Roman" w:eastAsia="宋体" w:cs="Times New Roman"/>
                <w:color w:val="auto"/>
                <w:highlight w:val="none"/>
                <w:lang w:val="en-US" w:eastAsia="zh-CN"/>
              </w:rPr>
              <w:t>Institutional Living Care Guarantee</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4.68</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0.48</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39</w:t>
            </w:r>
            <w:r>
              <w:rPr>
                <w:rFonts w:hint="default" w:ascii="Times New Roman" w:hAnsi="Times New Roman" w:eastAsia="宋体" w:cs="Times New Roman"/>
                <w:lang w:val="en-US" w:eastAsia="zh-CN"/>
              </w:rPr>
              <w:t xml:space="preserve"> Room Hygiene Service</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cleaning beds, changing sheets, and cleaning room hygiene.</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0.58</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40</w:t>
            </w:r>
            <w:r>
              <w:rPr>
                <w:rFonts w:hint="default" w:ascii="Times New Roman" w:hAnsi="Times New Roman" w:eastAsia="宋体" w:cs="Times New Roman"/>
                <w:color w:val="auto"/>
                <w:highlight w:val="none"/>
                <w:lang w:val="en-US" w:eastAsia="zh-CN"/>
              </w:rPr>
              <w:t>Personal Hygiene Services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facial washing, oral hygiene, hand washing, hair washing, foot washing, nail trimming, assisting with bathing, and showering for patients who cannot take care of themselves.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0.85</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0.20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41</w:t>
            </w:r>
            <w:r>
              <w:rPr>
                <w:rFonts w:hint="default" w:ascii="Times New Roman" w:hAnsi="Times New Roman" w:eastAsia="宋体" w:cs="Times New Roman"/>
                <w:color w:val="auto"/>
                <w:highlight w:val="none"/>
                <w:lang w:val="en-US" w:eastAsia="zh-CN"/>
              </w:rPr>
              <w:t>Dietary Services</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Implementation of oral and dental care, menu planning, meal preparation, dining at designated locations, meal delivery, and feeding for elderly individuals who cannot feed themselves; unnecessary placement of gastric tubes.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4.58</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0.69</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6"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42</w:t>
            </w:r>
            <w:r>
              <w:rPr>
                <w:rFonts w:hint="eastAsia" w:ascii="Times New Roman" w:hAnsi="Times New Roman" w:eastAsia="宋体" w:cs="Times New Roman"/>
                <w:color w:val="auto"/>
                <w:sz w:val="21"/>
                <w:szCs w:val="21"/>
                <w:highlight w:val="none"/>
                <w:lang w:val="en-US" w:eastAsia="zh-CN"/>
              </w:rPr>
              <w:t>Assistance with Travel</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Whether there are institutional staff members assisting 'needy elderly' individuals with tasks such as going up and down stairs or going out to nursing homes.</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2.47</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1.02</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9</w:t>
            </w:r>
            <w:r>
              <w:rPr>
                <w:rFonts w:hint="default" w:ascii="Times New Roman" w:hAnsi="Times New Roman" w:eastAsia="宋体" w:cs="Times New Roman"/>
                <w:color w:val="auto"/>
                <w:highlight w:val="none"/>
                <w:lang w:val="en-US" w:eastAsia="zh-CN"/>
              </w:rPr>
              <w:t>Institutional Medical Care Guarantee</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4.95</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0.23</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0.05</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43</w:t>
            </w:r>
            <w:r>
              <w:rPr>
                <w:rFonts w:hint="default" w:ascii="Times New Roman" w:hAnsi="Times New Roman" w:eastAsia="宋体" w:cs="Times New Roman"/>
                <w:color w:val="auto"/>
                <w:highlight w:val="none"/>
                <w:lang w:val="en-US" w:eastAsia="zh-CN"/>
              </w:rPr>
              <w:t>Basic Diagnosis and Treatment</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Capability to recognize early symptoms, manage common diseases, and operate clinical skills.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0.75</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44</w:t>
            </w:r>
            <w:r>
              <w:rPr>
                <w:rFonts w:hint="default" w:ascii="Times New Roman" w:hAnsi="Times New Roman" w:eastAsia="宋体" w:cs="Times New Roman"/>
                <w:color w:val="auto"/>
                <w:highlight w:val="none"/>
                <w:lang w:val="en-US" w:eastAsia="zh-CN"/>
              </w:rPr>
              <w:t>Chronic Disease Management</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Control of common chronic diseases and prevention of complications</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4.63</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0.50</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45</w:t>
            </w:r>
            <w:r>
              <w:rPr>
                <w:rFonts w:hint="default" w:ascii="Times New Roman" w:hAnsi="Times New Roman" w:eastAsia="宋体" w:cs="Times New Roman"/>
                <w:color w:val="auto"/>
                <w:highlight w:val="none"/>
                <w:lang w:val="en-US" w:eastAsia="zh-CN"/>
              </w:rPr>
              <w:t>Specialized Nursing Care</w:t>
            </w:r>
          </w:p>
        </w:tc>
        <w:tc>
          <w:tcPr>
            <w:tcW w:w="4857" w:type="dxa"/>
            <w:tcBorders>
              <w:tl2br w:val="nil"/>
              <w:tr2bl w:val="nil"/>
            </w:tcBorders>
            <w:noWrap w:val="0"/>
            <w:vAlign w:val="center"/>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Common cardiovascular, cerebrovascular, respiratory system and other chronic diseases in the acute phase of the identification, stable or rehabilitation period of nursing and other implementation</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4.58</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46</w:t>
            </w:r>
            <w:r>
              <w:rPr>
                <w:rFonts w:hint="eastAsia" w:ascii="Times New Roman" w:hAnsi="Times New Roman" w:eastAsia="宋体" w:cs="Times New Roman"/>
                <w:color w:val="auto"/>
                <w:sz w:val="21"/>
                <w:szCs w:val="21"/>
                <w:highlight w:val="none"/>
                <w:lang w:val="en-US" w:eastAsia="zh-CN"/>
              </w:rPr>
              <w:t>Medication Guidance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Providing oral medication management, medication reminders, and guidance on medication precautions for 'needy elderly' individuals</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2.63</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1.01</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0.38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w:t>
            </w:r>
            <w:r>
              <w:rPr>
                <w:rFonts w:hint="eastAsia" w:ascii="Times New Roman" w:hAnsi="Times New Roman" w:eastAsia="宋体" w:cs="Times New Roman"/>
                <w:color w:val="auto"/>
                <w:highlight w:val="none"/>
                <w:lang w:val="en-US" w:eastAsia="zh-CN"/>
              </w:rPr>
              <w:t>10</w:t>
            </w:r>
            <w:r>
              <w:rPr>
                <w:rFonts w:hint="default" w:ascii="Times New Roman" w:hAnsi="Times New Roman" w:eastAsia="宋体" w:cs="Times New Roman"/>
                <w:color w:val="auto"/>
                <w:highlight w:val="none"/>
                <w:lang w:val="en-US" w:eastAsia="zh-CN"/>
              </w:rPr>
              <w:t>Institutional Rehabilitation Health Guarantee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4.79</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0.42</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Ⅲ-4</w:t>
            </w: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color w:val="auto"/>
                <w:highlight w:val="none"/>
                <w:lang w:val="en-US" w:eastAsia="zh-CN"/>
              </w:rPr>
              <w:t>Nutritional Monitoring</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Regular monitoring, analysis, and evaluation of nutritional indicators for the elderly, and development of nutrition management plans.</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4.42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0.69</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8"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48</w:t>
            </w:r>
            <w:r>
              <w:rPr>
                <w:rFonts w:hint="default" w:ascii="Times New Roman" w:hAnsi="Times New Roman" w:eastAsia="宋体" w:cs="Times New Roman"/>
                <w:color w:val="auto"/>
                <w:highlight w:val="none"/>
                <w:lang w:val="en-US" w:eastAsia="zh-CN"/>
              </w:rPr>
              <w:t>Elderly Health Records</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Systematic documentation recording various health-related factors covering the health status of the elderly at each stage, including prevention, medical care, health care, and rehabilitation information.</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0.82</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49</w:t>
            </w:r>
            <w:r>
              <w:rPr>
                <w:rFonts w:hint="default" w:ascii="Times New Roman" w:hAnsi="Times New Roman" w:eastAsia="宋体" w:cs="Times New Roman"/>
                <w:lang w:val="en-US" w:eastAsia="zh-CN"/>
              </w:rPr>
              <w:t>Rehabilitation Exercise Guidance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Availability of rehabilitation plans and implementation of occupational therapy, physical therapy, and guidance for healthy exercise for patients in need.</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4.16</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0.69</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50</w:t>
            </w:r>
            <w:r>
              <w:rPr>
                <w:rFonts w:hint="eastAsia" w:ascii="Times New Roman" w:hAnsi="Times New Roman" w:eastAsia="宋体" w:cs="Times New Roman"/>
                <w:color w:val="auto"/>
                <w:sz w:val="24"/>
                <w:szCs w:val="24"/>
                <w:highlight w:val="none"/>
                <w:lang w:val="en-US" w:eastAsia="zh-CN"/>
              </w:rPr>
              <w:t>Fitness Exercise Guidance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The implementation of fitness exercise plans and guidance on physical activities for 'needy patients'.</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4.11</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0.74</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1</w:t>
            </w:r>
            <w:r>
              <w:rPr>
                <w:rFonts w:hint="default" w:ascii="Times New Roman" w:hAnsi="Times New Roman" w:eastAsia="宋体" w:cs="Times New Roman"/>
                <w:color w:val="auto"/>
                <w:highlight w:val="none"/>
                <w:lang w:val="en-US" w:eastAsia="zh-CN"/>
              </w:rPr>
              <w:t>Institutional Psychological Service Guarantee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4.79</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0.42</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0.09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51</w:t>
            </w:r>
            <w:r>
              <w:rPr>
                <w:rFonts w:hint="default" w:ascii="Times New Roman" w:hAnsi="Times New Roman" w:eastAsia="宋体" w:cs="Times New Roman"/>
                <w:lang w:val="en-US" w:eastAsia="zh-CN"/>
              </w:rPr>
              <w:t>Privacy and Dignity Maintenance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Respect and protection of the rights of the elderly and their families, including the right to informed consent, participation in decision-making, privacy, and dignity.</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4.58</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0.77</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52</w:t>
            </w:r>
            <w:r>
              <w:rPr>
                <w:rFonts w:hint="default" w:ascii="Times New Roman" w:hAnsi="Times New Roman" w:eastAsia="宋体" w:cs="Times New Roman"/>
                <w:lang w:val="en-US" w:eastAsia="zh-CN"/>
              </w:rPr>
              <w:t>Psychological Health Management</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Diagnosis and treatment of mental and psychological problems, identification and management of cognitive function disorders and other mental and behavioral problems, and nursing care for cognitive function disorders and abnormal mental behavior.</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4.53</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0.61</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53</w:t>
            </w:r>
            <w:r>
              <w:rPr>
                <w:rFonts w:hint="default" w:ascii="Times New Roman" w:hAnsi="Times New Roman" w:eastAsia="宋体" w:cs="Times New Roman"/>
                <w:color w:val="auto"/>
                <w:highlight w:val="none"/>
                <w:lang w:val="en-US" w:eastAsia="zh-CN"/>
              </w:rPr>
              <w:t>Elderly Recreational Activities</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Organization of singing, dancing, musical instrument playing, and other recreational activities for the elderly.</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4.26</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0.56</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eastAsia="宋体" w:cs="Times New Roman"/>
                <w:lang w:val="en-US" w:eastAsia="zh-CN"/>
              </w:rPr>
              <w:t>Ⅲ-5</w:t>
            </w:r>
            <w:r>
              <w:rPr>
                <w:rFonts w:hint="eastAsia" w:ascii="Times New Roman" w:hAnsi="Times New Roman" w:eastAsia="宋体" w:cs="Times New Roman"/>
                <w:lang w:val="en-US" w:eastAsia="zh-CN"/>
              </w:rPr>
              <w:t>4</w:t>
            </w:r>
            <w:r>
              <w:rPr>
                <w:rFonts w:hint="default" w:ascii="Times New Roman" w:hAnsi="Times New Roman" w:eastAsia="宋体" w:cs="Times New Roman"/>
                <w:lang w:val="en-US" w:eastAsia="zh-CN"/>
              </w:rPr>
              <w:t>Dispute Resolution and Complaint Channels</w:t>
            </w:r>
          </w:p>
        </w:tc>
        <w:tc>
          <w:tcPr>
            <w:tcW w:w="4857" w:type="dxa"/>
            <w:tcBorders>
              <w:tl2br w:val="nil"/>
              <w:tr2bl w:val="nil"/>
            </w:tcBorders>
            <w:noWrap w:val="0"/>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Accessibility of channels for feedback from the elderly and their families, and the speed of handling feedback.</w:t>
            </w: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4.32</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0.82</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0.19</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Ⅱ-1</w:t>
            </w:r>
            <w:r>
              <w:rPr>
                <w:rFonts w:hint="eastAsia" w:ascii="Times New Roman" w:hAnsi="Times New Roman" w:eastAsia="宋体" w:cs="Times New Roman"/>
                <w:color w:val="auto"/>
                <w:highlight w:val="none"/>
                <w:lang w:val="en-US" w:eastAsia="zh-CN"/>
              </w:rPr>
              <w:t>2</w:t>
            </w:r>
            <w:r>
              <w:rPr>
                <w:rFonts w:hint="default" w:ascii="Times New Roman" w:hAnsi="Times New Roman" w:eastAsia="宋体" w:cs="Times New Roman"/>
                <w:color w:val="auto"/>
                <w:highlight w:val="none"/>
                <w:lang w:val="en-US" w:eastAsia="zh-CN"/>
              </w:rPr>
              <w:t>Institutional Safety Guarantee</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p>
        </w:tc>
        <w:tc>
          <w:tcPr>
            <w:tcW w:w="1053"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4.11</w:t>
            </w:r>
          </w:p>
        </w:tc>
        <w:tc>
          <w:tcPr>
            <w:tcW w:w="907"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0.32</w:t>
            </w:r>
          </w:p>
        </w:tc>
        <w:tc>
          <w:tcPr>
            <w:tcW w:w="1096" w:type="dxa"/>
            <w:tcBorders>
              <w:tl2br w:val="nil"/>
              <w:tr2bl w:val="nil"/>
            </w:tcBorders>
            <w:noWrap w:val="0"/>
            <w:vAlign w:val="center"/>
          </w:tcPr>
          <w:p>
            <w:pPr>
              <w:bidi w:val="0"/>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0.08</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2"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Ⅲ-5</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lang w:val="en-US" w:eastAsia="zh-CN"/>
              </w:rPr>
              <w:t>Age-friendly Renovation</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Installation of facilities such as elevators, barrier-free stairs, barrier-free ramps, etc., in accordance with the requirements of Chapters 5, 6, and 7 of the "Urban Road and Building Accessibility Design Code JGJ_50-2001".</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0.54</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w:t>
            </w:r>
            <w:r>
              <w:rPr>
                <w:rFonts w:hint="eastAsia" w:ascii="Times New Roman" w:hAnsi="Times New Roman" w:eastAsia="宋体" w:cs="Times New Roman"/>
                <w:color w:val="auto"/>
                <w:highlight w:val="none"/>
                <w:lang w:val="en-US" w:eastAsia="zh-CN"/>
              </w:rPr>
              <w:t>56</w:t>
            </w:r>
            <w:r>
              <w:rPr>
                <w:rFonts w:hint="default" w:ascii="Times New Roman" w:hAnsi="Times New Roman" w:eastAsia="宋体" w:cs="Times New Roman"/>
                <w:color w:val="auto"/>
                <w:highlight w:val="none"/>
                <w:lang w:val="en-US" w:eastAsia="zh-CN"/>
              </w:rPr>
              <w:t>Security Facilities</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Availability and management of fire-fighting equipment, fire exits, safety escape routes, access control facilities, monitoring equipment, positioning equipment, emergency call systems, etc., in accordance with the relevant provisions of the industry standard "Safety Management of Elderly Care Institutions" (MZ/T032-2012).</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4.11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0.66</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054" w:type="dxa"/>
            <w:tcBorders>
              <w:tl2br w:val="nil"/>
              <w:tr2bl w:val="nil"/>
            </w:tcBorders>
            <w:noWrap w:val="0"/>
            <w:vAlign w:val="top"/>
          </w:tcPr>
          <w:p>
            <w:pPr>
              <w:bidi w:val="0"/>
              <w:jc w:val="left"/>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Ⅲ-5</w:t>
            </w:r>
            <w:r>
              <w:rPr>
                <w:rFonts w:hint="eastAsia" w:ascii="Times New Roman" w:hAnsi="Times New Roman" w:eastAsia="宋体" w:cs="Times New Roman"/>
                <w:color w:val="auto"/>
                <w:highlight w:val="none"/>
                <w:lang w:val="en-US" w:eastAsia="zh-CN"/>
              </w:rPr>
              <w:t>7</w:t>
            </w:r>
            <w:r>
              <w:rPr>
                <w:rFonts w:hint="default" w:ascii="Times New Roman" w:hAnsi="Times New Roman" w:eastAsia="宋体" w:cs="Times New Roman"/>
                <w:lang w:val="en-US" w:eastAsia="zh-CN"/>
              </w:rPr>
              <w:t xml:space="preserve"> Service Manpower Situation</w:t>
            </w:r>
          </w:p>
        </w:tc>
        <w:tc>
          <w:tcPr>
            <w:tcW w:w="4857" w:type="dxa"/>
            <w:tcBorders>
              <w:tl2br w:val="nil"/>
              <w:tr2bl w:val="nil"/>
            </w:tcBorders>
            <w:noWrap w:val="0"/>
            <w:vAlign w:val="top"/>
          </w:tcPr>
          <w:p>
            <w:pPr>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Number of physicians, rehabilitation physicians, and nurses per thousand elderly individuals in the institution.</w:t>
            </w:r>
            <w:r>
              <w:rPr>
                <w:rFonts w:hint="default" w:ascii="Times New Roman" w:hAnsi="Times New Roman" w:eastAsia="宋体" w:cs="Times New Roman"/>
                <w:lang w:val="en-US" w:eastAsia="zh-CN"/>
              </w:rPr>
              <w:t xml:space="preserve"> </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0.42</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jc w:val="center"/>
        </w:trPr>
        <w:tc>
          <w:tcPr>
            <w:tcW w:w="2054" w:type="dxa"/>
            <w:tcBorders>
              <w:tl2br w:val="nil"/>
              <w:tr2bl w:val="nil"/>
            </w:tcBorders>
            <w:noWrap w:val="0"/>
            <w:vAlign w:val="center"/>
          </w:tcPr>
          <w:p>
            <w:pPr>
              <w:bidi w:val="0"/>
              <w:jc w:val="left"/>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lang w:val="en-US" w:eastAsia="zh-CN"/>
              </w:rPr>
              <w:t>Ⅲ-5</w:t>
            </w:r>
            <w:r>
              <w:rPr>
                <w:rFonts w:hint="eastAsia" w:ascii="Times New Roman" w:hAnsi="Times New Roman" w:eastAsia="宋体" w:cs="Times New Roman"/>
                <w:lang w:val="en-US" w:eastAsia="zh-CN"/>
              </w:rPr>
              <w:t>8</w:t>
            </w:r>
            <w:r>
              <w:rPr>
                <w:rFonts w:hint="default" w:ascii="Times New Roman" w:hAnsi="Times New Roman" w:eastAsia="宋体" w:cs="Times New Roman"/>
                <w:lang w:val="en-US" w:eastAsia="zh-CN"/>
              </w:rPr>
              <w:t>Multifunctional Nursing Bed</w:t>
            </w:r>
          </w:p>
        </w:tc>
        <w:tc>
          <w:tcPr>
            <w:tcW w:w="4857" w:type="dxa"/>
            <w:tcBorders>
              <w:tl2br w:val="nil"/>
              <w:tr2bl w:val="nil"/>
            </w:tcBorders>
            <w:noWrap w:val="0"/>
            <w:vAlign w:val="center"/>
          </w:tcPr>
          <w:p>
            <w:pPr>
              <w:bidi w:val="0"/>
              <w:jc w:val="left"/>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Whether the institution provides safe beds with multiple nursing functions according to the living habits or treatment needs of the elderly in need.</w:t>
            </w:r>
          </w:p>
        </w:tc>
        <w:tc>
          <w:tcPr>
            <w:tcW w:w="1053"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4.21</w:t>
            </w:r>
          </w:p>
        </w:tc>
        <w:tc>
          <w:tcPr>
            <w:tcW w:w="907"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0.54</w:t>
            </w:r>
          </w:p>
        </w:tc>
        <w:tc>
          <w:tcPr>
            <w:tcW w:w="1096" w:type="dxa"/>
            <w:tcBorders>
              <w:tl2br w:val="nil"/>
              <w:tr2bl w:val="nil"/>
            </w:tcBorders>
            <w:noWrap w:val="0"/>
            <w:vAlign w:val="center"/>
          </w:tcPr>
          <w:p>
            <w:pPr>
              <w:bidi w:val="0"/>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0.13</w:t>
            </w:r>
          </w:p>
        </w:tc>
      </w:tr>
      <w:bookmarkEnd w:id="0"/>
      <w:bookmarkEnd w:id="1"/>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0FC621C4"/>
    <w:rsid w:val="10EA3C90"/>
    <w:rsid w:val="12C30C3D"/>
    <w:rsid w:val="35CB24C6"/>
    <w:rsid w:val="4B4C4A74"/>
    <w:rsid w:val="4BCF4E2E"/>
    <w:rsid w:val="52CD5226"/>
    <w:rsid w:val="562B49E1"/>
    <w:rsid w:val="57986A1C"/>
    <w:rsid w:val="5B841791"/>
    <w:rsid w:val="6CC75C73"/>
    <w:rsid w:val="7E026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5">
    <w:name w:val="font11"/>
    <w:basedOn w:val="4"/>
    <w:uiPriority w:val="0"/>
    <w:rPr>
      <w:rFonts w:hint="default" w:ascii="Times New Roman" w:hAnsi="Times New Roman" w:cs="Times New Roman"/>
      <w:color w:val="000000"/>
      <w:sz w:val="21"/>
      <w:szCs w:val="21"/>
      <w:u w:val="none"/>
    </w:rPr>
  </w:style>
  <w:style w:type="character" w:customStyle="1" w:styleId="6">
    <w:name w:val="font21"/>
    <w:basedOn w:val="4"/>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2024-05-06T06:08:35Z</dcterms:created>
  <dc:creator>40963</dc:creator>
  <cp:lastModifiedBy>肉丸子</cp:lastModifiedBy>
  <dcterms:modified xsi:type="dcterms:W3CDTF">2024-05-06T06:51:04Z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35E7B8CA06914592878B323B6B302443_12</vt:lpwstr>
  </property>
</Properties>
</file>