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rPr>
          <w:b w:val="0"/>
        </w:rPr>
      </w:pPr>
      <w:r>
        <w:t>Supplementary Material</w:t>
      </w:r>
    </w:p>
    <w:p>
      <w:pPr>
        <w:pStyle w:val="2"/>
      </w:pPr>
      <w:r>
        <w:t>Supplementary Data</w:t>
      </w:r>
    </w:p>
    <w:p>
      <w:pPr>
        <w:pStyle w:val="2"/>
        <w:numPr>
          <w:ilvl w:val="0"/>
          <w:numId w:val="0"/>
        </w:numPr>
        <w:ind w:leftChars="0"/>
        <w:rPr>
          <w:rFonts w:cs="Times New Roman"/>
          <w:b w:val="0"/>
          <w:bCs/>
          <w:szCs w:val="24"/>
        </w:rPr>
      </w:pPr>
      <w:r>
        <w:rPr>
          <w:rFonts w:cs="Times New Roman"/>
          <w:b w:val="0"/>
          <w:bCs/>
          <w:szCs w:val="24"/>
        </w:rPr>
        <w:t xml:space="preserve">The CHARLS dataset analyzed in the current study is publicly available from the official CHARLS repository at </w:t>
      </w:r>
      <w:r>
        <w:rPr>
          <w:rFonts w:cs="Times New Roman"/>
          <w:b w:val="0"/>
          <w:bCs/>
          <w:szCs w:val="24"/>
        </w:rPr>
        <w:fldChar w:fldCharType="begin"/>
      </w:r>
      <w:r>
        <w:rPr>
          <w:rFonts w:cs="Times New Roman"/>
          <w:b w:val="0"/>
          <w:bCs/>
          <w:szCs w:val="24"/>
        </w:rPr>
        <w:instrText xml:space="preserve"> HYPERLINK "http://charls.pku.edu.cn/en" \t "_new" </w:instrText>
      </w:r>
      <w:r>
        <w:rPr>
          <w:rFonts w:cs="Times New Roman"/>
          <w:b w:val="0"/>
          <w:bCs/>
          <w:szCs w:val="24"/>
        </w:rPr>
        <w:fldChar w:fldCharType="separate"/>
      </w:r>
      <w:r>
        <w:rPr>
          <w:rFonts w:cs="Times New Roman"/>
          <w:b w:val="0"/>
          <w:bCs/>
          <w:szCs w:val="24"/>
        </w:rPr>
        <w:t>http://charls.pku.edu.cn/en</w:t>
      </w:r>
      <w:r>
        <w:rPr>
          <w:rFonts w:cs="Times New Roman"/>
          <w:b w:val="0"/>
          <w:bCs/>
          <w:szCs w:val="24"/>
        </w:rPr>
        <w:fldChar w:fldCharType="end"/>
      </w:r>
      <w:r>
        <w:rPr>
          <w:rFonts w:cs="Times New Roman"/>
          <w:b w:val="0"/>
          <w:bCs/>
          <w:szCs w:val="24"/>
        </w:rPr>
        <w:t>.</w:t>
      </w:r>
    </w:p>
    <w:p/>
    <w:p>
      <w:pPr>
        <w:pStyle w:val="2"/>
      </w:pPr>
      <w:r>
        <w:t>Supplementary Figures and Tables</w:t>
      </w:r>
    </w:p>
    <w:p>
      <w:pPr>
        <w:jc w:val="center"/>
        <w:rPr>
          <w:rFonts w:hint="eastAsia" w:ascii="Times New Roman" w:eastAsiaTheme="minorHAnsi"/>
          <w:szCs w:val="24"/>
          <w:lang w:val="en-US" w:eastAsia="zh-CN"/>
        </w:rPr>
      </w:pPr>
      <w:r>
        <w:rPr>
          <w:rFonts w:hint="eastAsia" w:ascii="Times New Roman" w:eastAsiaTheme="minorHAnsi"/>
          <w:szCs w:val="24"/>
          <w:lang w:val="en-US" w:eastAsia="zh-CN"/>
        </w:rPr>
        <w:t>Table1: Stepwise sample construction for the core analysis cohort</w:t>
      </w:r>
    </w:p>
    <w:tbl>
      <w:tblPr>
        <w:tblStyle w:val="20"/>
        <w:tblW w:w="6192" w:type="dxa"/>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04"/>
        <w:gridCol w:w="2544"/>
        <w:gridCol w:w="1644"/>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04" w:type="dxa"/>
            <w:tcBorders>
              <w:bottom w:val="single" w:color="000000" w:themeColor="text1" w:sz="12" w:space="0"/>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Step</w:t>
            </w:r>
          </w:p>
        </w:tc>
        <w:tc>
          <w:tcPr>
            <w:tcW w:w="2544" w:type="dxa"/>
            <w:tcBorders>
              <w:bottom w:val="single" w:color="000000" w:themeColor="text1" w:sz="12" w:space="0"/>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Constraint (added cumulatively)</w:t>
            </w:r>
          </w:p>
        </w:tc>
        <w:tc>
          <w:tcPr>
            <w:tcW w:w="1644" w:type="dxa"/>
            <w:tcBorders>
              <w:bottom w:val="single" w:color="000000" w:themeColor="text1" w:sz="12" w:space="0"/>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Sample size (N)</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jc w:val="center"/>
        </w:trPr>
        <w:tc>
          <w:tcPr>
            <w:tcW w:w="2004" w:type="dxa"/>
            <w:tcBorders>
              <w:top w:val="single" w:color="000000" w:themeColor="text1" w:sz="12" w:space="0"/>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Initial sample</w:t>
            </w:r>
          </w:p>
        </w:tc>
        <w:tc>
          <w:tcPr>
            <w:tcW w:w="2544" w:type="dxa"/>
            <w:tcBorders>
              <w:top w:val="single" w:color="000000" w:themeColor="text1" w:sz="12" w:space="0"/>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Respondents aged 40–75</w:t>
            </w:r>
          </w:p>
        </w:tc>
        <w:tc>
          <w:tcPr>
            <w:tcW w:w="1644" w:type="dxa"/>
            <w:tcBorders>
              <w:top w:val="single" w:color="000000" w:themeColor="text1" w:sz="12" w:space="0"/>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7,825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Retirement Status</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(Retirement Status)</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7,773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Standardized CES-D10 Depression Score</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(CES-D10 score)</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7,733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Self-rated Health Status</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(Self-rated Health Status)</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7,730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4"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Parent–Child Relationship Satisfaction, Providing Grandchild Care, Caregiving Intensity, Marital Status, Household Size, Years of Schooling, Urban/Rural Residence, Age, Age Squared</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All above non-missing (forms core analytic sample)</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7,730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Pension Receipt</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(Pension)</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6,947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Financial Support from Children (log)</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(log financial transfers from children)</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5,562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jc w:val="center"/>
        </w:trPr>
        <w:tc>
          <w:tcPr>
            <w:tcW w:w="200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Drop missing: Financial Support to Children (log)</w:t>
            </w:r>
          </w:p>
        </w:tc>
        <w:tc>
          <w:tcPr>
            <w:tcW w:w="25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Non-missing (log financial transfers to children)</w:t>
            </w:r>
          </w:p>
        </w:tc>
        <w:tc>
          <w:tcPr>
            <w:tcW w:w="1644" w:type="dxa"/>
            <w:tcBorders>
              <w:tl2br w:val="nil"/>
              <w:tr2bl w:val="nil"/>
            </w:tcBorders>
            <w:shd w:val="clear" w:color="auto" w:fill="auto"/>
            <w:vAlign w:val="center"/>
          </w:tcPr>
          <w:p>
            <w:pPr>
              <w:jc w:val="center"/>
              <w:rPr>
                <w:rFonts w:hint="eastAsia" w:ascii="Times New Roman" w:eastAsiaTheme="minorHAnsi"/>
                <w:szCs w:val="24"/>
                <w:lang w:val="en-US" w:eastAsia="zh-CN"/>
              </w:rPr>
            </w:pPr>
            <w:r>
              <w:rPr>
                <w:rFonts w:hint="eastAsia" w:ascii="Times New Roman" w:eastAsiaTheme="minorHAnsi"/>
                <w:szCs w:val="24"/>
                <w:lang w:val="en-US" w:eastAsia="zh-CN"/>
              </w:rPr>
              <w:t>2,657</w:t>
            </w:r>
          </w:p>
        </w:tc>
      </w:tr>
    </w:tbl>
    <w:p>
      <w:pPr>
        <w:jc w:val="center"/>
        <w:rPr>
          <w:rFonts w:hint="eastAsia"/>
          <w:szCs w:val="24"/>
          <w:lang w:val="en-US" w:eastAsia="zh-CN"/>
        </w:rPr>
      </w:pPr>
      <w:bookmarkStart w:id="0" w:name="OLE_LINK30"/>
      <w:bookmarkStart w:id="1" w:name="OLE_LINK2"/>
      <w:r>
        <w:rPr>
          <w:rFonts w:hint="eastAsia"/>
          <w:szCs w:val="24"/>
          <w:lang w:val="en-US" w:eastAsia="zh-CN"/>
        </w:rPr>
        <w:t>Table 2: Variable Definitions</w:t>
      </w:r>
    </w:p>
    <w:tbl>
      <w:tblPr>
        <w:tblStyle w:val="21"/>
        <w:tblW w:w="0" w:type="auto"/>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88"/>
        <w:gridCol w:w="4335"/>
        <w:gridCol w:w="2899"/>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bottom w:val="single" w:color="000000" w:themeColor="text1" w:sz="12" w:space="0"/>
            </w:tcBorders>
            <w:vAlign w:val="center"/>
          </w:tcPr>
          <w:p>
            <w:pPr>
              <w:rPr>
                <w:rFonts w:hint="eastAsia"/>
                <w:szCs w:val="24"/>
                <w:lang w:val="en-US" w:eastAsia="zh-CN"/>
              </w:rPr>
            </w:pPr>
            <w:r>
              <w:rPr>
                <w:rFonts w:hint="eastAsia"/>
                <w:szCs w:val="24"/>
                <w:lang w:val="en-US" w:eastAsia="zh-CN"/>
              </w:rPr>
              <w:t>Variable</w:t>
            </w:r>
          </w:p>
        </w:tc>
        <w:tc>
          <w:tcPr>
            <w:tcW w:w="4335" w:type="dxa"/>
            <w:tcBorders>
              <w:bottom w:val="single" w:color="000000" w:themeColor="text1" w:sz="12" w:space="0"/>
            </w:tcBorders>
            <w:vAlign w:val="center"/>
          </w:tcPr>
          <w:p>
            <w:pPr>
              <w:rPr>
                <w:rFonts w:hint="eastAsia"/>
                <w:szCs w:val="24"/>
                <w:lang w:val="en-US" w:eastAsia="zh-CN"/>
              </w:rPr>
            </w:pPr>
            <w:r>
              <w:rPr>
                <w:rFonts w:hint="eastAsia"/>
                <w:szCs w:val="24"/>
                <w:lang w:val="en-US" w:eastAsia="zh-CN"/>
              </w:rPr>
              <w:t>Definition</w:t>
            </w:r>
          </w:p>
        </w:tc>
        <w:tc>
          <w:tcPr>
            <w:tcW w:w="2899" w:type="dxa"/>
            <w:tcBorders>
              <w:bottom w:val="single" w:color="000000" w:themeColor="text1" w:sz="12" w:space="0"/>
            </w:tcBorders>
            <w:vAlign w:val="center"/>
          </w:tcPr>
          <w:p>
            <w:pPr>
              <w:rPr>
                <w:rFonts w:hint="eastAsia"/>
                <w:szCs w:val="24"/>
                <w:lang w:val="en-US" w:eastAsia="zh-CN"/>
              </w:rPr>
            </w:pPr>
            <w:r>
              <w:rPr>
                <w:rFonts w:hint="eastAsia"/>
                <w:szCs w:val="24"/>
                <w:lang w:val="en-US" w:eastAsia="zh-CN"/>
              </w:rPr>
              <w:t>Measurement</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op w:val="single" w:color="000000" w:themeColor="text1" w:sz="12" w:space="0"/>
              <w:tl2br w:val="nil"/>
              <w:tr2bl w:val="nil"/>
            </w:tcBorders>
            <w:vAlign w:val="center"/>
          </w:tcPr>
          <w:p>
            <w:pPr>
              <w:rPr>
                <w:rFonts w:hint="eastAsia"/>
                <w:szCs w:val="24"/>
                <w:lang w:val="en-US" w:eastAsia="zh-CN"/>
              </w:rPr>
            </w:pPr>
            <w:r>
              <w:rPr>
                <w:rFonts w:hint="eastAsia"/>
                <w:szCs w:val="24"/>
                <w:lang w:val="en-US" w:eastAsia="zh-CN"/>
              </w:rPr>
              <w:t>Standardized CES-D10 score</w:t>
            </w:r>
          </w:p>
        </w:tc>
        <w:tc>
          <w:tcPr>
            <w:tcW w:w="4335" w:type="dxa"/>
            <w:tcBorders>
              <w:top w:val="single" w:color="000000" w:themeColor="text1" w:sz="12" w:space="0"/>
              <w:tl2br w:val="nil"/>
              <w:tr2bl w:val="nil"/>
            </w:tcBorders>
            <w:vAlign w:val="center"/>
          </w:tcPr>
          <w:p>
            <w:pPr>
              <w:rPr>
                <w:rFonts w:hint="eastAsia"/>
                <w:szCs w:val="24"/>
                <w:lang w:val="en-US" w:eastAsia="zh-CN"/>
              </w:rPr>
            </w:pPr>
            <w:r>
              <w:rPr>
                <w:rFonts w:hint="eastAsia"/>
                <w:szCs w:val="24"/>
                <w:lang w:val="en-US" w:eastAsia="zh-CN"/>
              </w:rPr>
              <w:t>Standardized CES-D10 score, a measure of depressive symptoms in older adults. Assesses symptoms such as sadness, anxiety, and loss of interest.</w:t>
            </w:r>
          </w:p>
        </w:tc>
        <w:tc>
          <w:tcPr>
            <w:tcW w:w="2899" w:type="dxa"/>
            <w:tcBorders>
              <w:top w:val="single" w:color="000000" w:themeColor="text1" w:sz="12" w:space="0"/>
              <w:tl2br w:val="nil"/>
              <w:tr2bl w:val="nil"/>
            </w:tcBorders>
            <w:vAlign w:val="center"/>
          </w:tcPr>
          <w:p>
            <w:pPr>
              <w:rPr>
                <w:rFonts w:hint="eastAsia"/>
                <w:szCs w:val="24"/>
                <w:lang w:val="en-US" w:eastAsia="zh-CN"/>
              </w:rPr>
            </w:pPr>
            <w:r>
              <w:rPr>
                <w:rFonts w:hint="eastAsia"/>
                <w:szCs w:val="24"/>
                <w:lang w:val="en-US" w:eastAsia="zh-CN"/>
              </w:rPr>
              <w:t>Continuous variable, range: -1.325 to 3.24. Higher scores indicate more severe depressive symptoms.</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Retirement Status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Indicator variable for whether the individual is retired.</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Binary variable (1 = retired, 0 = not retired).</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Parent-Child Relationship Satisfaction</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Satisfaction with the parent-child relationship.</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Ordinal variable (1 = very dissatisfied, 5 = very satisfied).</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Grandchild Caregiving</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Indicates whether the individual provides caregiving to grandchildren.</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Binary variable (1 = provides care, 0 = does not provide care).</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Caregiving Intensity</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Number of hours per week spent providing caregiving to grandchildren, reflecting caregiving intensity.</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measured in hours per week, range 0–336; values above 168 top-coded at 168.</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Self-rated health status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Self-rated health status, reflecting the individual’s subjective health perception.</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Ordinal variable (1 = very poor, 5 = excellent).</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Pension  Status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Indicates whether the individual receives a pension.</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Binary variable (1 = receives pension, 0 = does not receive pension).</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Financial Support to Children</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Log-transformed amount of financial support provided to children.</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log-transformed financial support amount.</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 xml:space="preserve">Financial Support from Children </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Log-transformed amount of financial support received from children.</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log-transformed financial support amount.</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The individual’s age.</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The individual’s age.</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measured in years.</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Squared term of age to account for non-linear age effects.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Squared term of age to account for non-linear age effects.</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the square of c.age.</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Marital status.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Marital status.</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Binary variable (1 = married, 0 = not married).</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Number of household members</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Number of household members.</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range: 1 to 13.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288" w:type="dxa"/>
            <w:tcBorders>
              <w:tl2br w:val="nil"/>
              <w:tr2bl w:val="nil"/>
            </w:tcBorders>
            <w:vAlign w:val="center"/>
          </w:tcPr>
          <w:p>
            <w:pPr>
              <w:rPr>
                <w:rFonts w:hint="eastAsia"/>
                <w:szCs w:val="24"/>
                <w:lang w:val="en-US" w:eastAsia="zh-CN"/>
              </w:rPr>
            </w:pPr>
            <w:r>
              <w:rPr>
                <w:rFonts w:hint="eastAsia"/>
                <w:szCs w:val="24"/>
                <w:lang w:val="en-US" w:eastAsia="zh-CN"/>
              </w:rPr>
              <w:t>Number of grandchildren under the age of 16</w:t>
            </w:r>
          </w:p>
        </w:tc>
        <w:tc>
          <w:tcPr>
            <w:tcW w:w="4335" w:type="dxa"/>
            <w:tcBorders>
              <w:tl2br w:val="nil"/>
              <w:tr2bl w:val="nil"/>
            </w:tcBorders>
            <w:vAlign w:val="center"/>
          </w:tcPr>
          <w:p>
            <w:pPr>
              <w:rPr>
                <w:rFonts w:hint="eastAsia"/>
                <w:szCs w:val="24"/>
                <w:lang w:val="en-US" w:eastAsia="zh-CN"/>
              </w:rPr>
            </w:pPr>
            <w:r>
              <w:rPr>
                <w:rFonts w:hint="eastAsia"/>
                <w:szCs w:val="24"/>
                <w:lang w:val="en-US" w:eastAsia="zh-CN"/>
              </w:rPr>
              <w:t>Number of grandchildren under the age of 16.</w:t>
            </w:r>
          </w:p>
        </w:tc>
        <w:tc>
          <w:tcPr>
            <w:tcW w:w="2899" w:type="dxa"/>
            <w:tcBorders>
              <w:tl2br w:val="nil"/>
              <w:tr2bl w:val="nil"/>
            </w:tcBorders>
            <w:vAlign w:val="center"/>
          </w:tcPr>
          <w:p>
            <w:pPr>
              <w:rPr>
                <w:rFonts w:hint="eastAsia"/>
                <w:szCs w:val="24"/>
                <w:lang w:val="en-US" w:eastAsia="zh-CN"/>
              </w:rPr>
            </w:pPr>
            <w:r>
              <w:rPr>
                <w:rFonts w:hint="eastAsia"/>
                <w:szCs w:val="24"/>
                <w:lang w:val="en-US" w:eastAsia="zh-CN"/>
              </w:rPr>
              <w:t>Continuous variable, range: 0 to 14.</w:t>
            </w:r>
          </w:p>
        </w:tc>
      </w:tr>
      <w:bookmarkEnd w:id="0"/>
    </w:tbl>
    <w:p>
      <w:pPr>
        <w:rPr>
          <w:rFonts w:hint="eastAsia"/>
          <w:szCs w:val="24"/>
          <w:lang w:val="en-US" w:eastAsia="zh-CN"/>
        </w:rPr>
      </w:pPr>
      <w:r>
        <w:rPr>
          <w:rFonts w:hint="eastAsia"/>
          <w:szCs w:val="24"/>
          <w:lang w:val="en-US" w:eastAsia="zh-CN"/>
        </w:rPr>
        <w:t>Note: *** p &lt; 0.01, ** p &lt; 0.05, * p &lt; 0.10.</w:t>
      </w:r>
    </w:p>
    <w:bookmarkEnd w:id="1"/>
    <w:p>
      <w:pPr>
        <w:spacing w:before="0" w:after="0"/>
        <w:jc w:val="center"/>
        <w:rPr>
          <w:rFonts w:hint="eastAsia"/>
          <w:szCs w:val="24"/>
          <w:lang w:val="en-US" w:eastAsia="zh-CN"/>
        </w:rPr>
      </w:pPr>
      <w:r>
        <w:rPr>
          <w:rFonts w:hint="eastAsia"/>
          <w:szCs w:val="24"/>
          <w:lang w:val="en-US" w:eastAsia="zh-CN"/>
        </w:rPr>
        <w:t>Table 3: Descriptive statistics for the core sample</w:t>
      </w:r>
    </w:p>
    <w:tbl>
      <w:tblPr>
        <w:tblStyle w:val="21"/>
        <w:tblW w:w="10510" w:type="dxa"/>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97"/>
        <w:gridCol w:w="1010"/>
        <w:gridCol w:w="1020"/>
        <w:gridCol w:w="1270"/>
        <w:gridCol w:w="1240"/>
        <w:gridCol w:w="1310"/>
        <w:gridCol w:w="1060"/>
        <w:gridCol w:w="902"/>
        <w:gridCol w:w="760"/>
        <w:gridCol w:w="841"/>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bottom w:val="single" w:color="000000" w:themeColor="text1" w:sz="12" w:space="0"/>
            </w:tcBorders>
            <w:vAlign w:val="center"/>
          </w:tcPr>
          <w:p>
            <w:pPr>
              <w:spacing w:before="0" w:after="0"/>
              <w:jc w:val="center"/>
              <w:rPr>
                <w:rFonts w:hint="eastAsia"/>
                <w:szCs w:val="24"/>
                <w:lang w:val="en-US" w:eastAsia="zh-CN"/>
              </w:rPr>
            </w:pPr>
            <w:bookmarkStart w:id="2" w:name="OLE_LINK42" w:colFirst="0" w:colLast="5"/>
            <w:r>
              <w:rPr>
                <w:rFonts w:hint="eastAsia"/>
                <w:szCs w:val="24"/>
                <w:lang w:val="en-US" w:eastAsia="zh-CN"/>
              </w:rPr>
              <w:t>Characteristic</w:t>
            </w:r>
          </w:p>
        </w:tc>
        <w:tc>
          <w:tcPr>
            <w:tcW w:w="101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No care (Women)</w:t>
            </w:r>
          </w:p>
        </w:tc>
        <w:tc>
          <w:tcPr>
            <w:tcW w:w="102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No care (Men)</w:t>
            </w:r>
          </w:p>
        </w:tc>
        <w:tc>
          <w:tcPr>
            <w:tcW w:w="127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Low intensity (&lt;40h, Women)</w:t>
            </w:r>
          </w:p>
        </w:tc>
        <w:tc>
          <w:tcPr>
            <w:tcW w:w="124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Low intensity (&lt;40h, Men)</w:t>
            </w:r>
          </w:p>
        </w:tc>
        <w:tc>
          <w:tcPr>
            <w:tcW w:w="131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High intensity (≥40h, Women)</w:t>
            </w:r>
          </w:p>
        </w:tc>
        <w:tc>
          <w:tcPr>
            <w:tcW w:w="106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High intensity (≥40h, Men)</w:t>
            </w:r>
          </w:p>
        </w:tc>
        <w:tc>
          <w:tcPr>
            <w:tcW w:w="902"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Total (Women)</w:t>
            </w:r>
          </w:p>
        </w:tc>
        <w:tc>
          <w:tcPr>
            <w:tcW w:w="760"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Total (Men)</w:t>
            </w:r>
          </w:p>
        </w:tc>
        <w:tc>
          <w:tcPr>
            <w:tcW w:w="841" w:type="dxa"/>
            <w:tcBorders>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Total (All)</w:t>
            </w:r>
          </w:p>
        </w:tc>
      </w:tr>
      <w:bookmarkEnd w:id="2"/>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CES-D10, mean (SD)</w:t>
            </w:r>
          </w:p>
        </w:tc>
        <w:tc>
          <w:tcPr>
            <w:tcW w:w="101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10.96 (2.83)</w:t>
            </w:r>
          </w:p>
        </w:tc>
        <w:tc>
          <w:tcPr>
            <w:tcW w:w="102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7.93 (3.07)</w:t>
            </w:r>
          </w:p>
        </w:tc>
        <w:tc>
          <w:tcPr>
            <w:tcW w:w="127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9.66 (2.98)</w:t>
            </w:r>
          </w:p>
        </w:tc>
        <w:tc>
          <w:tcPr>
            <w:tcW w:w="124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7.51 (3.04)</w:t>
            </w:r>
          </w:p>
        </w:tc>
        <w:tc>
          <w:tcPr>
            <w:tcW w:w="131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9.51 (3.02)</w:t>
            </w:r>
          </w:p>
        </w:tc>
        <w:tc>
          <w:tcPr>
            <w:tcW w:w="106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7.47 (3.13)</w:t>
            </w:r>
          </w:p>
        </w:tc>
        <w:tc>
          <w:tcPr>
            <w:tcW w:w="902"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10.20 (2.93)</w:t>
            </w:r>
          </w:p>
        </w:tc>
        <w:tc>
          <w:tcPr>
            <w:tcW w:w="760"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7.69 (3.09)</w:t>
            </w:r>
          </w:p>
        </w:tc>
        <w:tc>
          <w:tcPr>
            <w:tcW w:w="841" w:type="dxa"/>
            <w:tcBorders>
              <w:top w:val="single" w:color="000000" w:themeColor="text1" w:sz="12" w:space="0"/>
              <w:tl2br w:val="nil"/>
              <w:tr2bl w:val="nil"/>
            </w:tcBorders>
            <w:vAlign w:val="center"/>
          </w:tcPr>
          <w:p>
            <w:pPr>
              <w:spacing w:before="0" w:after="0"/>
              <w:jc w:val="center"/>
              <w:rPr>
                <w:rFonts w:hint="eastAsia"/>
                <w:szCs w:val="24"/>
                <w:lang w:val="en-US" w:eastAsia="zh-CN"/>
              </w:rPr>
            </w:pPr>
            <w:r>
              <w:rPr>
                <w:rFonts w:hint="eastAsia"/>
                <w:szCs w:val="24"/>
                <w:lang w:val="en-US" w:eastAsia="zh-CN"/>
              </w:rPr>
              <w:t>9.03 (3.00)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Self-rated health (SRH), mean (SD)</w:t>
            </w:r>
          </w:p>
        </w:tc>
        <w:tc>
          <w:tcPr>
            <w:tcW w:w="10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2.31 (1.00)</w:t>
            </w:r>
          </w:p>
        </w:tc>
        <w:tc>
          <w:tcPr>
            <w:tcW w:w="102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2.41 (1.05)</w:t>
            </w:r>
          </w:p>
        </w:tc>
        <w:tc>
          <w:tcPr>
            <w:tcW w:w="127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2.91 (1.00)</w:t>
            </w:r>
          </w:p>
        </w:tc>
        <w:tc>
          <w:tcPr>
            <w:tcW w:w="124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2.88 (1.09)</w:t>
            </w:r>
          </w:p>
        </w:tc>
        <w:tc>
          <w:tcPr>
            <w:tcW w:w="13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3.34 (1.01)</w:t>
            </w:r>
          </w:p>
        </w:tc>
        <w:tc>
          <w:tcPr>
            <w:tcW w:w="10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3.35 (1.01)</w:t>
            </w:r>
          </w:p>
        </w:tc>
        <w:tc>
          <w:tcPr>
            <w:tcW w:w="902"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2.80 (1.01)</w:t>
            </w:r>
          </w:p>
        </w:tc>
        <w:tc>
          <w:tcPr>
            <w:tcW w:w="7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2.85 (1.04)</w:t>
            </w:r>
          </w:p>
        </w:tc>
        <w:tc>
          <w:tcPr>
            <w:tcW w:w="841"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2.82 (1.03)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Age, mean (SD)</w:t>
            </w:r>
          </w:p>
        </w:tc>
        <w:tc>
          <w:tcPr>
            <w:tcW w:w="10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62.58 (7.21)</w:t>
            </w:r>
          </w:p>
        </w:tc>
        <w:tc>
          <w:tcPr>
            <w:tcW w:w="102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64.00 (6.26)</w:t>
            </w:r>
          </w:p>
        </w:tc>
        <w:tc>
          <w:tcPr>
            <w:tcW w:w="127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60.77 (6.77)</w:t>
            </w:r>
          </w:p>
        </w:tc>
        <w:tc>
          <w:tcPr>
            <w:tcW w:w="124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62.06 (5.64)</w:t>
            </w:r>
          </w:p>
        </w:tc>
        <w:tc>
          <w:tcPr>
            <w:tcW w:w="13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58.80 (6.54)</w:t>
            </w:r>
          </w:p>
        </w:tc>
        <w:tc>
          <w:tcPr>
            <w:tcW w:w="10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60.69 (5.94)</w:t>
            </w:r>
          </w:p>
        </w:tc>
        <w:tc>
          <w:tcPr>
            <w:tcW w:w="902"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60.83 (6.93)</w:t>
            </w:r>
          </w:p>
        </w:tc>
        <w:tc>
          <w:tcPr>
            <w:tcW w:w="7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62.43 (6.06)</w:t>
            </w:r>
          </w:p>
        </w:tc>
        <w:tc>
          <w:tcPr>
            <w:tcW w:w="841"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61.58 (6.65)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Family size, mean (SD)</w:t>
            </w:r>
          </w:p>
        </w:tc>
        <w:tc>
          <w:tcPr>
            <w:tcW w:w="10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2.31 (1.21)</w:t>
            </w:r>
          </w:p>
        </w:tc>
        <w:tc>
          <w:tcPr>
            <w:tcW w:w="102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2.41 (1.22)</w:t>
            </w:r>
          </w:p>
        </w:tc>
        <w:tc>
          <w:tcPr>
            <w:tcW w:w="127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2.91 (1.61)</w:t>
            </w:r>
          </w:p>
        </w:tc>
        <w:tc>
          <w:tcPr>
            <w:tcW w:w="124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2.88 (1.55)</w:t>
            </w:r>
          </w:p>
        </w:tc>
        <w:tc>
          <w:tcPr>
            <w:tcW w:w="13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3.34 (1.70)</w:t>
            </w:r>
          </w:p>
        </w:tc>
        <w:tc>
          <w:tcPr>
            <w:tcW w:w="10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3.35 (1.71)</w:t>
            </w:r>
          </w:p>
        </w:tc>
        <w:tc>
          <w:tcPr>
            <w:tcW w:w="902"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2.80 (1.56)</w:t>
            </w:r>
          </w:p>
        </w:tc>
        <w:tc>
          <w:tcPr>
            <w:tcW w:w="7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2.85 (1.54)</w:t>
            </w:r>
          </w:p>
        </w:tc>
        <w:tc>
          <w:tcPr>
            <w:tcW w:w="841"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2.82 (1.55)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 w:hRule="atLeast"/>
          <w:jc w:val="center"/>
        </w:trPr>
        <w:tc>
          <w:tcPr>
            <w:tcW w:w="1097"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Retired, % (N)</w:t>
            </w:r>
          </w:p>
        </w:tc>
        <w:tc>
          <w:tcPr>
            <w:tcW w:w="10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9.7 (184)</w:t>
            </w:r>
          </w:p>
        </w:tc>
        <w:tc>
          <w:tcPr>
            <w:tcW w:w="102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15.7 (267)</w:t>
            </w:r>
          </w:p>
        </w:tc>
        <w:tc>
          <w:tcPr>
            <w:tcW w:w="127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15.6 (94)</w:t>
            </w:r>
          </w:p>
        </w:tc>
        <w:tc>
          <w:tcPr>
            <w:tcW w:w="124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18.7 (92)</w:t>
            </w:r>
          </w:p>
        </w:tc>
        <w:tc>
          <w:tcPr>
            <w:tcW w:w="13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13.4 (215)</w:t>
            </w:r>
          </w:p>
        </w:tc>
        <w:tc>
          <w:tcPr>
            <w:tcW w:w="10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16.1 (231)</w:t>
            </w:r>
          </w:p>
        </w:tc>
        <w:tc>
          <w:tcPr>
            <w:tcW w:w="902"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12.0 (493)</w:t>
            </w:r>
          </w:p>
        </w:tc>
        <w:tc>
          <w:tcPr>
            <w:tcW w:w="7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16.3 (590)</w:t>
            </w:r>
          </w:p>
        </w:tc>
        <w:tc>
          <w:tcPr>
            <w:tcW w:w="841"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14.0 (1,083)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Providing grandchild care, % (N)</w:t>
            </w:r>
          </w:p>
        </w:tc>
        <w:tc>
          <w:tcPr>
            <w:tcW w:w="10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0</w:t>
            </w:r>
          </w:p>
        </w:tc>
        <w:tc>
          <w:tcPr>
            <w:tcW w:w="102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0</w:t>
            </w:r>
          </w:p>
        </w:tc>
        <w:tc>
          <w:tcPr>
            <w:tcW w:w="127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100 (602)</w:t>
            </w:r>
          </w:p>
        </w:tc>
        <w:tc>
          <w:tcPr>
            <w:tcW w:w="124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100 (492)</w:t>
            </w:r>
          </w:p>
        </w:tc>
        <w:tc>
          <w:tcPr>
            <w:tcW w:w="131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100 (1,609)</w:t>
            </w:r>
          </w:p>
        </w:tc>
        <w:tc>
          <w:tcPr>
            <w:tcW w:w="10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100 (1,434)</w:t>
            </w:r>
          </w:p>
        </w:tc>
        <w:tc>
          <w:tcPr>
            <w:tcW w:w="902"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53.8 (2,211)</w:t>
            </w:r>
          </w:p>
        </w:tc>
        <w:tc>
          <w:tcPr>
            <w:tcW w:w="760"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53.2 (1,926)</w:t>
            </w:r>
          </w:p>
        </w:tc>
        <w:tc>
          <w:tcPr>
            <w:tcW w:w="841" w:type="dxa"/>
            <w:tcBorders>
              <w:tl2br w:val="nil"/>
              <w:tr2bl w:val="nil"/>
            </w:tcBorders>
            <w:vAlign w:val="center"/>
          </w:tcPr>
          <w:p>
            <w:pPr>
              <w:spacing w:before="0" w:after="0"/>
              <w:jc w:val="center"/>
              <w:rPr>
                <w:rFonts w:hint="eastAsia"/>
                <w:szCs w:val="24"/>
                <w:lang w:val="en-US" w:eastAsia="zh-CN"/>
              </w:rPr>
            </w:pPr>
            <w:r>
              <w:rPr>
                <w:rFonts w:hint="eastAsia"/>
                <w:szCs w:val="24"/>
                <w:lang w:val="en-US" w:eastAsia="zh-CN"/>
              </w:rPr>
              <w:t>53.5 (4,137)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Married, % (N)</w:t>
            </w:r>
          </w:p>
        </w:tc>
        <w:tc>
          <w:tcPr>
            <w:tcW w:w="101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70.6 (1,339)</w:t>
            </w:r>
          </w:p>
        </w:tc>
        <w:tc>
          <w:tcPr>
            <w:tcW w:w="102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83.3 (1,414)</w:t>
            </w:r>
          </w:p>
        </w:tc>
        <w:tc>
          <w:tcPr>
            <w:tcW w:w="127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66.4 (400)</w:t>
            </w:r>
          </w:p>
        </w:tc>
        <w:tc>
          <w:tcPr>
            <w:tcW w:w="124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84.3 (415)</w:t>
            </w:r>
          </w:p>
        </w:tc>
        <w:tc>
          <w:tcPr>
            <w:tcW w:w="131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82.2 (1,322)</w:t>
            </w:r>
          </w:p>
        </w:tc>
        <w:tc>
          <w:tcPr>
            <w:tcW w:w="106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96.0 (1,377)</w:t>
            </w:r>
          </w:p>
        </w:tc>
        <w:tc>
          <w:tcPr>
            <w:tcW w:w="902"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74.5 (3,061)</w:t>
            </w:r>
          </w:p>
        </w:tc>
        <w:tc>
          <w:tcPr>
            <w:tcW w:w="760"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88.5 (3,207)</w:t>
            </w:r>
          </w:p>
        </w:tc>
        <w:tc>
          <w:tcPr>
            <w:tcW w:w="841" w:type="dxa"/>
            <w:tcBorders>
              <w:bottom w:val="nil"/>
              <w:tl2br w:val="nil"/>
              <w:tr2bl w:val="nil"/>
            </w:tcBorders>
            <w:vAlign w:val="center"/>
          </w:tcPr>
          <w:p>
            <w:pPr>
              <w:spacing w:before="0" w:after="0"/>
              <w:jc w:val="center"/>
              <w:rPr>
                <w:rFonts w:hint="eastAsia"/>
                <w:szCs w:val="24"/>
                <w:lang w:val="en-US" w:eastAsia="zh-CN"/>
              </w:rPr>
            </w:pPr>
            <w:r>
              <w:rPr>
                <w:rFonts w:hint="eastAsia"/>
                <w:szCs w:val="24"/>
                <w:lang w:val="en-US" w:eastAsia="zh-CN"/>
              </w:rPr>
              <w:t>81.1 (6,268)</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Urban resident, % (N)</w:t>
            </w:r>
          </w:p>
        </w:tc>
        <w:tc>
          <w:tcPr>
            <w:tcW w:w="101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78.8 (1,495)</w:t>
            </w:r>
          </w:p>
        </w:tc>
        <w:tc>
          <w:tcPr>
            <w:tcW w:w="102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77.2 (1,310)</w:t>
            </w:r>
          </w:p>
        </w:tc>
        <w:tc>
          <w:tcPr>
            <w:tcW w:w="127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74.4 (448)</w:t>
            </w:r>
          </w:p>
        </w:tc>
        <w:tc>
          <w:tcPr>
            <w:tcW w:w="124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70.7 (348)</w:t>
            </w:r>
          </w:p>
        </w:tc>
        <w:tc>
          <w:tcPr>
            <w:tcW w:w="131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75.9 (1,222)</w:t>
            </w:r>
          </w:p>
        </w:tc>
        <w:tc>
          <w:tcPr>
            <w:tcW w:w="106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71.9 (1,031)</w:t>
            </w:r>
          </w:p>
        </w:tc>
        <w:tc>
          <w:tcPr>
            <w:tcW w:w="902"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77.0 (3,165)</w:t>
            </w:r>
          </w:p>
        </w:tc>
        <w:tc>
          <w:tcPr>
            <w:tcW w:w="760"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74.2 (2,689)</w:t>
            </w:r>
          </w:p>
        </w:tc>
        <w:tc>
          <w:tcPr>
            <w:tcW w:w="841" w:type="dxa"/>
            <w:tcBorders>
              <w:top w:val="nil"/>
              <w:bottom w:val="nil"/>
            </w:tcBorders>
            <w:vAlign w:val="center"/>
          </w:tcPr>
          <w:p>
            <w:pPr>
              <w:spacing w:before="0" w:after="0"/>
              <w:jc w:val="center"/>
              <w:rPr>
                <w:rFonts w:hint="eastAsia"/>
                <w:szCs w:val="24"/>
                <w:lang w:val="en-US" w:eastAsia="zh-CN"/>
              </w:rPr>
            </w:pPr>
            <w:r>
              <w:rPr>
                <w:rFonts w:hint="eastAsia"/>
                <w:szCs w:val="24"/>
                <w:lang w:val="en-US" w:eastAsia="zh-CN"/>
              </w:rPr>
              <w:t>75.7 (5,854)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97"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N</w:t>
            </w:r>
          </w:p>
        </w:tc>
        <w:tc>
          <w:tcPr>
            <w:tcW w:w="101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1,896</w:t>
            </w:r>
          </w:p>
        </w:tc>
        <w:tc>
          <w:tcPr>
            <w:tcW w:w="102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1,697</w:t>
            </w:r>
          </w:p>
        </w:tc>
        <w:tc>
          <w:tcPr>
            <w:tcW w:w="127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602</w:t>
            </w:r>
          </w:p>
        </w:tc>
        <w:tc>
          <w:tcPr>
            <w:tcW w:w="124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492</w:t>
            </w:r>
          </w:p>
        </w:tc>
        <w:tc>
          <w:tcPr>
            <w:tcW w:w="131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1,609</w:t>
            </w:r>
          </w:p>
        </w:tc>
        <w:tc>
          <w:tcPr>
            <w:tcW w:w="106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1,434</w:t>
            </w:r>
          </w:p>
        </w:tc>
        <w:tc>
          <w:tcPr>
            <w:tcW w:w="902"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4,107</w:t>
            </w:r>
          </w:p>
        </w:tc>
        <w:tc>
          <w:tcPr>
            <w:tcW w:w="760"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3,623</w:t>
            </w:r>
          </w:p>
        </w:tc>
        <w:tc>
          <w:tcPr>
            <w:tcW w:w="841" w:type="dxa"/>
            <w:tcBorders>
              <w:top w:val="nil"/>
              <w:bottom w:val="single" w:color="000000" w:themeColor="text1" w:sz="12" w:space="0"/>
            </w:tcBorders>
            <w:vAlign w:val="center"/>
          </w:tcPr>
          <w:p>
            <w:pPr>
              <w:spacing w:before="0" w:after="0"/>
              <w:jc w:val="center"/>
              <w:rPr>
                <w:rFonts w:hint="eastAsia"/>
                <w:szCs w:val="24"/>
                <w:lang w:val="en-US" w:eastAsia="zh-CN"/>
              </w:rPr>
            </w:pPr>
            <w:r>
              <w:rPr>
                <w:rFonts w:hint="eastAsia"/>
                <w:szCs w:val="24"/>
                <w:lang w:val="en-US" w:eastAsia="zh-CN"/>
              </w:rPr>
              <w:t>7,730</w:t>
            </w:r>
          </w:p>
        </w:tc>
      </w:tr>
    </w:tbl>
    <w:p>
      <w:pPr>
        <w:spacing w:before="0" w:after="0"/>
        <w:jc w:val="both"/>
        <w:rPr>
          <w:rFonts w:hint="eastAsia"/>
          <w:szCs w:val="24"/>
          <w:lang w:val="en-US" w:eastAsia="zh-CN"/>
        </w:rPr>
      </w:pPr>
      <w:bookmarkStart w:id="3" w:name="OLE_LINK114"/>
      <w:r>
        <w:rPr>
          <w:rFonts w:hint="eastAsia"/>
          <w:szCs w:val="24"/>
          <w:lang w:val="en-US" w:eastAsia="zh-CN"/>
        </w:rPr>
        <w:t>Notes:</w:t>
      </w:r>
      <w:bookmarkEnd w:id="3"/>
      <w:r>
        <w:rPr>
          <w:rFonts w:hint="eastAsia"/>
          <w:szCs w:val="24"/>
          <w:lang w:val="en-US" w:eastAsia="zh-CN"/>
        </w:rPr>
        <w:t>CES-D10 = Center for Epidemiologic Studies Depression Scale, 10-item version. Raw CES-D10 scores (range: 0–30) are reported here for descriptive statistics, with higher values indicating more depressive symptoms; regression analyses use standardized CES-D10 scores (z-scores; range approximately –1.33 to 3.24). SRH = self-rated health, assessed on a 5-point Likert scale from 1 (poor) to 5 (excellent). Continuous variables are presented as mean (standard deviation). Categorical variables are presented as percentages with the number of respondents in parentheses. Retirement, caregiving, marital, and urban residence variables are binary indicators coded as 1 = yes and 0 = no. Caregiving status is categorized as no care, low-intensity care (&lt;40 hours per week), and high-intensity care (≥40 hours per week). Weekly caregiving hours (mean = 46.6, SD = 60.8 among caregivers) are not shown in the table but calculated separately for descriptive purposes.</w:t>
      </w:r>
    </w:p>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Table4: Regression Results - OLS Regression</w:t>
      </w:r>
    </w:p>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76"/>
        <w:gridCol w:w="1475"/>
        <w:gridCol w:w="1476"/>
        <w:gridCol w:w="1476"/>
        <w:gridCol w:w="1298"/>
        <w:gridCol w:w="2236"/>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147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bookmarkStart w:id="4" w:name="OLE_LINK72" w:colFirst="0" w:colLast="5"/>
            <w:r>
              <w:rPr>
                <w:rFonts w:hint="eastAsia" w:eastAsia="Times New Roman" w:cs="Times New Roman"/>
                <w:szCs w:val="24"/>
                <w:lang w:val="en-GB" w:eastAsia="en-GB"/>
              </w:rPr>
              <w:t>Variable</w:t>
            </w:r>
          </w:p>
        </w:tc>
        <w:tc>
          <w:tcPr>
            <w:tcW w:w="1475"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Coefficient</w:t>
            </w:r>
          </w:p>
        </w:tc>
        <w:tc>
          <w:tcPr>
            <w:tcW w:w="147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Standard Error</w:t>
            </w:r>
          </w:p>
        </w:tc>
        <w:tc>
          <w:tcPr>
            <w:tcW w:w="147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t-Statistic</w:t>
            </w:r>
          </w:p>
        </w:tc>
        <w:tc>
          <w:tcPr>
            <w:tcW w:w="1298"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p-Value</w:t>
            </w:r>
          </w:p>
        </w:tc>
        <w:tc>
          <w:tcPr>
            <w:tcW w:w="2050"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95% Confidence Interval</w:t>
            </w:r>
          </w:p>
        </w:tc>
      </w:tr>
      <w:bookmarkEnd w:id="4"/>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Retired</w:t>
            </w:r>
          </w:p>
        </w:tc>
        <w:tc>
          <w:tcPr>
            <w:tcW w:w="1475"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-0.191</w:t>
            </w:r>
          </w:p>
        </w:tc>
        <w:tc>
          <w:tcPr>
            <w:tcW w:w="147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0.034</w:t>
            </w:r>
          </w:p>
        </w:tc>
        <w:tc>
          <w:tcPr>
            <w:tcW w:w="147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-5.63</w:t>
            </w:r>
          </w:p>
        </w:tc>
        <w:tc>
          <w:tcPr>
            <w:tcW w:w="1298"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[-0.258, -0.125]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Parent–child satisfaction</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-0.204</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0.015</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-13.45</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[-0.233, -0.174]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Provides grandchild care (any)</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-0.114</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0.029</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-3.89</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[-0.171, -0.056]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Weekly caregiving hours</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0.000632</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0.000233</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2.71</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0.007</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[0.000175,0.001089]</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Self-rated health (1–5)</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-0.342</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-33.3</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[-0.362, -0.322]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Married</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-0.18</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0.029</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-6.19</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[-0.237, -0.123]</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Household size</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-0.028</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0.007</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-4.11</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[-0.041, -0.015]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Education</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-0.127</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0.011</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-11.99</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[-0.147, -0.106]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 w:hRule="atLeast"/>
        </w:trPr>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Urban</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0.082</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0.028</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2.94</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0.003</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[0.027, 0.137]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-0.010953</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0.001482</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-7.39</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[-0.013858, -0.008048]</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Constant</w:t>
            </w:r>
          </w:p>
        </w:tc>
        <w:tc>
          <w:tcPr>
            <w:tcW w:w="147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2.958</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0.124</w:t>
            </w:r>
          </w:p>
        </w:tc>
        <w:tc>
          <w:tcPr>
            <w:tcW w:w="147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23.89</w:t>
            </w:r>
          </w:p>
        </w:tc>
        <w:tc>
          <w:tcPr>
            <w:tcW w:w="129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5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[2.716, 3.201]</w:t>
            </w:r>
          </w:p>
        </w:tc>
      </w:tr>
    </w:tbl>
    <w:p>
      <w:pPr>
        <w:spacing w:before="0" w:after="0"/>
        <w:jc w:val="both"/>
        <w:rPr>
          <w:rFonts w:hint="eastAsia" w:eastAsia="Times New Roman" w:cs="Times New Roman"/>
          <w:szCs w:val="24"/>
          <w:lang w:val="en-GB" w:eastAsia="en-GB"/>
        </w:rPr>
      </w:pPr>
      <w:r>
        <w:rPr>
          <w:rFonts w:hint="eastAsia" w:eastAsia="Times New Roman" w:cs="Times New Roman"/>
          <w:szCs w:val="24"/>
          <w:lang w:val="en-GB" w:eastAsia="en-GB"/>
        </w:rPr>
        <w:t xml:space="preserve">Note: </w:t>
      </w:r>
      <w:bookmarkStart w:id="5" w:name="OLE_LINK11"/>
      <w:r>
        <w:rPr>
          <w:rFonts w:hint="eastAsia" w:eastAsia="Times New Roman" w:cs="Times New Roman"/>
          <w:szCs w:val="24"/>
          <w:lang w:val="en-GB" w:eastAsia="en-GB"/>
        </w:rPr>
        <w:t>Unweighted estimates. Robust standard errors clustered at the primary sampling unit (PSU/community). All models include province × urban/rural fixed effects and the covariates listed in §2.4.3. IV models use a single instrument (crossing the sex-specific statutory age threshold); over-identification tests are not applicable. Weak-IV diagnostics (Kleibergen–Paap rk Wald F) and weak-IV-robust tests (Anderson–Rubin, Stock–Wright) are reported in the text; see Appendix Table A1 for first-stage diagnostics.</w:t>
      </w:r>
      <w:bookmarkEnd w:id="5"/>
      <w:r>
        <w:rPr>
          <w:rFonts w:hint="eastAsia" w:eastAsia="Times New Roman" w:cs="Times New Roman"/>
          <w:szCs w:val="24"/>
          <w:lang w:val="en-GB" w:eastAsia="en-GB"/>
        </w:rPr>
        <w:t xml:space="preserve"> *** p &lt; 0.01, ** p &lt; 0.05, * p &lt; 0.10.</w:t>
      </w:r>
    </w:p>
    <w:p>
      <w:pPr>
        <w:spacing w:before="0" w:after="0"/>
        <w:jc w:val="center"/>
        <w:rPr>
          <w:rFonts w:hint="eastAsia" w:eastAsia="Times New Roman" w:cs="Times New Roman"/>
          <w:szCs w:val="24"/>
          <w:lang w:val="en-GB" w:eastAsia="en-GB"/>
        </w:rPr>
      </w:pPr>
      <w:bookmarkStart w:id="6" w:name="OLE_LINK61"/>
      <w:bookmarkStart w:id="7" w:name="OLE_LINK73"/>
      <w:r>
        <w:rPr>
          <w:rFonts w:hint="eastAsia" w:eastAsia="Times New Roman" w:cs="Times New Roman"/>
          <w:szCs w:val="24"/>
          <w:lang w:val="en-GB" w:eastAsia="en-GB"/>
        </w:rPr>
        <w:t>Table 5: IV–2SLS Estimates ( Ages 40–75; Unweighted; N = 7,730)</w:t>
      </w:r>
    </w:p>
    <w:bookmarkEnd w:id="6"/>
    <w:tbl>
      <w:tblPr>
        <w:tblStyle w:val="21"/>
        <w:tblW w:w="8854" w:type="dxa"/>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83"/>
        <w:gridCol w:w="1436"/>
        <w:gridCol w:w="1458"/>
        <w:gridCol w:w="1456"/>
        <w:gridCol w:w="1129"/>
        <w:gridCol w:w="1692"/>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jc w:val="center"/>
        </w:trPr>
        <w:tc>
          <w:tcPr>
            <w:tcW w:w="1683"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Variable</w:t>
            </w:r>
          </w:p>
        </w:tc>
        <w:tc>
          <w:tcPr>
            <w:tcW w:w="143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Coefficient</w:t>
            </w:r>
          </w:p>
        </w:tc>
        <w:tc>
          <w:tcPr>
            <w:tcW w:w="1458"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Standard Error</w:t>
            </w:r>
          </w:p>
        </w:tc>
        <w:tc>
          <w:tcPr>
            <w:tcW w:w="145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Z-Statistic</w:t>
            </w:r>
          </w:p>
        </w:tc>
        <w:tc>
          <w:tcPr>
            <w:tcW w:w="1129"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p-Value</w:t>
            </w:r>
          </w:p>
        </w:tc>
        <w:tc>
          <w:tcPr>
            <w:tcW w:w="1692"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95% Confidence Interval</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Retired (IV: Z)</w:t>
            </w:r>
          </w:p>
        </w:tc>
        <w:tc>
          <w:tcPr>
            <w:tcW w:w="143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4.04</w:t>
            </w:r>
          </w:p>
        </w:tc>
        <w:tc>
          <w:tcPr>
            <w:tcW w:w="1458"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1.743</w:t>
            </w:r>
          </w:p>
        </w:tc>
        <w:tc>
          <w:tcPr>
            <w:tcW w:w="145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2.32</w:t>
            </w:r>
          </w:p>
        </w:tc>
        <w:tc>
          <w:tcPr>
            <w:tcW w:w="1129"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w:t>
            </w:r>
          </w:p>
        </w:tc>
        <w:tc>
          <w:tcPr>
            <w:tcW w:w="1692"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[0.623, 7.458]</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Parent–child satisfaction</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-0.189</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0.025</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-7.58</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[-0.238, -0.140]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Provides grandchild care (any)</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-0.283</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0.085</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-3.31</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[-0.450, -0.115]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Weekly caregiving hours</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0.001132</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0.000447</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2.53</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[0.000256, 0.002007]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Self-rated health (1–5)</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-0.373</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0.021</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-17.95</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[-0.414, -0.332]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Married</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-0.37</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0.089</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-4.13</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[-0.545, -0.194]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Household size</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0.000733</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0.01606</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0.964</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[-0.030744, 0.032210]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Education</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-0.435</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0.128</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-3.4</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[-0.687, -0.184]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Urban</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1.699</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0.67</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2.54</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[0.386, 3.012]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-0.05741</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0.019235</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-2.98</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0.003</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[-0.095110, -0.019711]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Constant</w:t>
            </w:r>
          </w:p>
        </w:tc>
        <w:tc>
          <w:tcPr>
            <w:tcW w:w="143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4.807</w:t>
            </w:r>
          </w:p>
        </w:tc>
        <w:tc>
          <w:tcPr>
            <w:tcW w:w="1458"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0.782</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6.15</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[3.275, 6.339]</w:t>
            </w:r>
          </w:p>
        </w:tc>
      </w:tr>
      <w:bookmarkEnd w:id="7"/>
    </w:tbl>
    <w:p>
      <w:pPr>
        <w:spacing w:before="0" w:after="0"/>
        <w:jc w:val="both"/>
        <w:rPr>
          <w:rFonts w:hint="eastAsia" w:eastAsia="Times New Roman" w:cs="Times New Roman"/>
          <w:szCs w:val="24"/>
          <w:lang w:val="en-GB" w:eastAsia="en-GB"/>
        </w:rPr>
      </w:pPr>
      <w:r>
        <w:rPr>
          <w:rFonts w:hint="eastAsia" w:eastAsia="Times New Roman" w:cs="Times New Roman"/>
          <w:szCs w:val="24"/>
          <w:lang w:val="en-GB" w:eastAsia="en-GB"/>
        </w:rPr>
        <w:t>Note: Unweighted estimates. Robust standard errors clustered at the primary sampling unit (PSU/community). All models include province × urban/rural fixed effects and the covariates listed in §2.4.3. IV models use a single instrument (crossing the sex-specific statutory age threshold); over-identification tests are not applicable. Weak-IV diagnostics (Kleibergen–Paap rk Wald F) and weak-IV-robust tests (Anderson–Rubin, Stock–Wright) are reported in the text; see Appendix Table A1 for first-stage diagnostics.*** p &lt; 0.01, ** p &lt; 0.05, * p &lt; 0.10.</w:t>
      </w:r>
    </w:p>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Table 6:Bandwidth Robustness IV–2SLS Estimates (Ages 55–65; Unweighted; N = 3,397)</w:t>
      </w:r>
    </w:p>
    <w:tbl>
      <w:tblPr>
        <w:tblStyle w:val="21"/>
        <w:tblW w:w="8854" w:type="dxa"/>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83"/>
        <w:gridCol w:w="1354"/>
        <w:gridCol w:w="1540"/>
        <w:gridCol w:w="1456"/>
        <w:gridCol w:w="1129"/>
        <w:gridCol w:w="1692"/>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 w:hRule="atLeast"/>
          <w:jc w:val="center"/>
        </w:trPr>
        <w:tc>
          <w:tcPr>
            <w:tcW w:w="1683"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Variable</w:t>
            </w:r>
          </w:p>
        </w:tc>
        <w:tc>
          <w:tcPr>
            <w:tcW w:w="1354"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Coefficient</w:t>
            </w:r>
          </w:p>
        </w:tc>
        <w:tc>
          <w:tcPr>
            <w:tcW w:w="1540"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Standard Error</w:t>
            </w:r>
          </w:p>
        </w:tc>
        <w:tc>
          <w:tcPr>
            <w:tcW w:w="145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Z-Statistic</w:t>
            </w:r>
          </w:p>
        </w:tc>
        <w:tc>
          <w:tcPr>
            <w:tcW w:w="1129"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p-Value</w:t>
            </w:r>
          </w:p>
        </w:tc>
        <w:tc>
          <w:tcPr>
            <w:tcW w:w="1692"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95% Confidence Interval</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Retired (IV: Z)</w:t>
            </w:r>
          </w:p>
        </w:tc>
        <w:tc>
          <w:tcPr>
            <w:tcW w:w="1354"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1.888</w:t>
            </w:r>
          </w:p>
        </w:tc>
        <w:tc>
          <w:tcPr>
            <w:tcW w:w="1540"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0.464</w:t>
            </w:r>
          </w:p>
        </w:tc>
        <w:tc>
          <w:tcPr>
            <w:tcW w:w="145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4.07</w:t>
            </w:r>
          </w:p>
        </w:tc>
        <w:tc>
          <w:tcPr>
            <w:tcW w:w="1129"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[0.978, 2.797]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Parent–child satisfaction</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-0.198</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0.027</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-7.3</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[-0.251, -0.145]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Provides grandchild care (any)</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-0.163</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0.054</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0.003</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[-0.270, -0.056]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Weekly caregiving hours</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0.000494</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0.000411</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1.2</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0.229</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[-0.000311, 0.001299]</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Self-rated health (1–5)</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-0.371</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0.019</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-20.02</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[-0.407, -0.335]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Married</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-0.231</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0.056</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-4.14</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[-0.340, -0.122]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Household size</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-0.008</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0.013</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-0.64</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0.525</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[-0.033, 0.017]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Education</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-0.24</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0.031</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-7.84</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[-0.300, -0.180]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Urban</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0.992</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0.212</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4.69</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[0.577, 1.406]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-0.041</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0.008</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-4.87</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[-0.058, -0.025]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3"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Constant</w:t>
            </w:r>
          </w:p>
        </w:tc>
        <w:tc>
          <w:tcPr>
            <w:tcW w:w="1354"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4.141</w:t>
            </w:r>
          </w:p>
        </w:tc>
        <w:tc>
          <w:tcPr>
            <w:tcW w:w="1540"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0.44</w:t>
            </w:r>
          </w:p>
        </w:tc>
        <w:tc>
          <w:tcPr>
            <w:tcW w:w="145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9.42</w:t>
            </w:r>
          </w:p>
        </w:tc>
        <w:tc>
          <w:tcPr>
            <w:tcW w:w="1129"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1692"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[3.279, 5.003]</w:t>
            </w:r>
          </w:p>
        </w:tc>
      </w:tr>
    </w:tbl>
    <w:p>
      <w:pPr>
        <w:spacing w:before="0" w:after="0"/>
        <w:jc w:val="both"/>
        <w:rPr>
          <w:rFonts w:hint="eastAsia" w:eastAsia="Times New Roman" w:cs="Times New Roman"/>
          <w:szCs w:val="24"/>
          <w:lang w:val="en-GB" w:eastAsia="en-GB"/>
        </w:rPr>
      </w:pPr>
      <w:r>
        <w:rPr>
          <w:rFonts w:hint="eastAsia" w:eastAsia="Times New Roman" w:cs="Times New Roman"/>
          <w:szCs w:val="24"/>
          <w:lang w:val="en-GB" w:eastAsia="en-GB"/>
        </w:rPr>
        <w:t>Note:Unweighted estimates. Robust standard errors clustered at the primary sampling unit (PSU/community). All models include province × urban/rural fixed effects and the covariates listed in §2.4.3. IV models use a single instrument (crossing the sex-specific statutory age threshold); over-identification tests are not applicable. Weak-IV diagnostics (Kleibergen–Paap rk Wald F) and weak-IV-robust tests (Anderson–Rubin, Stock–Wright) are reported in the text; see Appendix Table A1 for first-stage diagnostics.*** p &lt; 0.01, ** p &lt; 0.05, * p &lt; 0.10.</w:t>
      </w:r>
    </w:p>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Table 7 Male RDD/IV ( piecewise-linear age trend; N = 4,107; PSUs = 447)</w:t>
      </w:r>
    </w:p>
    <w:tbl>
      <w:tblPr>
        <w:tblStyle w:val="20"/>
        <w:tblpPr w:leftFromText="180" w:rightFromText="180" w:vertAnchor="text" w:horzAnchor="page" w:tblpX="1815" w:tblpY="272"/>
        <w:tblOverlap w:val="never"/>
        <w:tblW w:w="9290" w:type="dxa"/>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34"/>
        <w:gridCol w:w="1248"/>
        <w:gridCol w:w="1656"/>
        <w:gridCol w:w="1053"/>
        <w:gridCol w:w="1027"/>
        <w:gridCol w:w="2072"/>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2234"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Variable</w:t>
            </w:r>
          </w:p>
        </w:tc>
        <w:tc>
          <w:tcPr>
            <w:tcW w:w="1248"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Coefficient</w:t>
            </w:r>
          </w:p>
        </w:tc>
        <w:tc>
          <w:tcPr>
            <w:tcW w:w="1656"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Standard  Error</w:t>
            </w:r>
          </w:p>
        </w:tc>
        <w:tc>
          <w:tcPr>
            <w:tcW w:w="1053"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t-Statistic</w:t>
            </w:r>
          </w:p>
        </w:tc>
        <w:tc>
          <w:tcPr>
            <w:tcW w:w="1027"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p-Value</w:t>
            </w:r>
          </w:p>
        </w:tc>
        <w:tc>
          <w:tcPr>
            <w:tcW w:w="2072" w:type="dxa"/>
            <w:tcBorders>
              <w:bottom w:val="single" w:color="000000" w:themeColor="text1" w:sz="12" w:space="0"/>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95% Confidence Interval</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2234"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Retired (IV: above60)</w:t>
            </w:r>
          </w:p>
        </w:tc>
        <w:tc>
          <w:tcPr>
            <w:tcW w:w="1248"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8.437</w:t>
            </w:r>
          </w:p>
        </w:tc>
        <w:tc>
          <w:tcPr>
            <w:tcW w:w="1656"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11.224</w:t>
            </w:r>
          </w:p>
        </w:tc>
        <w:tc>
          <w:tcPr>
            <w:tcW w:w="1053"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0.75</w:t>
            </w:r>
          </w:p>
        </w:tc>
        <w:tc>
          <w:tcPr>
            <w:tcW w:w="1027"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0.452</w:t>
            </w:r>
          </w:p>
        </w:tc>
        <w:tc>
          <w:tcPr>
            <w:tcW w:w="2072" w:type="dxa"/>
            <w:tcBorders>
              <w:top w:val="single" w:color="000000" w:themeColor="text1" w:sz="12" w:space="0"/>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[-13.562, 30.435]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Parent–child satisfaction</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-0.228</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0.053</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-4.33</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[-0.331, -0.125]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Provides grandchild care (any)</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-0.538</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0.513</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-1.05</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0.294</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[-1.544, 0.467]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Weekly caregiving hours</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0.0019</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0.0019</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0.97</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0.334</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[-0.0019, 0.0056]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Self-rated health (1–5)</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-0.433</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0.084</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-5.14</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&lt;0.001</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[-0.598, -0.268]</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Married</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-0.408</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0.351</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-1.16</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0.245</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[-1.096, 0.280]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Household size</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0.08</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0.146</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0.55</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0.585</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[-0.207, 0.366]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Education</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-0.889</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1.024</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-0.87</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0.386</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[-2.896, 1.119]</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Urban</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3.137</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3.928</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0.80</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0.424</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[-4.561, 10.836]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 centered at 60 (agec_m)</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-0.143</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0.186</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-0.77</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0.439</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[-0.507, 0.220]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Right × Age centered</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0.126</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0.186</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0.67</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0.50</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[-0.240, 0.491]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234"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Constant</w:t>
            </w:r>
          </w:p>
        </w:tc>
        <w:tc>
          <w:tcPr>
            <w:tcW w:w="1248"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0.402</w:t>
            </w:r>
          </w:p>
        </w:tc>
        <w:tc>
          <w:tcPr>
            <w:tcW w:w="1656"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2.793</w:t>
            </w:r>
          </w:p>
        </w:tc>
        <w:tc>
          <w:tcPr>
            <w:tcW w:w="1053"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0.14</w:t>
            </w:r>
          </w:p>
        </w:tc>
        <w:tc>
          <w:tcPr>
            <w:tcW w:w="1027"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0.886</w:t>
            </w:r>
          </w:p>
        </w:tc>
        <w:tc>
          <w:tcPr>
            <w:tcW w:w="2072" w:type="dxa"/>
            <w:tcBorders>
              <w:tl2br w:val="nil"/>
              <w:tr2bl w:val="nil"/>
            </w:tcBorders>
            <w:shd w:val="clear" w:color="auto" w:fill="auto"/>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[-5.072, 5.876]</w:t>
            </w:r>
          </w:p>
        </w:tc>
      </w:tr>
    </w:tbl>
    <w:p>
      <w:pPr>
        <w:spacing w:before="0" w:after="0"/>
        <w:jc w:val="center"/>
        <w:rPr>
          <w:rFonts w:hint="eastAsia" w:eastAsia="Times New Roman" w:cs="Times New Roman"/>
          <w:szCs w:val="24"/>
          <w:lang w:val="en-GB" w:eastAsia="en-GB"/>
        </w:rPr>
      </w:pPr>
    </w:p>
    <w:p>
      <w:pPr>
        <w:spacing w:before="0" w:after="0"/>
        <w:jc w:val="both"/>
        <w:rPr>
          <w:rFonts w:hint="eastAsia" w:eastAsia="Times New Roman" w:cs="Times New Roman"/>
          <w:szCs w:val="24"/>
          <w:lang w:val="en-GB" w:eastAsia="en-GB"/>
        </w:rPr>
      </w:pPr>
      <w:r>
        <w:rPr>
          <w:rFonts w:hint="eastAsia" w:eastAsia="Times New Roman" w:cs="Times New Roman"/>
          <w:szCs w:val="24"/>
          <w:lang w:val="en-GB" w:eastAsia="en-GB"/>
        </w:rPr>
        <w:t>Note:Unweighted estimates. Robust standard errors clustered at the primary sampling unit (PSU/community). All models include province × urban/rural fixed effects and the covariates listed in §2.4.3. IV models use a single instrument (crossing the sex-specific statutory age threshold); over-identification tests are not applicable. Weak-IV diagnostics (Kleibergen–Paap rk Wald F) and weak-IV-robust tests (Anderson–Rubin, Stock–Wright) are reported in the text; see Appendix Table A1 for first-stage diagnostics.*** p &lt; 0.01, ** p &lt; 0.05, * p &lt; 0.10.</w:t>
      </w:r>
    </w:p>
    <w:p>
      <w:pPr>
        <w:pStyle w:val="17"/>
        <w:keepNext w:val="0"/>
        <w:keepLines w:val="0"/>
        <w:widowControl/>
        <w:suppressLineNumbers w:val="0"/>
        <w:ind w:firstLine="960" w:firstLineChars="400"/>
        <w:rPr>
          <w:rFonts w:hint="eastAsia" w:eastAsia="Times New Roman" w:cs="Times New Roman"/>
          <w:szCs w:val="24"/>
          <w:lang w:val="en-GB" w:eastAsia="en-GB"/>
        </w:rPr>
      </w:pPr>
      <w:bookmarkStart w:id="8" w:name="OLE_LINK88"/>
      <w:r>
        <w:t>Appendix</w:t>
      </w:r>
      <w:r>
        <w:rPr>
          <w:rFonts w:hint="eastAsia" w:eastAsia="宋体"/>
          <w:lang w:val="en-US" w:eastAsia="zh-CN"/>
        </w:rPr>
        <w:t xml:space="preserve"> </w:t>
      </w:r>
      <w:r>
        <w:rPr>
          <w:rFonts w:hint="eastAsia" w:eastAsia="Times New Roman" w:cs="Times New Roman"/>
          <w:szCs w:val="24"/>
          <w:lang w:val="en-GB" w:eastAsia="en-GB"/>
        </w:rPr>
        <w:t>Table A1. First-stage diagnostics for IV specifications</w:t>
      </w:r>
    </w:p>
    <w:bookmarkEnd w:id="8"/>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25"/>
        <w:gridCol w:w="1607"/>
        <w:gridCol w:w="1607"/>
        <w:gridCol w:w="1856"/>
        <w:gridCol w:w="1659"/>
        <w:gridCol w:w="1639"/>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Window</w:t>
            </w:r>
          </w:p>
        </w:tc>
        <w:tc>
          <w:tcPr>
            <w:tcW w:w="1665"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N</w:t>
            </w:r>
          </w:p>
        </w:tc>
        <w:tc>
          <w:tcPr>
            <w:tcW w:w="1665"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KP rk Wald F</w:t>
            </w:r>
          </w:p>
        </w:tc>
        <w:tc>
          <w:tcPr>
            <w:tcW w:w="166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Anderson–Rubin test (p)</w:t>
            </w:r>
          </w:p>
        </w:tc>
        <w:tc>
          <w:tcPr>
            <w:tcW w:w="166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Stock–Wright S statistic (p)</w:t>
            </w:r>
          </w:p>
        </w:tc>
        <w:tc>
          <w:tcPr>
            <w:tcW w:w="1666" w:type="dxa"/>
            <w:tcBorders>
              <w:bottom w:val="single" w:color="000000" w:themeColor="text1" w:sz="12" w:space="0"/>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Note</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Ages 40–75</w:t>
            </w:r>
          </w:p>
        </w:tc>
        <w:tc>
          <w:tcPr>
            <w:tcW w:w="1665"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7,730</w:t>
            </w:r>
          </w:p>
        </w:tc>
        <w:tc>
          <w:tcPr>
            <w:tcW w:w="1665"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9.16</w:t>
            </w:r>
          </w:p>
        </w:tc>
        <w:tc>
          <w:tcPr>
            <w:tcW w:w="166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 0.001</w:t>
            </w:r>
          </w:p>
        </w:tc>
        <w:tc>
          <w:tcPr>
            <w:tcW w:w="166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 0.001</w:t>
            </w:r>
          </w:p>
        </w:tc>
        <w:tc>
          <w:tcPr>
            <w:tcW w:w="1666" w:type="dxa"/>
            <w:tcBorders>
              <w:top w:val="single" w:color="000000" w:themeColor="text1" w:sz="12" w:space="0"/>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Borderline relevance; weak-IV-robust tests significant</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Ages 55–65</w:t>
            </w:r>
          </w:p>
        </w:tc>
        <w:tc>
          <w:tcPr>
            <w:tcW w:w="166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3,397</w:t>
            </w:r>
          </w:p>
        </w:tc>
        <w:tc>
          <w:tcPr>
            <w:tcW w:w="1665"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64.83</w:t>
            </w:r>
          </w:p>
        </w:tc>
        <w:tc>
          <w:tcPr>
            <w:tcW w:w="166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 0.001</w:t>
            </w:r>
          </w:p>
        </w:tc>
        <w:tc>
          <w:tcPr>
            <w:tcW w:w="166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&lt; 0.001</w:t>
            </w:r>
          </w:p>
        </w:tc>
        <w:tc>
          <w:tcPr>
            <w:tcW w:w="1666" w:type="dxa"/>
            <w:tcBorders>
              <w:tl2br w:val="nil"/>
              <w:tr2bl w:val="nil"/>
            </w:tcBorders>
            <w:vAlign w:val="center"/>
          </w:tcPr>
          <w:p>
            <w:pPr>
              <w:spacing w:before="0" w:after="0"/>
              <w:jc w:val="center"/>
              <w:rPr>
                <w:rFonts w:hint="eastAsia" w:eastAsia="Times New Roman" w:cs="Times New Roman"/>
                <w:szCs w:val="24"/>
                <w:lang w:val="en-GB" w:eastAsia="en-GB"/>
              </w:rPr>
            </w:pPr>
            <w:r>
              <w:rPr>
                <w:rFonts w:hint="eastAsia" w:eastAsia="Times New Roman" w:cs="Times New Roman"/>
                <w:szCs w:val="24"/>
                <w:lang w:val="en-GB" w:eastAsia="en-GB"/>
              </w:rPr>
              <w:t>Strong first stage; narrow bandwidth</w:t>
            </w:r>
          </w:p>
        </w:tc>
      </w:tr>
    </w:tbl>
    <w:p>
      <w:pPr>
        <w:spacing w:before="0" w:after="0"/>
        <w:jc w:val="both"/>
        <w:rPr>
          <w:rFonts w:hint="eastAsia" w:eastAsia="Times New Roman" w:cs="Times New Roman"/>
          <w:szCs w:val="24"/>
          <w:lang w:val="en-GB" w:eastAsia="en-GB"/>
        </w:rPr>
      </w:pPr>
      <w:r>
        <w:rPr>
          <w:rFonts w:hint="eastAsia" w:eastAsia="Times New Roman" w:cs="Times New Roman"/>
          <w:szCs w:val="24"/>
          <w:lang w:val="en-GB" w:eastAsia="en-GB"/>
        </w:rPr>
        <w:t>Notes: KP = Kleibergen–Paap rk Wald F statistic. AR/Stock–Wright p-values are from weak-IV-robust inference. Specifications match Tables 5–6 (unweighted; PSU-clustered SEs; covariates and fixed effects per §2.4.3).</w:t>
      </w:r>
    </w:p>
    <w:p>
      <w:pPr>
        <w:spacing w:before="0" w:after="0"/>
        <w:jc w:val="both"/>
        <w:rPr>
          <w:rFonts w:hint="eastAsia" w:eastAsia="Times New Roman" w:cs="Times New Roman"/>
          <w:szCs w:val="24"/>
          <w:lang w:val="en-GB" w:eastAsia="en-GB"/>
        </w:rPr>
      </w:pPr>
    </w:p>
    <w:p>
      <w:pPr>
        <w:spacing w:before="0" w:after="0"/>
        <w:jc w:val="both"/>
        <w:rPr>
          <w:rFonts w:hint="eastAsia" w:eastAsia="Times New Roman" w:cs="Times New Roman"/>
          <w:szCs w:val="24"/>
          <w:lang w:val="en-GB" w:eastAsia="en-GB"/>
        </w:rPr>
      </w:pPr>
    </w:p>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ascii="Times New Roman" w:hAnsi="Times New Roman" w:eastAsia="Times New Roman" w:cs="Times New Roman"/>
          <w:b w:val="0"/>
          <w:bCs/>
          <w:sz w:val="24"/>
          <w:szCs w:val="24"/>
          <w:lang w:val="en-US" w:eastAsia="en-US" w:bidi="ar-SA"/>
        </w:rPr>
        <w:t>Appendix</w:t>
      </w:r>
      <w:r>
        <w:rPr>
          <w:rFonts w:hint="eastAsia" w:ascii="Times New Roman" w:hAnsi="Times New Roman" w:eastAsia="Times New Roman" w:cs="Times New Roman"/>
          <w:b w:val="0"/>
          <w:bCs/>
          <w:sz w:val="24"/>
          <w:szCs w:val="24"/>
          <w:lang w:val="en-US" w:eastAsia="zh-CN" w:bidi="ar-SA"/>
        </w:rPr>
        <w:t xml:space="preserve"> </w:t>
      </w:r>
      <w:r>
        <w:rPr>
          <w:rFonts w:hint="eastAsia" w:ascii="Times New Roman" w:hAnsi="Times New Roman" w:eastAsia="Times New Roman" w:cs="Times New Roman"/>
          <w:b w:val="0"/>
          <w:bCs/>
          <w:sz w:val="24"/>
          <w:szCs w:val="24"/>
          <w:lang w:val="en-GB" w:eastAsia="en-GB" w:bidi="ar-SA"/>
        </w:rPr>
        <w:t>TableA2.Interaction between retirement and grandchild caregiving (OLS and IV estimates)</w:t>
      </w:r>
    </w:p>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31"/>
        <w:gridCol w:w="3331"/>
        <w:gridCol w:w="3331"/>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bottom w:val="single" w:color="000000" w:themeColor="text1" w:sz="12" w:space="0"/>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Variables</w:t>
            </w:r>
          </w:p>
        </w:tc>
        <w:tc>
          <w:tcPr>
            <w:tcW w:w="3331" w:type="dxa"/>
            <w:tcBorders>
              <w:bottom w:val="single" w:color="000000" w:themeColor="text1" w:sz="12" w:space="0"/>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OLS coef. (SE)</w:t>
            </w:r>
          </w:p>
        </w:tc>
        <w:tc>
          <w:tcPr>
            <w:tcW w:w="3331" w:type="dxa"/>
            <w:tcBorders>
              <w:bottom w:val="single" w:color="000000" w:themeColor="text1" w:sz="12" w:space="0"/>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IV coef. (SE)</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op w:val="single" w:color="000000" w:themeColor="text1" w:sz="12" w:space="0"/>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Retired (yes=1)</w:t>
            </w:r>
          </w:p>
        </w:tc>
        <w:tc>
          <w:tcPr>
            <w:tcW w:w="3331" w:type="dxa"/>
            <w:tcBorders>
              <w:top w:val="single" w:color="000000" w:themeColor="text1" w:sz="12" w:space="0"/>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-0.256*** (0.046)</w:t>
            </w:r>
          </w:p>
        </w:tc>
        <w:tc>
          <w:tcPr>
            <w:tcW w:w="3331" w:type="dxa"/>
            <w:tcBorders>
              <w:top w:val="single" w:color="000000" w:themeColor="text1" w:sz="12" w:space="0"/>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7.852 (7.025)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Hours of grandchild caregiving (per week)</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-0.0003 (0.0002)</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0.006 (0.006)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Retired × Caregiving hours</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0.0001 (0.0005)</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-0.046 (0.040)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Controls</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Yes</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Yes</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N</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6,947</w:t>
            </w:r>
          </w:p>
        </w:tc>
        <w:tc>
          <w:tcPr>
            <w:tcW w:w="3331" w:type="dxa"/>
            <w:tcBorders>
              <w:tl2br w:val="nil"/>
              <w:tr2bl w:val="nil"/>
            </w:tcBorders>
            <w:vAlign w:val="center"/>
          </w:tcPr>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6,947</w:t>
            </w:r>
          </w:p>
        </w:tc>
      </w:tr>
    </w:tbl>
    <w:p>
      <w:pPr>
        <w:pStyle w:val="4"/>
        <w:numPr>
          <w:ilvl w:val="1"/>
          <w:numId w:val="0"/>
        </w:numPr>
        <w:ind w:leftChars="0"/>
        <w:rPr>
          <w:rFonts w:hint="eastAsia" w:ascii="Times New Roman" w:hAnsi="Times New Roman" w:eastAsia="Times New Roman" w:cs="Times New Roman"/>
          <w:b w:val="0"/>
          <w:bCs/>
          <w:sz w:val="24"/>
          <w:szCs w:val="24"/>
          <w:lang w:val="en-GB" w:eastAsia="en-GB" w:bidi="ar-SA"/>
        </w:rPr>
      </w:pPr>
      <w:r>
        <w:rPr>
          <w:rFonts w:hint="eastAsia" w:ascii="Times New Roman" w:hAnsi="Times New Roman" w:eastAsia="Times New Roman" w:cs="Times New Roman"/>
          <w:b w:val="0"/>
          <w:bCs/>
          <w:sz w:val="24"/>
          <w:szCs w:val="24"/>
          <w:lang w:val="en-GB" w:eastAsia="en-GB" w:bidi="ar-SA"/>
        </w:rPr>
        <w:t>Notes：*** p&lt;0.01，** p&lt;0.05，* p&lt;0.1</w:t>
      </w:r>
    </w:p>
    <w:p>
      <w:pPr>
        <w:pStyle w:val="4"/>
        <w:numPr>
          <w:ilvl w:val="1"/>
          <w:numId w:val="0"/>
        </w:numPr>
        <w:ind w:leftChars="0"/>
      </w:pPr>
    </w:p>
    <w:p>
      <w:pPr>
        <w:spacing w:before="240"/>
      </w:pPr>
    </w:p>
    <w:p>
      <w:pPr>
        <w:spacing w:before="240"/>
      </w:pPr>
    </w:p>
    <w:p>
      <w:pPr>
        <w:spacing w:before="240"/>
      </w:pPr>
    </w:p>
    <w:p>
      <w:pPr>
        <w:spacing w:before="240"/>
      </w:pPr>
    </w:p>
    <w:p>
      <w:pPr>
        <w:spacing w:before="240"/>
      </w:pPr>
    </w:p>
    <w:p>
      <w:pPr>
        <w:spacing w:before="240"/>
      </w:pPr>
    </w:p>
    <w:p>
      <w:pPr>
        <w:spacing w:before="240"/>
      </w:pPr>
    </w:p>
    <w:p>
      <w:pPr>
        <w:spacing w:before="240"/>
      </w:pPr>
    </w:p>
    <w:p>
      <w:pPr>
        <w:spacing w:before="240"/>
      </w:pPr>
    </w:p>
    <w:p>
      <w:pPr>
        <w:spacing w:before="240"/>
      </w:pPr>
    </w:p>
    <w:p>
      <w:pPr>
        <w:spacing w:before="240"/>
      </w:pPr>
    </w:p>
    <w:p>
      <w:pPr>
        <w:pStyle w:val="4"/>
        <w:numPr>
          <w:ilvl w:val="1"/>
          <w:numId w:val="0"/>
        </w:numPr>
        <w:ind w:leftChars="0"/>
        <w:rPr>
          <w:rFonts w:hint="eastAsia" w:eastAsia="Times New Roman" w:cs="Times New Roman"/>
          <w:szCs w:val="24"/>
          <w:lang w:val="en-GB" w:eastAsia="en-GB"/>
        </w:rPr>
      </w:pPr>
    </w:p>
    <w:p>
      <w:pPr>
        <w:pStyle w:val="4"/>
        <w:numPr>
          <w:ilvl w:val="1"/>
          <w:numId w:val="0"/>
        </w:numPr>
        <w:ind w:leftChars="0"/>
        <w:rPr>
          <w:rFonts w:hint="eastAsia" w:eastAsia="Times New Roman" w:cs="Times New Roman"/>
          <w:szCs w:val="24"/>
          <w:lang w:val="en-GB" w:eastAsia="en-GB"/>
        </w:rPr>
      </w:pPr>
    </w:p>
    <w:p>
      <w:pPr>
        <w:pStyle w:val="4"/>
        <w:numPr>
          <w:ilvl w:val="1"/>
          <w:numId w:val="0"/>
        </w:numPr>
        <w:ind w:leftChars="0"/>
        <w:jc w:val="center"/>
        <w:rPr>
          <w:rFonts w:hint="eastAsia" w:eastAsia="Times New Roman" w:cs="Times New Roman"/>
          <w:b w:val="0"/>
          <w:bCs/>
          <w:szCs w:val="24"/>
          <w:lang w:val="en-GB" w:eastAsia="en-GB"/>
        </w:rPr>
      </w:pPr>
      <w:r>
        <w:rPr>
          <w:rFonts w:hint="eastAsia" w:eastAsia="Times New Roman" w:cs="Times New Roman"/>
          <w:b w:val="0"/>
          <w:bCs/>
          <w:szCs w:val="24"/>
          <w:lang w:val="en-GB" w:eastAsia="en-GB"/>
        </w:rPr>
        <w:t>AppendixTable A3: Descriptive Statistics for Intergenerational Transfers</w:t>
      </w:r>
    </w:p>
    <w:tbl>
      <w:tblPr>
        <w:tblStyle w:val="21"/>
        <w:tblW w:w="0" w:type="auto"/>
        <w:jc w:val="center"/>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98"/>
        <w:gridCol w:w="1998"/>
        <w:gridCol w:w="1999"/>
        <w:gridCol w:w="1999"/>
        <w:gridCol w:w="1999"/>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bottom w:val="single" w:color="000000" w:themeColor="text1" w:sz="12" w:space="0"/>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bookmarkStart w:id="9" w:name="_GoBack"/>
            <w:r>
              <w:rPr>
                <w:rFonts w:hint="eastAsia" w:ascii="Times New Roman" w:hAnsi="Times New Roman" w:eastAsia="Times New Roman" w:cs="Times New Roman"/>
                <w:b w:val="0"/>
                <w:bCs/>
                <w:sz w:val="24"/>
                <w:szCs w:val="24"/>
                <w:lang w:val="en-US" w:eastAsia="zh-CN" w:bidi="ar-SA"/>
              </w:rPr>
              <w:t>Group</w:t>
            </w:r>
          </w:p>
        </w:tc>
        <w:tc>
          <w:tcPr>
            <w:tcW w:w="1998" w:type="dxa"/>
            <w:tcBorders>
              <w:bottom w:val="single" w:color="000000" w:themeColor="text1" w:sz="12" w:space="0"/>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Variable</w:t>
            </w:r>
          </w:p>
        </w:tc>
        <w:tc>
          <w:tcPr>
            <w:tcW w:w="1999" w:type="dxa"/>
            <w:tcBorders>
              <w:bottom w:val="single" w:color="000000" w:themeColor="text1" w:sz="12" w:space="0"/>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Mean</w:t>
            </w:r>
          </w:p>
        </w:tc>
        <w:tc>
          <w:tcPr>
            <w:tcW w:w="1999" w:type="dxa"/>
            <w:tcBorders>
              <w:bottom w:val="single" w:color="000000" w:themeColor="text1" w:sz="12" w:space="0"/>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SD</w:t>
            </w:r>
          </w:p>
        </w:tc>
        <w:tc>
          <w:tcPr>
            <w:tcW w:w="1999" w:type="dxa"/>
            <w:tcBorders>
              <w:bottom w:val="single" w:color="000000" w:themeColor="text1" w:sz="12" w:space="0"/>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N</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op w:val="single" w:color="000000" w:themeColor="text1" w:sz="12" w:space="0"/>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Non-caregivers (wpc=0)</w:t>
            </w:r>
          </w:p>
        </w:tc>
        <w:tc>
          <w:tcPr>
            <w:tcW w:w="1998" w:type="dxa"/>
            <w:tcBorders>
              <w:top w:val="single" w:color="000000" w:themeColor="text1" w:sz="12" w:space="0"/>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from Children</w:t>
            </w:r>
          </w:p>
        </w:tc>
        <w:tc>
          <w:tcPr>
            <w:tcW w:w="1999" w:type="dxa"/>
            <w:tcBorders>
              <w:top w:val="single" w:color="000000" w:themeColor="text1" w:sz="12" w:space="0"/>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7.84</w:t>
            </w:r>
          </w:p>
        </w:tc>
        <w:tc>
          <w:tcPr>
            <w:tcW w:w="1999" w:type="dxa"/>
            <w:tcBorders>
              <w:top w:val="single" w:color="000000" w:themeColor="text1" w:sz="12" w:space="0"/>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1.37</w:t>
            </w:r>
          </w:p>
        </w:tc>
        <w:tc>
          <w:tcPr>
            <w:tcW w:w="1999" w:type="dxa"/>
            <w:tcBorders>
              <w:top w:val="single" w:color="000000" w:themeColor="text1" w:sz="12" w:space="0"/>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1,195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Non-caregivers (wpc=0)</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to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7.18</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2.01</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1,195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Caregivers (wpc=1)</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from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8.05</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1.36</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1,462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Caregivers (wpc=1)</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to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7.45</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1.8</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1,462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Non-retirees (retire=0)</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from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7.91</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1.38</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2,196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Non-retirees (retire=0)</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to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7.13</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1.89</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2,196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Retirees (retire=1)</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from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8.18</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1.29</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461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Retirees (retire=1)</w:t>
            </w:r>
          </w:p>
        </w:tc>
        <w:tc>
          <w:tcPr>
            <w:tcW w:w="1998"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Financial Support to Children</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8.24</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1.64</w:t>
            </w:r>
          </w:p>
        </w:tc>
        <w:tc>
          <w:tcPr>
            <w:tcW w:w="1999"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Times New Roman" w:cs="Times New Roman"/>
                <w:b w:val="0"/>
                <w:bCs/>
                <w:sz w:val="24"/>
                <w:szCs w:val="24"/>
                <w:lang w:val="en-US" w:eastAsia="zh-CN" w:bidi="ar-SA"/>
              </w:rPr>
            </w:pPr>
            <w:r>
              <w:rPr>
                <w:rFonts w:hint="eastAsia" w:ascii="Times New Roman" w:hAnsi="Times New Roman" w:eastAsia="Times New Roman" w:cs="Times New Roman"/>
                <w:b w:val="0"/>
                <w:bCs/>
                <w:sz w:val="24"/>
                <w:szCs w:val="24"/>
                <w:lang w:val="en-US" w:eastAsia="zh-CN" w:bidi="ar-SA"/>
              </w:rPr>
              <w:t>461</w:t>
            </w:r>
          </w:p>
        </w:tc>
      </w:tr>
      <w:bookmarkEnd w:id="9"/>
    </w:tbl>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Note: Unweighted estimates for subsample with complete transfer data (N=2,657).</w:t>
      </w:r>
    </w:p>
    <w:p>
      <w:pPr>
        <w:pStyle w:val="4"/>
        <w:numPr>
          <w:ilvl w:val="1"/>
          <w:numId w:val="0"/>
        </w:numPr>
        <w:ind w:leftChars="0"/>
        <w:rPr>
          <w:rFonts w:hint="eastAsia" w:eastAsia="Times New Roman" w:cs="Times New Roman"/>
          <w:b w:val="0"/>
          <w:bCs/>
          <w:szCs w:val="24"/>
          <w:lang w:val="en-GB" w:eastAsia="en-GB"/>
        </w:rPr>
      </w:pPr>
    </w:p>
    <w:p>
      <w:pPr>
        <w:pStyle w:val="4"/>
        <w:numPr>
          <w:ilvl w:val="1"/>
          <w:numId w:val="0"/>
        </w:numPr>
        <w:ind w:leftChars="0"/>
        <w:rPr>
          <w:rFonts w:hint="eastAsia" w:eastAsia="Times New Roman" w:cs="Times New Roman"/>
          <w:szCs w:val="24"/>
          <w:lang w:val="en-US" w:eastAsia="zh-CN"/>
        </w:rPr>
      </w:pPr>
    </w:p>
    <w:p>
      <w:pPr>
        <w:pStyle w:val="4"/>
        <w:numPr>
          <w:ilvl w:val="1"/>
          <w:numId w:val="0"/>
        </w:numPr>
        <w:ind w:leftChars="0"/>
        <w:rPr>
          <w:rFonts w:hint="eastAsia" w:eastAsia="Times New Roman" w:cs="Times New Roman"/>
          <w:szCs w:val="24"/>
          <w:lang w:val="en-US" w:eastAsia="zh-CN"/>
        </w:rPr>
      </w:pPr>
    </w:p>
    <w:p>
      <w:pPr>
        <w:pStyle w:val="4"/>
        <w:numPr>
          <w:ilvl w:val="1"/>
          <w:numId w:val="0"/>
        </w:numPr>
        <w:ind w:leftChars="0"/>
        <w:rPr>
          <w:rFonts w:hint="eastAsia" w:eastAsia="Times New Roman" w:cs="Times New Roman"/>
          <w:szCs w:val="24"/>
          <w:lang w:val="en-US" w:eastAsia="zh-CN"/>
        </w:rPr>
      </w:pPr>
      <w:r>
        <w:rPr>
          <w:rFonts w:hint="eastAsia" w:eastAsia="Times New Roman" w:cs="Times New Roman"/>
          <w:szCs w:val="24"/>
          <w:lang w:val="en-US" w:eastAsia="zh-CN"/>
        </w:rPr>
        <w:t xml:space="preserve"> </w:t>
      </w:r>
    </w:p>
    <w:p>
      <w:pPr>
        <w:pStyle w:val="4"/>
        <w:numPr>
          <w:ilvl w:val="1"/>
          <w:numId w:val="0"/>
        </w:numPr>
        <w:ind w:leftChars="0"/>
        <w:rPr>
          <w:rFonts w:hint="eastAsia" w:eastAsia="Times New Roman" w:cs="Times New Roman"/>
          <w:szCs w:val="24"/>
          <w:lang w:val="en-US" w:eastAsia="zh-CN"/>
        </w:rPr>
      </w:pPr>
    </w:p>
    <w:p>
      <w:pPr>
        <w:pStyle w:val="4"/>
        <w:numPr>
          <w:ilvl w:val="1"/>
          <w:numId w:val="0"/>
        </w:numPr>
        <w:ind w:leftChars="0"/>
        <w:rPr>
          <w:rFonts w:hint="eastAsia" w:eastAsia="Times New Roman" w:cs="Times New Roman"/>
          <w:szCs w:val="24"/>
          <w:lang w:val="en-US" w:eastAsia="zh-CN"/>
        </w:rPr>
      </w:pPr>
    </w:p>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GB" w:eastAsia="en-GB"/>
        </w:rPr>
        <w:t>Appendix</w:t>
      </w:r>
      <w:r>
        <w:rPr>
          <w:rFonts w:hint="eastAsia" w:eastAsia="Times New Roman" w:cs="Times New Roman"/>
          <w:b w:val="0"/>
          <w:bCs/>
          <w:szCs w:val="24"/>
          <w:lang w:val="en-US" w:eastAsia="zh-CN"/>
        </w:rPr>
        <w:t>Table A4. OLS with Spline for Caregiving Intensity</w:t>
      </w:r>
    </w:p>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5"/>
        <w:gridCol w:w="1665"/>
        <w:gridCol w:w="1665"/>
        <w:gridCol w:w="1666"/>
        <w:gridCol w:w="1666"/>
        <w:gridCol w:w="1666"/>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Variable</w:t>
            </w:r>
          </w:p>
        </w:tc>
        <w:tc>
          <w:tcPr>
            <w:tcW w:w="1665"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Coefficient</w:t>
            </w:r>
          </w:p>
        </w:tc>
        <w:tc>
          <w:tcPr>
            <w:tcW w:w="1665"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SE</w:t>
            </w:r>
          </w:p>
        </w:tc>
        <w:tc>
          <w:tcPr>
            <w:tcW w:w="1666"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t</w:t>
            </w:r>
          </w:p>
        </w:tc>
        <w:tc>
          <w:tcPr>
            <w:tcW w:w="1666"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p-value</w:t>
            </w:r>
          </w:p>
        </w:tc>
        <w:tc>
          <w:tcPr>
            <w:tcW w:w="1666"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95% CI</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Retire</w:t>
            </w:r>
          </w:p>
        </w:tc>
        <w:tc>
          <w:tcPr>
            <w:tcW w:w="1665"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-0.19</w:t>
            </w:r>
          </w:p>
        </w:tc>
        <w:tc>
          <w:tcPr>
            <w:tcW w:w="1665"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w:t>
            </w:r>
          </w:p>
        </w:tc>
        <w:tc>
          <w:tcPr>
            <w:tcW w:w="1666"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-5.62</w:t>
            </w:r>
          </w:p>
        </w:tc>
        <w:tc>
          <w:tcPr>
            <w:tcW w:w="1666" w:type="dxa"/>
            <w:tcBorders>
              <w:top w:val="single" w:color="000000" w:themeColor="text1" w:sz="12" w:space="0"/>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[-0.26, -0.12]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Parent–child satisfaction</w:t>
            </w:r>
          </w:p>
        </w:tc>
        <w:tc>
          <w:tcPr>
            <w:tcW w:w="1665"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-0.20</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0.02</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-13.44</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[-0.23, -0.17]</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Provides grandchild care</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-0.09</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0.05</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-2.01</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0.044</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[-0.18, -0.00]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Caregiving hours (0–40)</w:t>
            </w:r>
          </w:p>
        </w:tc>
        <w:tc>
          <w:tcPr>
            <w:tcW w:w="1665"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w:t>
            </w:r>
          </w:p>
        </w:tc>
        <w:tc>
          <w:tcPr>
            <w:tcW w:w="1665"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-0.20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0.839</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[-0.00, 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Caregiving hours (&gt;40)</w:t>
            </w:r>
          </w:p>
        </w:tc>
        <w:tc>
          <w:tcPr>
            <w:tcW w:w="1665"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w:t>
            </w:r>
          </w:p>
        </w:tc>
        <w:tc>
          <w:tcPr>
            <w:tcW w:w="1665"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2.47</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0.013</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[0.00, 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Self-rated health</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-0.34</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-33.29</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[-0.36, -0.32]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Married</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-0.18</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-6.19</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[-0.24, -0.12]</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Household size</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-4.08</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[-0.04, -0.01]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Education</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-0.13</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-11.98</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[-0.15, -0.11]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Urban</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0.08</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2.94</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0.003</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 0.14]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Age</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-7.42</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 -0.01]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Constant</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2.96</w:t>
            </w:r>
          </w:p>
        </w:tc>
        <w:tc>
          <w:tcPr>
            <w:tcW w:w="1665"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0.12</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23.9</w:t>
            </w:r>
          </w:p>
        </w:tc>
        <w:tc>
          <w:tcPr>
            <w:tcW w:w="1666"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0.000</w:t>
            </w:r>
          </w:p>
        </w:tc>
        <w:tc>
          <w:tcPr>
            <w:tcW w:w="1666"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[2.72, 3.20]</w:t>
            </w:r>
          </w:p>
        </w:tc>
      </w:tr>
    </w:tbl>
    <w:p>
      <w:pPr>
        <w:pStyle w:val="4"/>
        <w:numPr>
          <w:ilvl w:val="1"/>
          <w:numId w:val="0"/>
        </w:numPr>
        <w:ind w:leftChars="0"/>
        <w:rPr>
          <w:rFonts w:hint="eastAsia" w:eastAsia="Times New Roman" w:cs="Times New Roman"/>
          <w:b w:val="0"/>
          <w:bCs/>
          <w:szCs w:val="24"/>
          <w:lang w:val="en-GB" w:eastAsia="en-GB"/>
        </w:rPr>
      </w:pPr>
      <w:r>
        <w:rPr>
          <w:rFonts w:hint="eastAsia" w:eastAsia="Times New Roman" w:cs="Times New Roman"/>
          <w:b w:val="0"/>
          <w:bCs/>
          <w:szCs w:val="24"/>
          <w:lang w:val="en-GB" w:eastAsia="en-GB"/>
        </w:rPr>
        <w:t>Note: Unweighted OLS with robust standard errors. N=7,730, R²=0.22. A spline specification with a knot at 40 weekly caregiving hours was used.</w:t>
      </w:r>
    </w:p>
    <w:p>
      <w:pPr>
        <w:pStyle w:val="4"/>
        <w:numPr>
          <w:ilvl w:val="1"/>
          <w:numId w:val="0"/>
        </w:numPr>
        <w:ind w:leftChars="0"/>
        <w:rPr>
          <w:rFonts w:hint="eastAsia" w:eastAsia="Times New Roman" w:cs="Times New Roman"/>
          <w:szCs w:val="24"/>
          <w:lang w:val="en-GB" w:eastAsia="en-GB"/>
        </w:rPr>
      </w:pPr>
    </w:p>
    <w:p>
      <w:pPr>
        <w:pStyle w:val="4"/>
        <w:numPr>
          <w:ilvl w:val="1"/>
          <w:numId w:val="0"/>
        </w:numPr>
        <w:ind w:leftChars="0"/>
        <w:rPr>
          <w:rFonts w:hint="eastAsia" w:eastAsia="Times New Roman" w:cs="Times New Roman"/>
          <w:szCs w:val="24"/>
          <w:lang w:val="en-US" w:eastAsia="zh-CN"/>
        </w:rPr>
      </w:pPr>
    </w:p>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GB" w:eastAsia="en-GB"/>
        </w:rPr>
        <w:t>Appendix</w:t>
      </w:r>
      <w:r>
        <w:rPr>
          <w:rFonts w:hint="eastAsia" w:eastAsia="Times New Roman" w:cs="Times New Roman"/>
          <w:b w:val="0"/>
          <w:bCs/>
          <w:szCs w:val="24"/>
          <w:lang w:val="en-US" w:eastAsia="zh-CN"/>
        </w:rPr>
        <w:t xml:space="preserve"> Table A5. OLS with Interactions for Education and Health</w:t>
      </w:r>
    </w:p>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31"/>
        <w:gridCol w:w="3331"/>
        <w:gridCol w:w="3331"/>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Variable</w:t>
            </w:r>
          </w:p>
        </w:tc>
        <w:tc>
          <w:tcPr>
            <w:tcW w:w="3331"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Model 1 (Education)</w:t>
            </w:r>
          </w:p>
        </w:tc>
        <w:tc>
          <w:tcPr>
            <w:tcW w:w="3331" w:type="dxa"/>
            <w:tcBorders>
              <w:bottom w:val="single" w:color="000000" w:themeColor="text1" w:sz="12" w:space="0"/>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Model 2 (Health)</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Retire</w:t>
            </w:r>
          </w:p>
        </w:tc>
        <w:tc>
          <w:tcPr>
            <w:tcW w:w="3331"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-0.35 (0.08, 0.000)</w:t>
            </w:r>
          </w:p>
        </w:tc>
        <w:tc>
          <w:tcPr>
            <w:tcW w:w="3331" w:type="dxa"/>
            <w:tcBorders>
              <w:top w:val="single" w:color="000000" w:themeColor="text1" w:sz="12" w:space="0"/>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-0.37 (0.10,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Retire × Education</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0.06 (0.03, 0.027)</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Retire × Self-rated health</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0.06 (0.03, 0.041)</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Parent–child satisfaction</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-0.20 (0.02,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-0.20 (0.02,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Provides grandchild care</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-0.11 (0.03,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-0.11 (0.03,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Caregiving hours</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0.00 (0.00, 0.007)</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0.00 (0.00, 0.006)</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Self-rated health</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-0.34 (0.01,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-0.35 (0.01,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Married</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-0.18 (0.03,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-0.18 (0.03,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Household size</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 (0.01,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-0.03 (0.01,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Education</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-0.14 (0.01,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-0.13 (0.01,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Urban</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0.09 (0.03, 0.002)</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0.08 (0.03, 0.004)</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Age</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 (0.00,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-0.01 (0.00, 0.000)</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Constant</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2.98 (0.12, 0.000)</w:t>
            </w:r>
          </w:p>
        </w:tc>
        <w:tc>
          <w:tcPr>
            <w:tcW w:w="3331" w:type="dxa"/>
            <w:tcBorders>
              <w:tl2br w:val="nil"/>
              <w:tr2bl w:val="nil"/>
            </w:tcBorders>
            <w:vAlign w:val="center"/>
          </w:tcPr>
          <w:p>
            <w:pPr>
              <w:pStyle w:val="4"/>
              <w:numPr>
                <w:ilvl w:val="1"/>
                <w:numId w:val="0"/>
              </w:numPr>
              <w:ind w:leftChars="0"/>
              <w:rPr>
                <w:rFonts w:hint="eastAsia" w:eastAsia="Times New Roman" w:cs="Times New Roman"/>
                <w:b w:val="0"/>
                <w:bCs/>
                <w:szCs w:val="24"/>
                <w:lang w:val="en-US" w:eastAsia="zh-CN"/>
              </w:rPr>
            </w:pPr>
            <w:r>
              <w:rPr>
                <w:rFonts w:hint="eastAsia" w:eastAsia="Times New Roman" w:cs="Times New Roman"/>
                <w:b w:val="0"/>
                <w:bCs/>
                <w:szCs w:val="24"/>
                <w:lang w:val="en-US" w:eastAsia="zh-CN"/>
              </w:rPr>
              <w:t>2.98 (0.12, 0.000)</w:t>
            </w:r>
          </w:p>
        </w:tc>
      </w:tr>
    </w:tbl>
    <w:p>
      <w:pPr>
        <w:pStyle w:val="4"/>
        <w:numPr>
          <w:ilvl w:val="1"/>
          <w:numId w:val="0"/>
        </w:numPr>
        <w:ind w:leftChars="0"/>
        <w:rPr>
          <w:rFonts w:hint="default" w:eastAsia="Times New Roman" w:cs="Times New Roman"/>
          <w:b w:val="0"/>
          <w:bCs/>
          <w:szCs w:val="24"/>
          <w:lang w:val="en-US" w:eastAsia="zh-CN"/>
        </w:rPr>
      </w:pPr>
      <w:r>
        <w:rPr>
          <w:rFonts w:hint="default" w:eastAsia="Times New Roman" w:cs="Times New Roman"/>
          <w:b w:val="0"/>
          <w:bCs/>
          <w:szCs w:val="24"/>
          <w:lang w:val="en-US" w:eastAsia="zh-CN"/>
        </w:rPr>
        <w:t>Note: Unweighted OLS with robust standard errors. N=7,730, R²=0.22. Values reported as coefficient (SE, p-value). Interactions test whether retirement effects vary by education or baseline self-rated health.</w:t>
      </w:r>
    </w:p>
    <w:p>
      <w:pPr>
        <w:pStyle w:val="4"/>
        <w:numPr>
          <w:ilvl w:val="1"/>
          <w:numId w:val="0"/>
        </w:numPr>
        <w:ind w:leftChars="0"/>
        <w:rPr>
          <w:rFonts w:hint="eastAsia" w:eastAsia="Times New Roman" w:cs="Times New Roman"/>
          <w:szCs w:val="24"/>
          <w:lang w:val="en-GB" w:eastAsia="en-GB"/>
        </w:rPr>
      </w:pPr>
    </w:p>
    <w:p>
      <w:pPr>
        <w:pStyle w:val="4"/>
        <w:numPr>
          <w:ilvl w:val="1"/>
          <w:numId w:val="0"/>
        </w:numPr>
        <w:ind w:leftChars="0"/>
        <w:rPr>
          <w:rFonts w:hint="eastAsia" w:eastAsia="Times New Roman" w:cs="Times New Roman"/>
          <w:szCs w:val="24"/>
          <w:lang w:val="en-GB" w:eastAsia="en-GB"/>
        </w:rPr>
      </w:pPr>
    </w:p>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GB" w:eastAsia="en-GB"/>
        </w:rPr>
        <w:t>Appendix</w:t>
      </w:r>
      <w:r>
        <w:rPr>
          <w:rFonts w:hint="default" w:eastAsia="Times New Roman" w:cs="Times New Roman"/>
          <w:b w:val="0"/>
          <w:bCs/>
          <w:szCs w:val="24"/>
          <w:lang w:val="en-US" w:eastAsia="zh-CN"/>
        </w:rPr>
        <w:t xml:space="preserve"> Table A6. Comparison of Included vs. Excluded Cases</w:t>
      </w:r>
    </w:p>
    <w:tbl>
      <w:tblPr>
        <w:tblStyle w:val="21"/>
        <w:tblW w:w="0" w:type="auto"/>
        <w:tblInd w:w="0" w:type="dxa"/>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31"/>
        <w:gridCol w:w="3331"/>
        <w:gridCol w:w="3331"/>
      </w:tblGrid>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bottom w:val="single" w:color="000000" w:themeColor="text1" w:sz="12" w:space="0"/>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Variable</w:t>
            </w:r>
          </w:p>
        </w:tc>
        <w:tc>
          <w:tcPr>
            <w:tcW w:w="3331" w:type="dxa"/>
            <w:tcBorders>
              <w:bottom w:val="single" w:color="000000" w:themeColor="text1" w:sz="12" w:space="0"/>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Included (N = 7,730)</w:t>
            </w:r>
          </w:p>
        </w:tc>
        <w:tc>
          <w:tcPr>
            <w:tcW w:w="3331" w:type="dxa"/>
            <w:tcBorders>
              <w:bottom w:val="single" w:color="000000" w:themeColor="text1" w:sz="12" w:space="0"/>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Excluded (N = 95)</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op w:val="single" w:color="000000" w:themeColor="text1" w:sz="12" w:space="0"/>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Age (mean, SD)</w:t>
            </w:r>
          </w:p>
        </w:tc>
        <w:tc>
          <w:tcPr>
            <w:tcW w:w="3331" w:type="dxa"/>
            <w:tcBorders>
              <w:top w:val="single" w:color="000000" w:themeColor="text1" w:sz="12" w:space="0"/>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61.6 (7.6)</w:t>
            </w:r>
          </w:p>
        </w:tc>
        <w:tc>
          <w:tcPr>
            <w:tcW w:w="3331" w:type="dxa"/>
            <w:tcBorders>
              <w:top w:val="single" w:color="000000" w:themeColor="text1" w:sz="12" w:space="0"/>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63.6 (NA)</w:t>
            </w:r>
          </w:p>
        </w:tc>
      </w:tr>
      <w:tr>
        <w:tblPrEx>
          <w:tblBorders>
            <w:top w:val="single" w:color="000000" w:themeColor="text1" w:sz="12" w:space="0"/>
            <w:left w:val="none" w:color="auto" w:sz="0" w:space="0"/>
            <w:bottom w:val="single" w:color="000000" w:themeColor="text1"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3331"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SRH (mean, SD)</w:t>
            </w:r>
          </w:p>
        </w:tc>
        <w:tc>
          <w:tcPr>
            <w:tcW w:w="3331"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2.8 (1.0)</w:t>
            </w:r>
          </w:p>
        </w:tc>
        <w:tc>
          <w:tcPr>
            <w:tcW w:w="3331" w:type="dxa"/>
            <w:tcBorders>
              <w:tl2br w:val="nil"/>
              <w:tr2bl w:val="nil"/>
            </w:tcBorders>
            <w:vAlign w:val="center"/>
          </w:tcPr>
          <w:p>
            <w:pPr>
              <w:pStyle w:val="4"/>
              <w:numPr>
                <w:ilvl w:val="1"/>
                <w:numId w:val="0"/>
              </w:numPr>
              <w:ind w:leftChars="0"/>
              <w:rPr>
                <w:rFonts w:hint="default" w:eastAsia="Times New Roman" w:cs="Times New Roman"/>
                <w:b w:val="0"/>
                <w:bCs/>
                <w:szCs w:val="24"/>
                <w:lang w:val="en-US" w:eastAsia="zh-CN"/>
              </w:rPr>
            </w:pPr>
            <w:r>
              <w:rPr>
                <w:rFonts w:hint="eastAsia" w:eastAsia="Times New Roman" w:cs="Times New Roman"/>
                <w:b w:val="0"/>
                <w:bCs/>
                <w:szCs w:val="24"/>
                <w:lang w:val="en-US" w:eastAsia="zh-CN"/>
              </w:rPr>
              <w:t>2.3 (NA)</w:t>
            </w:r>
          </w:p>
        </w:tc>
      </w:tr>
    </w:tbl>
    <w:p>
      <w:pPr>
        <w:pStyle w:val="4"/>
        <w:numPr>
          <w:ilvl w:val="1"/>
          <w:numId w:val="0"/>
        </w:numPr>
        <w:ind w:leftChars="0"/>
        <w:rPr>
          <w:rFonts w:hint="default" w:eastAsia="Times New Roman" w:cs="Times New Roman"/>
          <w:b w:val="0"/>
          <w:bCs/>
          <w:szCs w:val="24"/>
          <w:lang w:val="en-US" w:eastAsia="zh-CN"/>
        </w:rPr>
      </w:pPr>
      <w:r>
        <w:rPr>
          <w:rFonts w:hint="default" w:eastAsia="Times New Roman" w:cs="Times New Roman"/>
          <w:b w:val="0"/>
          <w:bCs/>
          <w:szCs w:val="24"/>
          <w:lang w:val="en-US" w:eastAsia="zh-CN"/>
        </w:rPr>
        <w:t>Note: Unweighted estimates. Standard deviation (SD) for excluded cases unavailable due to small sample size. SRH = self-rated health (1 = very poor, 5 = excellent).</w:t>
      </w:r>
    </w:p>
    <w:p>
      <w:pPr>
        <w:pStyle w:val="4"/>
        <w:numPr>
          <w:ilvl w:val="1"/>
          <w:numId w:val="0"/>
        </w:numPr>
        <w:ind w:leftChars="0"/>
        <w:rPr>
          <w:rFonts w:hint="eastAsia" w:eastAsia="Times New Roman" w:cs="Times New Roman"/>
          <w:szCs w:val="24"/>
          <w:lang w:val="en-GB" w:eastAsia="en-GB"/>
        </w:rPr>
      </w:pPr>
    </w:p>
    <w:sectPr>
      <w:headerReference r:id="rId6" w:type="first"/>
      <w:footerReference r:id="rId7" w:type="default"/>
      <w:headerReference r:id="rId5" w:type="even"/>
      <w:footerReference r:id="rId8" w:type="even"/>
      <w:pgSz w:w="12240" w:h="15840"/>
      <w:pgMar w:top="1138" w:right="1181" w:bottom="1138" w:left="1282"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b/>
        <w:sz w:val="20"/>
        <w:szCs w:val="24"/>
      </w:rPr>
    </w:pPr>
    <w:r>
      <w:rPr>
        <w:lang w:val="en-GB"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pPr>
                            <w:jc w:val="right"/>
                            <w:rPr>
                              <w:color w:val="000000" w:themeColor="text1"/>
                              <w:szCs w:val="40"/>
                              <w14:textFill>
                                <w14:solidFill>
                                  <w14:schemeClr w14:val="tx1"/>
                                </w14:solidFill>
                              </w14:textFill>
                            </w:rPr>
                          </w:pPr>
                          <w:r>
                            <w:rPr>
                              <w:color w:val="000000" w:themeColor="text1"/>
                              <w:szCs w:val="40"/>
                              <w14:textFill>
                                <w14:solidFill>
                                  <w14:schemeClr w14:val="tx1"/>
                                </w14:solidFill>
                              </w14:textFill>
                            </w:rPr>
                            <w:fldChar w:fldCharType="begin"/>
                          </w:r>
                          <w:r>
                            <w:rPr>
                              <w:color w:val="000000" w:themeColor="text1"/>
                              <w:szCs w:val="40"/>
                              <w14:textFill>
                                <w14:solidFill>
                                  <w14:schemeClr w14:val="tx1"/>
                                </w14:solidFill>
                              </w14:textFill>
                            </w:rPr>
                            <w:instrText xml:space="preserve"> PAGE  \* Arabic  \* MERGEFORMAT </w:instrText>
                          </w:r>
                          <w:r>
                            <w:rPr>
                              <w:color w:val="000000" w:themeColor="text1"/>
                              <w:szCs w:val="40"/>
                              <w14:textFill>
                                <w14:solidFill>
                                  <w14:schemeClr w14:val="tx1"/>
                                </w14:solidFill>
                              </w14:textFill>
                            </w:rPr>
                            <w:fldChar w:fldCharType="separate"/>
                          </w:r>
                          <w:r>
                            <w:rPr>
                              <w:color w:val="000000" w:themeColor="text1"/>
                              <w:szCs w:val="40"/>
                              <w14:textFill>
                                <w14:solidFill>
                                  <w14:schemeClr w14:val="tx1"/>
                                </w14:solidFill>
                              </w14:textFill>
                            </w:rPr>
                            <w:t>3</w:t>
                          </w:r>
                          <w:r>
                            <w:rPr>
                              <w:color w:val="000000" w:themeColor="text1"/>
                              <w:szCs w:val="40"/>
                              <w14:textFill>
                                <w14:solidFill>
                                  <w14:schemeClr w14:val="tx1"/>
                                </w14:solidFill>
                              </w14:textFill>
                            </w:rPr>
                            <w:fldChar w:fldCharType="end"/>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56" o:spid="_x0000_s1026" o:spt="202" type="#_x0000_t202" style="position:absolute;left:0pt;margin-left:434.15pt;margin-top:726.5pt;height:31.15pt;width:118.8pt;mso-position-horizontal-relative:page;mso-position-vertical-relative:page;z-index:251659264;mso-width-relative:page;mso-height-relative:page;" filled="f" stroked="f" coordsize="21600,21600" o:gfxdata="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MV0Qi0gAAAAQBAAAPAAAAAAAAAAEAIAAAACIAAABkcnMvZG93bnJldi54bWxQSwEC&#10;FAAUAAAACACHTuJARAcAODMCAAB1BAAADgAAAAAAAAABACAAAAAhAQAAZHJzL2Uyb0RvYy54bWxQ&#10;SwUGAAAAAAYABgBZAQAAxgUAAAAA&#10;">
              <v:fill on="f" focussize="0,0"/>
              <v:stroke on="f" weight="0.5pt"/>
              <v:imagedata o:title=""/>
              <o:lock v:ext="edit" aspectratio="f"/>
              <v:textbox style="mso-fit-shape-to-text:t;">
                <w:txbxContent>
                  <w:p>
                    <w:pPr>
                      <w:jc w:val="right"/>
                      <w:rPr>
                        <w:color w:val="000000" w:themeColor="text1"/>
                        <w:szCs w:val="40"/>
                        <w14:textFill>
                          <w14:solidFill>
                            <w14:schemeClr w14:val="tx1"/>
                          </w14:solidFill>
                        </w14:textFill>
                      </w:rPr>
                    </w:pPr>
                    <w:r>
                      <w:rPr>
                        <w:color w:val="000000" w:themeColor="text1"/>
                        <w:szCs w:val="40"/>
                        <w14:textFill>
                          <w14:solidFill>
                            <w14:schemeClr w14:val="tx1"/>
                          </w14:solidFill>
                        </w14:textFill>
                      </w:rPr>
                      <w:fldChar w:fldCharType="begin"/>
                    </w:r>
                    <w:r>
                      <w:rPr>
                        <w:color w:val="000000" w:themeColor="text1"/>
                        <w:szCs w:val="40"/>
                        <w14:textFill>
                          <w14:solidFill>
                            <w14:schemeClr w14:val="tx1"/>
                          </w14:solidFill>
                        </w14:textFill>
                      </w:rPr>
                      <w:instrText xml:space="preserve"> PAGE  \* Arabic  \* MERGEFORMAT </w:instrText>
                    </w:r>
                    <w:r>
                      <w:rPr>
                        <w:color w:val="000000" w:themeColor="text1"/>
                        <w:szCs w:val="40"/>
                        <w14:textFill>
                          <w14:solidFill>
                            <w14:schemeClr w14:val="tx1"/>
                          </w14:solidFill>
                        </w14:textFill>
                      </w:rPr>
                      <w:fldChar w:fldCharType="separate"/>
                    </w:r>
                    <w:r>
                      <w:rPr>
                        <w:color w:val="000000" w:themeColor="text1"/>
                        <w:szCs w:val="40"/>
                        <w14:textFill>
                          <w14:solidFill>
                            <w14:schemeClr w14:val="tx1"/>
                          </w14:solidFill>
                        </w14:textFill>
                      </w:rPr>
                      <w:t>3</w:t>
                    </w:r>
                    <w:r>
                      <w:rPr>
                        <w:color w:val="000000" w:themeColor="text1"/>
                        <w:szCs w:val="40"/>
                        <w14:textFill>
                          <w14:solidFill>
                            <w14:schemeClr w14:val="tx1"/>
                          </w14:solidFill>
                        </w14:textFill>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color w:val="C00000"/>
        <w:szCs w:val="24"/>
      </w:rPr>
    </w:pPr>
    <w:r>
      <w:rPr>
        <w:lang w:val="en-GB" w:eastAsia="en-GB"/>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pPr>
                            <w:jc w:val="right"/>
                            <w:rPr>
                              <w:color w:val="000000" w:themeColor="text1"/>
                              <w:szCs w:val="40"/>
                              <w14:textFill>
                                <w14:solidFill>
                                  <w14:schemeClr w14:val="tx1"/>
                                </w14:solidFill>
                              </w14:textFill>
                            </w:rPr>
                          </w:pPr>
                          <w:r>
                            <w:rPr>
                              <w:color w:val="000000" w:themeColor="text1"/>
                              <w:szCs w:val="40"/>
                              <w14:textFill>
                                <w14:solidFill>
                                  <w14:schemeClr w14:val="tx1"/>
                                </w14:solidFill>
                              </w14:textFill>
                            </w:rPr>
                            <w:fldChar w:fldCharType="begin"/>
                          </w:r>
                          <w:r>
                            <w:rPr>
                              <w:color w:val="000000" w:themeColor="text1"/>
                              <w:szCs w:val="40"/>
                              <w14:textFill>
                                <w14:solidFill>
                                  <w14:schemeClr w14:val="tx1"/>
                                </w14:solidFill>
                              </w14:textFill>
                            </w:rPr>
                            <w:instrText xml:space="preserve"> PAGE  \* Arabic  \* MERGEFORMAT </w:instrText>
                          </w:r>
                          <w:r>
                            <w:rPr>
                              <w:color w:val="000000" w:themeColor="text1"/>
                              <w:szCs w:val="40"/>
                              <w14:textFill>
                                <w14:solidFill>
                                  <w14:schemeClr w14:val="tx1"/>
                                </w14:solidFill>
                              </w14:textFill>
                            </w:rPr>
                            <w:fldChar w:fldCharType="separate"/>
                          </w:r>
                          <w:r>
                            <w:rPr>
                              <w:color w:val="000000" w:themeColor="text1"/>
                              <w:szCs w:val="40"/>
                              <w14:textFill>
                                <w14:solidFill>
                                  <w14:schemeClr w14:val="tx1"/>
                                </w14:solidFill>
                              </w14:textFill>
                            </w:rPr>
                            <w:t>2</w:t>
                          </w:r>
                          <w:r>
                            <w:rPr>
                              <w:color w:val="000000" w:themeColor="text1"/>
                              <w:szCs w:val="40"/>
                              <w14:textFill>
                                <w14:solidFill>
                                  <w14:schemeClr w14:val="tx1"/>
                                </w14:solidFill>
                              </w14:textFill>
                            </w:rPr>
                            <w:fldChar w:fldCharType="end"/>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1" o:spid="_x0000_s1026" o:spt="202" type="#_x0000_t202" style="position:absolute;left:0pt;margin-left:434.15pt;margin-top:724.2pt;height:31.15pt;width:118.8pt;mso-position-horizontal-relative:page;mso-position-vertical-relative:page;z-index:251660288;mso-width-relative:page;mso-height-relative:page;" filled="f" stroked="f" coordsize="21600,21600" o:gfxdata="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TFdEItIAAAAEAQAADwAAAAAAAAABACAAAAAiAAAAZHJzL2Rvd25yZXYueG1sUEsBAhQA&#10;FAAAAAgAh07iQFsR1fExAgAAcwQAAA4AAAAAAAAAAQAgAAAAIQEAAGRycy9lMm9Eb2MueG1sUEsF&#10;BgAAAAAGAAYAWQEAAMQFAAAAAA==&#10;">
              <v:fill on="f" focussize="0,0"/>
              <v:stroke on="f" weight="0.5pt"/>
              <v:imagedata o:title=""/>
              <o:lock v:ext="edit" aspectratio="f"/>
              <v:textbox style="mso-fit-shape-to-text:t;">
                <w:txbxContent>
                  <w:p>
                    <w:pPr>
                      <w:jc w:val="right"/>
                      <w:rPr>
                        <w:color w:val="000000" w:themeColor="text1"/>
                        <w:szCs w:val="40"/>
                        <w14:textFill>
                          <w14:solidFill>
                            <w14:schemeClr w14:val="tx1"/>
                          </w14:solidFill>
                        </w14:textFill>
                      </w:rPr>
                    </w:pPr>
                    <w:r>
                      <w:rPr>
                        <w:color w:val="000000" w:themeColor="text1"/>
                        <w:szCs w:val="40"/>
                        <w14:textFill>
                          <w14:solidFill>
                            <w14:schemeClr w14:val="tx1"/>
                          </w14:solidFill>
                        </w14:textFill>
                      </w:rPr>
                      <w:fldChar w:fldCharType="begin"/>
                    </w:r>
                    <w:r>
                      <w:rPr>
                        <w:color w:val="000000" w:themeColor="text1"/>
                        <w:szCs w:val="40"/>
                        <w14:textFill>
                          <w14:solidFill>
                            <w14:schemeClr w14:val="tx1"/>
                          </w14:solidFill>
                        </w14:textFill>
                      </w:rPr>
                      <w:instrText xml:space="preserve"> PAGE  \* Arabic  \* MERGEFORMAT </w:instrText>
                    </w:r>
                    <w:r>
                      <w:rPr>
                        <w:color w:val="000000" w:themeColor="text1"/>
                        <w:szCs w:val="40"/>
                        <w14:textFill>
                          <w14:solidFill>
                            <w14:schemeClr w14:val="tx1"/>
                          </w14:solidFill>
                        </w14:textFill>
                      </w:rPr>
                      <w:fldChar w:fldCharType="separate"/>
                    </w:r>
                    <w:r>
                      <w:rPr>
                        <w:color w:val="000000" w:themeColor="text1"/>
                        <w:szCs w:val="40"/>
                        <w14:textFill>
                          <w14:solidFill>
                            <w14:schemeClr w14:val="tx1"/>
                          </w14:solidFill>
                        </w14:textFill>
                      </w:rPr>
                      <w:t>2</w:t>
                    </w:r>
                    <w:r>
                      <w:rPr>
                        <w:color w:val="000000" w:themeColor="text1"/>
                        <w:szCs w:val="40"/>
                        <w14:textFill>
                          <w14:solidFill>
                            <w14:schemeClr w14:val="tx1"/>
                          </w14:solidFill>
                        </w14:textFill>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cs="Times New Roman"/>
      </w:rPr>
    </w:pPr>
    <w:r>
      <w:rPr>
        <w:rFonts w:cs="Times New Roman"/>
      </w:rPr>
      <w:ptab w:relativeTo="margin" w:alignment="center" w:leader="none"/>
    </w:r>
    <w:r>
      <w:rPr>
        <w:rFonts w:cs="Times New Roman"/>
      </w:rPr>
      <w:ptab w:relativeTo="margin" w:alignment="right" w:leader="none"/>
    </w:r>
    <w:r>
      <w:rPr>
        <w:rFonts w:cs="Times New Roman"/>
      </w:rPr>
      <w:t>Supplementary Material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b/>
      </w:rPr>
      <w:ptab w:relativeTo="margin" w:alignment="center" w:leader="none"/>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601A"/>
    <w:multiLevelType w:val="multilevel"/>
    <w:tmpl w:val="1EC0601A"/>
    <w:lvl w:ilvl="0" w:tentative="0">
      <w:start w:val="1"/>
      <w:numFmt w:val="decimal"/>
      <w:pStyle w:val="2"/>
      <w:lvlText w:val="%1"/>
      <w:lvlJc w:val="left"/>
      <w:pPr>
        <w:tabs>
          <w:tab w:val="left" w:pos="567"/>
        </w:tabs>
        <w:ind w:left="567" w:hanging="567"/>
      </w:pPr>
      <w:rPr>
        <w:rFonts w:hint="default"/>
      </w:rPr>
    </w:lvl>
    <w:lvl w:ilvl="1" w:tentative="0">
      <w:start w:val="1"/>
      <w:numFmt w:val="decimal"/>
      <w:pStyle w:val="4"/>
      <w:lvlText w:val="%1.%2"/>
      <w:lvlJc w:val="left"/>
      <w:pPr>
        <w:tabs>
          <w:tab w:val="left" w:pos="567"/>
        </w:tabs>
        <w:ind w:left="567" w:hanging="567"/>
      </w:pPr>
      <w:rPr>
        <w:rFonts w:hint="default"/>
      </w:rPr>
    </w:lvl>
    <w:lvl w:ilvl="2" w:tentative="0">
      <w:start w:val="1"/>
      <w:numFmt w:val="decimal"/>
      <w:pStyle w:val="5"/>
      <w:lvlText w:val="%1.%2.%3"/>
      <w:lvlJc w:val="left"/>
      <w:pPr>
        <w:tabs>
          <w:tab w:val="left" w:pos="567"/>
        </w:tabs>
        <w:ind w:left="567" w:hanging="567"/>
      </w:pPr>
      <w:rPr>
        <w:rFonts w:hint="default"/>
      </w:rPr>
    </w:lvl>
    <w:lvl w:ilvl="3" w:tentative="0">
      <w:start w:val="1"/>
      <w:numFmt w:val="decimal"/>
      <w:pStyle w:val="6"/>
      <w:lvlText w:val="%1.%2.%3.%4"/>
      <w:lvlJc w:val="left"/>
      <w:pPr>
        <w:tabs>
          <w:tab w:val="left" w:pos="567"/>
        </w:tabs>
        <w:ind w:left="567" w:hanging="567"/>
      </w:pPr>
      <w:rPr>
        <w:rFonts w:hint="default"/>
      </w:rPr>
    </w:lvl>
    <w:lvl w:ilvl="4" w:tentative="0">
      <w:start w:val="1"/>
      <w:numFmt w:val="decimal"/>
      <w:pStyle w:val="7"/>
      <w:lvlText w:val="%1.%2.%3.%4.%5"/>
      <w:lvlJc w:val="left"/>
      <w:pPr>
        <w:tabs>
          <w:tab w:val="left" w:pos="567"/>
        </w:tabs>
        <w:ind w:left="567" w:hanging="567"/>
      </w:pPr>
      <w:rPr>
        <w:rFonts w:hint="default"/>
      </w:rPr>
    </w:lvl>
    <w:lvl w:ilvl="5" w:tentative="0">
      <w:start w:val="1"/>
      <w:numFmt w:val="lowerRoman"/>
      <w:lvlText w:val="%6."/>
      <w:lvlJc w:val="right"/>
      <w:pPr>
        <w:tabs>
          <w:tab w:val="left" w:pos="567"/>
        </w:tabs>
        <w:ind w:left="567" w:hanging="567"/>
      </w:pPr>
      <w:rPr>
        <w:rFonts w:hint="default"/>
      </w:rPr>
    </w:lvl>
    <w:lvl w:ilvl="6" w:tentative="0">
      <w:start w:val="1"/>
      <w:numFmt w:val="decimal"/>
      <w:lvlText w:val="%7."/>
      <w:lvlJc w:val="left"/>
      <w:pPr>
        <w:tabs>
          <w:tab w:val="left" w:pos="567"/>
        </w:tabs>
        <w:ind w:left="567" w:hanging="567"/>
      </w:pPr>
      <w:rPr>
        <w:rFonts w:hint="default"/>
      </w:rPr>
    </w:lvl>
    <w:lvl w:ilvl="7" w:tentative="0">
      <w:start w:val="1"/>
      <w:numFmt w:val="lowerLetter"/>
      <w:lvlText w:val="%8."/>
      <w:lvlJc w:val="left"/>
      <w:pPr>
        <w:tabs>
          <w:tab w:val="left" w:pos="567"/>
        </w:tabs>
        <w:ind w:left="567" w:hanging="567"/>
      </w:pPr>
      <w:rPr>
        <w:rFonts w:hint="default"/>
      </w:rPr>
    </w:lvl>
    <w:lvl w:ilvl="8" w:tentative="0">
      <w:start w:val="1"/>
      <w:numFmt w:val="lowerRoman"/>
      <w:lvlText w:val="%9."/>
      <w:lvlJc w:val="right"/>
      <w:pPr>
        <w:tabs>
          <w:tab w:val="left" w:pos="567"/>
        </w:tabs>
        <w:ind w:left="567" w:hanging="567"/>
      </w:pPr>
      <w:rPr>
        <w:rFonts w:hint="default"/>
      </w:rPr>
    </w:lvl>
  </w:abstractNum>
  <w:abstractNum w:abstractNumId="1">
    <w:nsid w:val="225305B5"/>
    <w:multiLevelType w:val="multilevel"/>
    <w:tmpl w:val="225305B5"/>
    <w:lvl w:ilvl="0" w:tentative="0">
      <w:start w:val="1"/>
      <w:numFmt w:val="bullet"/>
      <w:pStyle w:val="3"/>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attachedTemplate r:id="rId1"/>
  <w:documentProtection w:enforcement="0"/>
  <w:defaultTabStop w:val="720"/>
  <w:evenAndOddHeaders w:val="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iNmNlM2M2ZjQyNDZjMTYzZjZkMGU3MGJmZTdjMjkifQ=="/>
    <w:docVar w:name="KSO_WPS_MARK_KEY" w:val="091ede30-210d-4406-99c2-0925da3524c1"/>
  </w:docVars>
  <w:rsids>
    <w:rsidRoot w:val="00803D24"/>
    <w:rsid w:val="0001436A"/>
    <w:rsid w:val="00034304"/>
    <w:rsid w:val="00035434"/>
    <w:rsid w:val="00052A14"/>
    <w:rsid w:val="00077D53"/>
    <w:rsid w:val="00105FD9"/>
    <w:rsid w:val="00117666"/>
    <w:rsid w:val="001549D3"/>
    <w:rsid w:val="00160065"/>
    <w:rsid w:val="00177D84"/>
    <w:rsid w:val="00267D18"/>
    <w:rsid w:val="002868E2"/>
    <w:rsid w:val="002869C3"/>
    <w:rsid w:val="002936E4"/>
    <w:rsid w:val="002B4A57"/>
    <w:rsid w:val="002C74CA"/>
    <w:rsid w:val="003544FB"/>
    <w:rsid w:val="003D2D47"/>
    <w:rsid w:val="003D2F2D"/>
    <w:rsid w:val="00401590"/>
    <w:rsid w:val="00447801"/>
    <w:rsid w:val="00452E9C"/>
    <w:rsid w:val="004735C8"/>
    <w:rsid w:val="004961FF"/>
    <w:rsid w:val="00517A89"/>
    <w:rsid w:val="005250F2"/>
    <w:rsid w:val="00593EEA"/>
    <w:rsid w:val="005A5EEE"/>
    <w:rsid w:val="006375C7"/>
    <w:rsid w:val="00654E8F"/>
    <w:rsid w:val="00660D05"/>
    <w:rsid w:val="006820B1"/>
    <w:rsid w:val="006B7D14"/>
    <w:rsid w:val="00701727"/>
    <w:rsid w:val="0070566C"/>
    <w:rsid w:val="00714C50"/>
    <w:rsid w:val="00725A7D"/>
    <w:rsid w:val="007501BE"/>
    <w:rsid w:val="00790BB3"/>
    <w:rsid w:val="007C206C"/>
    <w:rsid w:val="00803D24"/>
    <w:rsid w:val="00817DD6"/>
    <w:rsid w:val="00885156"/>
    <w:rsid w:val="009151AA"/>
    <w:rsid w:val="0093429D"/>
    <w:rsid w:val="00943573"/>
    <w:rsid w:val="00970F7D"/>
    <w:rsid w:val="00994A3D"/>
    <w:rsid w:val="009C2B12"/>
    <w:rsid w:val="009C70F3"/>
    <w:rsid w:val="00A174D9"/>
    <w:rsid w:val="00A569CD"/>
    <w:rsid w:val="00AB5EE2"/>
    <w:rsid w:val="00AB6715"/>
    <w:rsid w:val="00B1671E"/>
    <w:rsid w:val="00B25EB8"/>
    <w:rsid w:val="00B354E1"/>
    <w:rsid w:val="00B37F4D"/>
    <w:rsid w:val="00C52A7B"/>
    <w:rsid w:val="00C56BAF"/>
    <w:rsid w:val="00C679AA"/>
    <w:rsid w:val="00C75972"/>
    <w:rsid w:val="00CC0A3A"/>
    <w:rsid w:val="00CD066B"/>
    <w:rsid w:val="00CE4FEE"/>
    <w:rsid w:val="00DB59C3"/>
    <w:rsid w:val="00DC259A"/>
    <w:rsid w:val="00DE23E8"/>
    <w:rsid w:val="00E52377"/>
    <w:rsid w:val="00E64E17"/>
    <w:rsid w:val="00E866C9"/>
    <w:rsid w:val="00EA3D3C"/>
    <w:rsid w:val="00F46900"/>
    <w:rsid w:val="00F61D89"/>
    <w:rsid w:val="07192104"/>
    <w:rsid w:val="1F710ACF"/>
    <w:rsid w:val="292C2A01"/>
    <w:rsid w:val="34025F96"/>
    <w:rsid w:val="3F3501F2"/>
    <w:rsid w:val="5AF01B8B"/>
    <w:rsid w:val="6430224D"/>
    <w:rsid w:val="657C2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qFormat="1"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line="240" w:lineRule="auto"/>
    </w:pPr>
    <w:rPr>
      <w:rFonts w:ascii="Times New Roman" w:hAnsi="Times New Roman" w:eastAsiaTheme="minorHAnsi" w:cstheme="minorBidi"/>
      <w:sz w:val="24"/>
      <w:szCs w:val="22"/>
      <w:lang w:val="en-US" w:eastAsia="en-US" w:bidi="ar-SA"/>
    </w:rPr>
  </w:style>
  <w:style w:type="paragraph" w:styleId="2">
    <w:name w:val="heading 1"/>
    <w:basedOn w:val="3"/>
    <w:next w:val="1"/>
    <w:link w:val="31"/>
    <w:qFormat/>
    <w:uiPriority w:val="2"/>
    <w:pPr>
      <w:numPr>
        <w:ilvl w:val="0"/>
        <w:numId w:val="1"/>
      </w:numPr>
      <w:spacing w:before="240"/>
      <w:contextualSpacing w:val="0"/>
      <w:outlineLvl w:val="0"/>
    </w:pPr>
    <w:rPr>
      <w:b/>
    </w:rPr>
  </w:style>
  <w:style w:type="paragraph" w:styleId="4">
    <w:name w:val="heading 2"/>
    <w:basedOn w:val="2"/>
    <w:next w:val="1"/>
    <w:link w:val="32"/>
    <w:qFormat/>
    <w:uiPriority w:val="2"/>
    <w:pPr>
      <w:numPr>
        <w:ilvl w:val="1"/>
      </w:numPr>
      <w:spacing w:after="200"/>
      <w:outlineLvl w:val="1"/>
    </w:pPr>
  </w:style>
  <w:style w:type="paragraph" w:styleId="5">
    <w:name w:val="heading 3"/>
    <w:basedOn w:val="1"/>
    <w:next w:val="1"/>
    <w:link w:val="45"/>
    <w:qFormat/>
    <w:uiPriority w:val="2"/>
    <w:pPr>
      <w:keepNext/>
      <w:keepLines/>
      <w:numPr>
        <w:ilvl w:val="2"/>
        <w:numId w:val="1"/>
      </w:numPr>
      <w:spacing w:before="40" w:after="120"/>
      <w:outlineLvl w:val="2"/>
    </w:pPr>
    <w:rPr>
      <w:rFonts w:eastAsiaTheme="majorEastAsia" w:cstheme="majorBidi"/>
      <w:b/>
      <w:szCs w:val="24"/>
    </w:rPr>
  </w:style>
  <w:style w:type="paragraph" w:styleId="6">
    <w:name w:val="heading 4"/>
    <w:basedOn w:val="5"/>
    <w:next w:val="1"/>
    <w:link w:val="46"/>
    <w:qFormat/>
    <w:uiPriority w:val="2"/>
    <w:pPr>
      <w:numPr>
        <w:ilvl w:val="3"/>
      </w:numPr>
      <w:outlineLvl w:val="3"/>
    </w:pPr>
    <w:rPr>
      <w:iCs/>
    </w:rPr>
  </w:style>
  <w:style w:type="paragraph" w:styleId="7">
    <w:name w:val="heading 5"/>
    <w:basedOn w:val="6"/>
    <w:next w:val="1"/>
    <w:link w:val="47"/>
    <w:qFormat/>
    <w:uiPriority w:val="2"/>
    <w:pPr>
      <w:numPr>
        <w:ilvl w:val="4"/>
      </w:numPr>
      <w:outlineLvl w:val="4"/>
    </w:p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
    <w:pPr>
      <w:numPr>
        <w:ilvl w:val="0"/>
        <w:numId w:val="2"/>
      </w:numPr>
      <w:contextualSpacing/>
    </w:pPr>
    <w:rPr>
      <w:rFonts w:eastAsia="Cambria" w:cs="Times New Roman"/>
      <w:szCs w:val="24"/>
    </w:rPr>
  </w:style>
  <w:style w:type="paragraph" w:styleId="8">
    <w:name w:val="caption"/>
    <w:basedOn w:val="1"/>
    <w:next w:val="9"/>
    <w:unhideWhenUsed/>
    <w:qFormat/>
    <w:uiPriority w:val="35"/>
    <w:pPr>
      <w:keepNext/>
    </w:pPr>
    <w:rPr>
      <w:rFonts w:cs="Times New Roman"/>
      <w:b/>
      <w:bCs/>
      <w:szCs w:val="24"/>
    </w:rPr>
  </w:style>
  <w:style w:type="paragraph" w:styleId="9">
    <w:name w:val="No Spacing"/>
    <w:unhideWhenUsed/>
    <w:qFormat/>
    <w:uiPriority w:val="99"/>
    <w:pPr>
      <w:spacing w:after="0" w:line="240" w:lineRule="auto"/>
    </w:pPr>
    <w:rPr>
      <w:rFonts w:ascii="Times New Roman" w:hAnsi="Times New Roman" w:eastAsiaTheme="minorHAnsi" w:cstheme="minorBidi"/>
      <w:sz w:val="24"/>
      <w:szCs w:val="22"/>
      <w:lang w:val="en-US" w:eastAsia="en-US" w:bidi="ar-SA"/>
    </w:rPr>
  </w:style>
  <w:style w:type="paragraph" w:styleId="10">
    <w:name w:val="annotation text"/>
    <w:basedOn w:val="1"/>
    <w:link w:val="37"/>
    <w:semiHidden/>
    <w:unhideWhenUsed/>
    <w:qFormat/>
    <w:uiPriority w:val="99"/>
    <w:rPr>
      <w:sz w:val="20"/>
      <w:szCs w:val="20"/>
    </w:rPr>
  </w:style>
  <w:style w:type="paragraph" w:styleId="11">
    <w:name w:val="endnote text"/>
    <w:basedOn w:val="1"/>
    <w:link w:val="39"/>
    <w:semiHidden/>
    <w:unhideWhenUsed/>
    <w:qFormat/>
    <w:uiPriority w:val="99"/>
    <w:pPr>
      <w:spacing w:after="0"/>
    </w:pPr>
    <w:rPr>
      <w:sz w:val="20"/>
      <w:szCs w:val="20"/>
    </w:rPr>
  </w:style>
  <w:style w:type="paragraph" w:styleId="12">
    <w:name w:val="Balloon Text"/>
    <w:basedOn w:val="1"/>
    <w:link w:val="35"/>
    <w:semiHidden/>
    <w:unhideWhenUsed/>
    <w:uiPriority w:val="99"/>
    <w:pPr>
      <w:spacing w:after="0"/>
    </w:pPr>
    <w:rPr>
      <w:rFonts w:ascii="Tahoma" w:hAnsi="Tahoma" w:cs="Tahoma"/>
      <w:sz w:val="16"/>
      <w:szCs w:val="16"/>
    </w:rPr>
  </w:style>
  <w:style w:type="paragraph" w:styleId="13">
    <w:name w:val="footer"/>
    <w:basedOn w:val="1"/>
    <w:link w:val="40"/>
    <w:unhideWhenUsed/>
    <w:qFormat/>
    <w:uiPriority w:val="99"/>
    <w:pPr>
      <w:tabs>
        <w:tab w:val="center" w:pos="4844"/>
        <w:tab w:val="right" w:pos="9689"/>
      </w:tabs>
      <w:spacing w:after="0"/>
    </w:pPr>
  </w:style>
  <w:style w:type="paragraph" w:styleId="14">
    <w:name w:val="header"/>
    <w:basedOn w:val="1"/>
    <w:link w:val="42"/>
    <w:unhideWhenUsed/>
    <w:qFormat/>
    <w:uiPriority w:val="99"/>
    <w:pPr>
      <w:tabs>
        <w:tab w:val="center" w:pos="4844"/>
        <w:tab w:val="right" w:pos="9689"/>
      </w:tabs>
    </w:pPr>
    <w:rPr>
      <w:b/>
    </w:rPr>
  </w:style>
  <w:style w:type="paragraph" w:styleId="15">
    <w:name w:val="Subtitle"/>
    <w:basedOn w:val="1"/>
    <w:next w:val="1"/>
    <w:link w:val="33"/>
    <w:unhideWhenUsed/>
    <w:qFormat/>
    <w:uiPriority w:val="99"/>
    <w:pPr>
      <w:spacing w:before="240"/>
    </w:pPr>
    <w:rPr>
      <w:rFonts w:cs="Times New Roman"/>
      <w:b/>
      <w:szCs w:val="24"/>
    </w:rPr>
  </w:style>
  <w:style w:type="paragraph" w:styleId="16">
    <w:name w:val="footnote text"/>
    <w:basedOn w:val="1"/>
    <w:link w:val="41"/>
    <w:semiHidden/>
    <w:unhideWhenUsed/>
    <w:qFormat/>
    <w:uiPriority w:val="99"/>
    <w:pPr>
      <w:spacing w:after="0"/>
    </w:pPr>
    <w:rPr>
      <w:sz w:val="20"/>
      <w:szCs w:val="20"/>
    </w:rPr>
  </w:style>
  <w:style w:type="paragraph" w:styleId="17">
    <w:name w:val="Normal (Web)"/>
    <w:basedOn w:val="1"/>
    <w:unhideWhenUsed/>
    <w:qFormat/>
    <w:uiPriority w:val="99"/>
    <w:pPr>
      <w:spacing w:before="100" w:beforeAutospacing="1" w:after="100" w:afterAutospacing="1"/>
    </w:pPr>
    <w:rPr>
      <w:rFonts w:eastAsia="Times New Roman" w:cs="Times New Roman"/>
      <w:szCs w:val="24"/>
    </w:rPr>
  </w:style>
  <w:style w:type="paragraph" w:styleId="18">
    <w:name w:val="Title"/>
    <w:basedOn w:val="1"/>
    <w:next w:val="1"/>
    <w:link w:val="51"/>
    <w:qFormat/>
    <w:uiPriority w:val="0"/>
    <w:pPr>
      <w:suppressLineNumbers/>
      <w:spacing w:before="240" w:after="360"/>
      <w:jc w:val="center"/>
    </w:pPr>
    <w:rPr>
      <w:rFonts w:cs="Times New Roman"/>
      <w:b/>
      <w:sz w:val="32"/>
      <w:szCs w:val="32"/>
    </w:rPr>
  </w:style>
  <w:style w:type="paragraph" w:styleId="19">
    <w:name w:val="annotation subject"/>
    <w:basedOn w:val="10"/>
    <w:next w:val="10"/>
    <w:link w:val="38"/>
    <w:semiHidden/>
    <w:unhideWhenUsed/>
    <w:qFormat/>
    <w:uiPriority w:val="99"/>
    <w:rPr>
      <w:b/>
      <w:bCs/>
    </w:rPr>
  </w:style>
  <w:style w:type="table" w:styleId="21">
    <w:name w:val="Table Grid"/>
    <w:basedOn w:val="20"/>
    <w:qFormat/>
    <w:uiPriority w:val="59"/>
    <w:pPr>
      <w:spacing w:after="0" w:line="240" w:lineRule="auto"/>
    </w:pPr>
    <w:rPr>
      <w:rFonts w:asciiTheme="majorHAnsi" w:hAnsiTheme="maj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rFonts w:ascii="Times New Roman" w:hAnsi="Times New Roman"/>
      <w:b/>
      <w:bCs/>
    </w:rPr>
  </w:style>
  <w:style w:type="character" w:styleId="24">
    <w:name w:val="endnote reference"/>
    <w:basedOn w:val="22"/>
    <w:semiHidden/>
    <w:unhideWhenUsed/>
    <w:qFormat/>
    <w:uiPriority w:val="99"/>
    <w:rPr>
      <w:vertAlign w:val="superscript"/>
    </w:rPr>
  </w:style>
  <w:style w:type="character" w:styleId="25">
    <w:name w:val="FollowedHyperlink"/>
    <w:basedOn w:val="22"/>
    <w:semiHidden/>
    <w:unhideWhenUsed/>
    <w:qFormat/>
    <w:uiPriority w:val="99"/>
    <w:rPr>
      <w:color w:val="800080" w:themeColor="followedHyperlink"/>
      <w:u w:val="single"/>
      <w14:textFill>
        <w14:solidFill>
          <w14:schemeClr w14:val="folHlink"/>
        </w14:solidFill>
      </w14:textFill>
    </w:rPr>
  </w:style>
  <w:style w:type="character" w:styleId="26">
    <w:name w:val="Emphasis"/>
    <w:basedOn w:val="22"/>
    <w:qFormat/>
    <w:uiPriority w:val="20"/>
    <w:rPr>
      <w:rFonts w:ascii="Times New Roman" w:hAnsi="Times New Roman"/>
      <w:i/>
      <w:iCs/>
    </w:rPr>
  </w:style>
  <w:style w:type="character" w:styleId="27">
    <w:name w:val="line number"/>
    <w:basedOn w:val="22"/>
    <w:semiHidden/>
    <w:unhideWhenUsed/>
    <w:qFormat/>
    <w:uiPriority w:val="99"/>
  </w:style>
  <w:style w:type="character" w:styleId="28">
    <w:name w:val="Hyperlink"/>
    <w:basedOn w:val="22"/>
    <w:unhideWhenUsed/>
    <w:qFormat/>
    <w:uiPriority w:val="99"/>
    <w:rPr>
      <w:color w:val="0000FF"/>
      <w:u w:val="single"/>
    </w:rPr>
  </w:style>
  <w:style w:type="character" w:styleId="29">
    <w:name w:val="annotation reference"/>
    <w:basedOn w:val="22"/>
    <w:semiHidden/>
    <w:unhideWhenUsed/>
    <w:qFormat/>
    <w:uiPriority w:val="99"/>
    <w:rPr>
      <w:sz w:val="16"/>
      <w:szCs w:val="16"/>
    </w:rPr>
  </w:style>
  <w:style w:type="character" w:styleId="30">
    <w:name w:val="footnote reference"/>
    <w:basedOn w:val="22"/>
    <w:semiHidden/>
    <w:unhideWhenUsed/>
    <w:qFormat/>
    <w:uiPriority w:val="99"/>
    <w:rPr>
      <w:vertAlign w:val="superscript"/>
    </w:rPr>
  </w:style>
  <w:style w:type="character" w:customStyle="1" w:styleId="31">
    <w:name w:val="Heading 1 Char"/>
    <w:basedOn w:val="22"/>
    <w:link w:val="2"/>
    <w:qFormat/>
    <w:uiPriority w:val="2"/>
    <w:rPr>
      <w:rFonts w:ascii="Times New Roman" w:hAnsi="Times New Roman" w:eastAsia="Cambria" w:cs="Times New Roman"/>
      <w:b/>
      <w:sz w:val="24"/>
      <w:szCs w:val="24"/>
    </w:rPr>
  </w:style>
  <w:style w:type="character" w:customStyle="1" w:styleId="32">
    <w:name w:val="Heading 2 Char"/>
    <w:basedOn w:val="22"/>
    <w:link w:val="4"/>
    <w:qFormat/>
    <w:uiPriority w:val="2"/>
    <w:rPr>
      <w:rFonts w:ascii="Times New Roman" w:hAnsi="Times New Roman" w:eastAsia="Cambria" w:cs="Times New Roman"/>
      <w:b/>
      <w:sz w:val="24"/>
      <w:szCs w:val="24"/>
    </w:rPr>
  </w:style>
  <w:style w:type="character" w:customStyle="1" w:styleId="33">
    <w:name w:val="Subtitle Char"/>
    <w:basedOn w:val="22"/>
    <w:link w:val="15"/>
    <w:qFormat/>
    <w:uiPriority w:val="99"/>
    <w:rPr>
      <w:rFonts w:ascii="Times New Roman" w:hAnsi="Times New Roman" w:cs="Times New Roman"/>
      <w:b/>
      <w:sz w:val="24"/>
      <w:szCs w:val="24"/>
    </w:rPr>
  </w:style>
  <w:style w:type="paragraph" w:customStyle="1" w:styleId="34">
    <w:name w:val="Author List"/>
    <w:basedOn w:val="15"/>
    <w:next w:val="1"/>
    <w:qFormat/>
    <w:uiPriority w:val="1"/>
  </w:style>
  <w:style w:type="character" w:customStyle="1" w:styleId="35">
    <w:name w:val="Balloon Text Char"/>
    <w:basedOn w:val="22"/>
    <w:link w:val="12"/>
    <w:semiHidden/>
    <w:qFormat/>
    <w:uiPriority w:val="99"/>
    <w:rPr>
      <w:rFonts w:ascii="Tahoma" w:hAnsi="Tahoma" w:cs="Tahoma"/>
      <w:sz w:val="16"/>
      <w:szCs w:val="16"/>
    </w:rPr>
  </w:style>
  <w:style w:type="character" w:customStyle="1" w:styleId="36">
    <w:name w:val="Book Title"/>
    <w:basedOn w:val="22"/>
    <w:qFormat/>
    <w:uiPriority w:val="33"/>
    <w:rPr>
      <w:rFonts w:ascii="Times New Roman" w:hAnsi="Times New Roman"/>
      <w:b/>
      <w:bCs/>
      <w:i/>
      <w:iCs/>
      <w:spacing w:val="5"/>
    </w:rPr>
  </w:style>
  <w:style w:type="character" w:customStyle="1" w:styleId="37">
    <w:name w:val="Comment Text Char"/>
    <w:basedOn w:val="22"/>
    <w:link w:val="10"/>
    <w:semiHidden/>
    <w:qFormat/>
    <w:uiPriority w:val="99"/>
    <w:rPr>
      <w:rFonts w:ascii="Times New Roman" w:hAnsi="Times New Roman"/>
      <w:sz w:val="20"/>
      <w:szCs w:val="20"/>
    </w:rPr>
  </w:style>
  <w:style w:type="character" w:customStyle="1" w:styleId="38">
    <w:name w:val="Comment Subject Char"/>
    <w:basedOn w:val="37"/>
    <w:link w:val="19"/>
    <w:semiHidden/>
    <w:qFormat/>
    <w:uiPriority w:val="99"/>
    <w:rPr>
      <w:rFonts w:ascii="Times New Roman" w:hAnsi="Times New Roman"/>
      <w:b/>
      <w:bCs/>
      <w:sz w:val="20"/>
      <w:szCs w:val="20"/>
    </w:rPr>
  </w:style>
  <w:style w:type="character" w:customStyle="1" w:styleId="39">
    <w:name w:val="Endnote Text Char"/>
    <w:basedOn w:val="22"/>
    <w:link w:val="11"/>
    <w:semiHidden/>
    <w:qFormat/>
    <w:uiPriority w:val="99"/>
    <w:rPr>
      <w:rFonts w:ascii="Times New Roman" w:hAnsi="Times New Roman"/>
      <w:sz w:val="20"/>
      <w:szCs w:val="20"/>
    </w:rPr>
  </w:style>
  <w:style w:type="character" w:customStyle="1" w:styleId="40">
    <w:name w:val="Footer Char"/>
    <w:basedOn w:val="22"/>
    <w:link w:val="13"/>
    <w:qFormat/>
    <w:uiPriority w:val="99"/>
    <w:rPr>
      <w:rFonts w:ascii="Times New Roman" w:hAnsi="Times New Roman"/>
      <w:sz w:val="24"/>
    </w:rPr>
  </w:style>
  <w:style w:type="character" w:customStyle="1" w:styleId="41">
    <w:name w:val="Footnote Text Char"/>
    <w:basedOn w:val="22"/>
    <w:link w:val="16"/>
    <w:semiHidden/>
    <w:qFormat/>
    <w:uiPriority w:val="99"/>
    <w:rPr>
      <w:rFonts w:ascii="Times New Roman" w:hAnsi="Times New Roman"/>
      <w:sz w:val="20"/>
      <w:szCs w:val="20"/>
    </w:rPr>
  </w:style>
  <w:style w:type="character" w:customStyle="1" w:styleId="42">
    <w:name w:val="Header Char"/>
    <w:basedOn w:val="22"/>
    <w:link w:val="14"/>
    <w:qFormat/>
    <w:uiPriority w:val="99"/>
    <w:rPr>
      <w:rFonts w:ascii="Times New Roman" w:hAnsi="Times New Roman"/>
      <w:b/>
      <w:sz w:val="24"/>
    </w:rPr>
  </w:style>
  <w:style w:type="character" w:customStyle="1" w:styleId="43">
    <w:name w:val="Intense Emphasis"/>
    <w:basedOn w:val="22"/>
    <w:unhideWhenUsed/>
    <w:qFormat/>
    <w:uiPriority w:val="21"/>
    <w:rPr>
      <w:rFonts w:ascii="Times New Roman" w:hAnsi="Times New Roman"/>
      <w:i/>
      <w:iCs/>
      <w:color w:val="auto"/>
    </w:rPr>
  </w:style>
  <w:style w:type="character" w:customStyle="1" w:styleId="44">
    <w:name w:val="Intense Reference"/>
    <w:basedOn w:val="22"/>
    <w:qFormat/>
    <w:uiPriority w:val="32"/>
    <w:rPr>
      <w:b/>
      <w:bCs/>
      <w:smallCaps/>
      <w:color w:val="auto"/>
      <w:spacing w:val="5"/>
    </w:rPr>
  </w:style>
  <w:style w:type="character" w:customStyle="1" w:styleId="45">
    <w:name w:val="Heading 3 Char"/>
    <w:basedOn w:val="22"/>
    <w:link w:val="5"/>
    <w:qFormat/>
    <w:uiPriority w:val="2"/>
    <w:rPr>
      <w:rFonts w:ascii="Times New Roman" w:hAnsi="Times New Roman" w:eastAsiaTheme="majorEastAsia" w:cstheme="majorBidi"/>
      <w:b/>
      <w:sz w:val="24"/>
      <w:szCs w:val="24"/>
    </w:rPr>
  </w:style>
  <w:style w:type="character" w:customStyle="1" w:styleId="46">
    <w:name w:val="Heading 4 Char"/>
    <w:basedOn w:val="22"/>
    <w:link w:val="6"/>
    <w:qFormat/>
    <w:uiPriority w:val="2"/>
    <w:rPr>
      <w:rFonts w:ascii="Times New Roman" w:hAnsi="Times New Roman" w:eastAsiaTheme="majorEastAsia" w:cstheme="majorBidi"/>
      <w:b/>
      <w:iCs/>
      <w:sz w:val="24"/>
      <w:szCs w:val="24"/>
    </w:rPr>
  </w:style>
  <w:style w:type="character" w:customStyle="1" w:styleId="47">
    <w:name w:val="Heading 5 Char"/>
    <w:basedOn w:val="22"/>
    <w:link w:val="7"/>
    <w:qFormat/>
    <w:uiPriority w:val="2"/>
    <w:rPr>
      <w:rFonts w:ascii="Times New Roman" w:hAnsi="Times New Roman" w:eastAsiaTheme="majorEastAsia" w:cstheme="majorBidi"/>
      <w:b/>
      <w:iCs/>
      <w:sz w:val="24"/>
      <w:szCs w:val="24"/>
    </w:rPr>
  </w:style>
  <w:style w:type="paragraph" w:styleId="48">
    <w:name w:val="Quote"/>
    <w:basedOn w:val="1"/>
    <w:next w:val="1"/>
    <w:link w:val="49"/>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49">
    <w:name w:val="Quote Char"/>
    <w:basedOn w:val="22"/>
    <w:link w:val="48"/>
    <w:qFormat/>
    <w:uiPriority w:val="29"/>
    <w:rPr>
      <w:rFonts w:ascii="Times New Roman" w:hAnsi="Times New Roman"/>
      <w:i/>
      <w:iCs/>
      <w:color w:val="404040" w:themeColor="text1" w:themeTint="BF"/>
      <w:sz w:val="24"/>
      <w14:textFill>
        <w14:solidFill>
          <w14:schemeClr w14:val="tx1">
            <w14:lumMod w14:val="75000"/>
            <w14:lumOff w14:val="25000"/>
          </w14:schemeClr>
        </w14:solidFill>
      </w14:textFill>
    </w:rPr>
  </w:style>
  <w:style w:type="character" w:customStyle="1" w:styleId="50">
    <w:name w:val="Subtle Emphasis"/>
    <w:basedOn w:val="22"/>
    <w:qFormat/>
    <w:uiPriority w:val="19"/>
    <w:rPr>
      <w:rFonts w:ascii="Times New Roman" w:hAnsi="Times New Roman"/>
      <w:i/>
      <w:iCs/>
      <w:color w:val="404040" w:themeColor="text1" w:themeTint="BF"/>
      <w14:textFill>
        <w14:solidFill>
          <w14:schemeClr w14:val="tx1">
            <w14:lumMod w14:val="75000"/>
            <w14:lumOff w14:val="25000"/>
          </w14:schemeClr>
        </w14:solidFill>
      </w14:textFill>
    </w:rPr>
  </w:style>
  <w:style w:type="character" w:customStyle="1" w:styleId="51">
    <w:name w:val="Title Char"/>
    <w:basedOn w:val="22"/>
    <w:link w:val="18"/>
    <w:qFormat/>
    <w:uiPriority w:val="0"/>
    <w:rPr>
      <w:rFonts w:ascii="Times New Roman" w:hAnsi="Times New Roman" w:cs="Times New Roman"/>
      <w:b/>
      <w:sz w:val="32"/>
      <w:szCs w:val="32"/>
    </w:rPr>
  </w:style>
  <w:style w:type="paragraph" w:customStyle="1" w:styleId="52">
    <w:name w:val="Supplementary Material"/>
    <w:basedOn w:val="18"/>
    <w:next w:val="18"/>
    <w:qFormat/>
    <w:uiPriority w:val="0"/>
    <w:pPr>
      <w:spacing w:after="120"/>
    </w:pPr>
    <w:rPr>
      <w:i/>
    </w:rPr>
  </w:style>
  <w:style w:type="paragraph" w:customStyle="1" w:styleId="53">
    <w:name w:val="Revision"/>
    <w:hidden/>
    <w:semiHidden/>
    <w:qFormat/>
    <w:uiPriority w:val="99"/>
    <w:pPr>
      <w:spacing w:after="0" w:line="240" w:lineRule="auto"/>
    </w:pPr>
    <w:rPr>
      <w:rFonts w:ascii="Times New Roman" w:hAnsi="Times New Roman" w:eastAsiaTheme="minorHAnsi" w:cstheme="minorBidi"/>
      <w:sz w:val="24"/>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6.xml"/><Relationship Id="rId15" Type="http://schemas.openxmlformats.org/officeDocument/2006/relationships/customXml" Target="../customXml/item5.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nnah.eccles\OneDrive%20-%20Frontiers%20Media%20SA\Documents\Latex%20work\Sep%202022_link%20updates\Supplementary_Materi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26445AF306EBB441B7A6158762C40D43" ma:contentTypeVersion="28" ma:contentTypeDescription="Create a new document." ma:contentTypeScope="" ma:versionID="885ac53139f20652f850277d10459b85">
  <xsd:schema xmlns:xsd="http://www.w3.org/2001/XMLSchema" xmlns:xs="http://www.w3.org/2001/XMLSchema" xmlns:p="http://schemas.microsoft.com/office/2006/metadata/properties" xmlns:ns2="26005759-6815-4540-b8ea-913958d74f23" xmlns:ns3="970c08f3-bdc0-46be-888b-e62464d9f78c" targetNamespace="http://schemas.microsoft.com/office/2006/metadata/properties" ma:root="true" ma:fieldsID="b20dbcea35cbef169bcf39aab5233ab6" ns2:_="" ns3:_="">
    <xsd:import namespace="26005759-6815-4540-b8ea-913958d74f23"/>
    <xsd:import namespace="970c08f3-bdc0-46be-888b-e62464d9f78c"/>
    <xsd:element name="properties">
      <xsd:complexType>
        <xsd:sequence>
          <xsd:element name="documentManagement">
            <xsd:complexType>
              <xsd:all>
                <xsd:element ref="ns2:_dlc_DocIdUrl" minOccurs="0"/>
                <xsd:element ref="ns2:_dlc_DocId"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DateTaken" minOccurs="0"/>
                <xsd:element ref="ns3:Status" minOccurs="0"/>
                <xsd:element ref="ns3:Lead" minOccurs="0"/>
                <xsd:element ref="ns3:Description" minOccurs="0"/>
                <xsd:element ref="ns3:_Flow_SignoffStatu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05759-6815-4540-b8ea-913958d74f23" elementFormDefault="qualified">
    <xsd:import namespace="http://schemas.microsoft.com/office/2006/documentManagement/types"/>
    <xsd:import namespace="http://schemas.microsoft.com/office/infopath/2007/PartnerControls"/>
    <xsd:element name="_dlc_DocIdUrl" ma:index="2"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7" nillable="true" ma:displayName="Document ID Value" ma:description="The value of the document ID assigned to this item." ma:hidden="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element name="TaxCatchAll" ma:index="29" nillable="true" ma:displayName="Taxonomy Catch All Column" ma:hidden="true" ma:list="{43fa7804-5c1f-47ca-a814-a80f2ff05ca7}" ma:internalName="TaxCatchAll" ma:showField="CatchAllData" ma:web="26005759-6815-4540-b8ea-913958d74f2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70c08f3-bdc0-46be-888b-e62464d9f7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hidden="true" ma:internalName="MediaServiceKeyPoints"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Status" ma:index="18" nillable="true" ma:displayName="Status" ma:default="New" ma:description="Archive function" ma:format="Dropdown" ma:internalName="Status">
      <xsd:simpleType>
        <xsd:restriction base="dms:Choice">
          <xsd:enumeration value="New"/>
          <xsd:enumeration value="Ongoing"/>
          <xsd:enumeration value="Finished"/>
        </xsd:restriction>
      </xsd:simpleType>
    </xsd:element>
    <xsd:element name="Lead" ma:index="19" nillable="true" ma:displayName="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scription" ma:index="20" nillable="true" ma:displayName="Description" ma:format="Dropdown" ma:internalName="Description">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65d274b-74f9-43c9-a5ca-fb7fe75b76d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26005759-6815-4540-b8ea-913958d74f23">FRONDOC-1086935359-10119</_dlc_DocId>
    <_dlc_DocIdUrl xmlns="26005759-6815-4540-b8ea-913958d74f23">
      <Url>https://frontiersin.sharepoint.com/Publishing/PubOps/Production/_layouts/15/DocIdRedir.aspx?ID=FRONDOC-1086935359-10119</Url>
      <Description>FRONDOC-1086935359-10119</Description>
    </_dlc_DocIdUrl>
    <_dlc_DocIdPersistId xmlns="26005759-6815-4540-b8ea-913958d74f23">false</_dlc_DocIdPersistId>
    <Description xmlns="970c08f3-bdc0-46be-888b-e62464d9f78c" xsi:nil="true"/>
    <Lead xmlns="970c08f3-bdc0-46be-888b-e62464d9f78c">
      <UserInfo>
        <DisplayName/>
        <AccountId xsi:nil="true"/>
        <AccountType/>
      </UserInfo>
    </Lead>
    <Status xmlns="970c08f3-bdc0-46be-888b-e62464d9f78c">New</Status>
    <_Flow_SignoffStatus xmlns="970c08f3-bdc0-46be-888b-e62464d9f78c" xsi:nil="true"/>
    <SharedWithUsers xmlns="26005759-6815-4540-b8ea-913958d74f23">
      <UserInfo>
        <DisplayName/>
        <AccountId xsi:nil="true"/>
        <AccountType/>
      </UserInfo>
    </SharedWithUsers>
    <lcf76f155ced4ddcb4097134ff3c332f xmlns="970c08f3-bdc0-46be-888b-e62464d9f78c">
      <Terms xmlns="http://schemas.microsoft.com/office/infopath/2007/PartnerControls"/>
    </lcf76f155ced4ddcb4097134ff3c332f>
    <TaxCatchAll xmlns="26005759-6815-4540-b8ea-913958d74f23"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F441E3-103C-4487-877D-08CD22337C19}">
  <ds:schemaRefs/>
</ds:datastoreItem>
</file>

<file path=customXml/itemProps3.xml><?xml version="1.0" encoding="utf-8"?>
<ds:datastoreItem xmlns:ds="http://schemas.openxmlformats.org/officeDocument/2006/customXml" ds:itemID="{114314AF-3C36-4C2C-B599-40A76C6FFFC1}">
  <ds:schemaRefs/>
</ds:datastoreItem>
</file>

<file path=customXml/itemProps4.xml><?xml version="1.0" encoding="utf-8"?>
<ds:datastoreItem xmlns:ds="http://schemas.openxmlformats.org/officeDocument/2006/customXml" ds:itemID="{2558679B-78FB-42CD-A1EA-A99096AF5568}">
  <ds:schemaRefs/>
</ds:datastoreItem>
</file>

<file path=customXml/itemProps5.xml><?xml version="1.0" encoding="utf-8"?>
<ds:datastoreItem xmlns:ds="http://schemas.openxmlformats.org/officeDocument/2006/customXml" ds:itemID="{4B2E0E22-D442-4EBE-AAA2-EDC8871E7B41}">
  <ds:schemaRefs/>
</ds:datastoreItem>
</file>

<file path=customXml/itemProps6.xml><?xml version="1.0" encoding="utf-8"?>
<ds:datastoreItem xmlns:ds="http://schemas.openxmlformats.org/officeDocument/2006/customXml" ds:itemID="{A3D4929F-83D0-432F-8F82-6D4423C25F5E}">
  <ds:schemaRefs/>
</ds:datastoreItem>
</file>

<file path=docProps/app.xml><?xml version="1.0" encoding="utf-8"?>
<Properties xmlns="http://schemas.openxmlformats.org/officeDocument/2006/extended-properties" xmlns:vt="http://schemas.openxmlformats.org/officeDocument/2006/docPropsVTypes">
  <Template>Supplementary_Material.dotx</Template>
  <Pages>12</Pages>
  <Words>2116</Words>
  <Characters>12771</Characters>
  <Lines>6</Lines>
  <Paragraphs>1</Paragraphs>
  <TotalTime>1</TotalTime>
  <ScaleCrop>false</ScaleCrop>
  <LinksUpToDate>false</LinksUpToDate>
  <CharactersWithSpaces>14182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2022-11-17T16:58:00Z</dcterms:created>
  <dc:creator>Frontiers</dc:creator>
  <cp:lastModifiedBy>牟洋</cp:lastModifiedBy>
  <cp:lastPrinted>2013-10-03T12:51:00Z</cp:lastPrinted>
  <dcterms:modified xsi:type="dcterms:W3CDTF">2025-09-02T12:36:42Z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0x01010026445AF306EBB441B7A6158762C40D43</vt:lpwstr>
  </property>
  <property fmtid="{D5CDD505-2E9C-101B-9397-08002B2CF9AE}" pid="3" name="_dlc_DocIdItemGuid">
    <vt:lpwstr>f82bb101-9b00-462e-af01-9a0e7ec06274</vt:lpwstr>
  </property>
  <property fmtid="{D5CDD505-2E9C-101B-9397-08002B2CF9AE}" pid="4" name="Order">
    <vt:r8>1011900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KSOProductBuildVer">
    <vt:lpwstr>2052-11.1.0.14036</vt:lpwstr>
  </property>
  <property fmtid="{D5CDD505-2E9C-101B-9397-08002B2CF9AE}" pid="11" name="ICV">
    <vt:lpwstr>E1B23C036ACE499ABFC28A2F872C70FE_12</vt:lpwstr>
  </property>
</Properties>
</file>