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9F32" w14:textId="658243B4" w:rsidR="006D7A0A" w:rsidRDefault="006D7A0A" w:rsidP="007D01EB">
      <w:pPr>
        <w:rPr>
          <w:b/>
          <w:color w:val="000000"/>
        </w:rPr>
      </w:pPr>
    </w:p>
    <w:p w14:paraId="56D169C0" w14:textId="3EFC44CA" w:rsidR="006D7A0A" w:rsidRDefault="006D7A0A" w:rsidP="007D01EB">
      <w:pPr>
        <w:rPr>
          <w:b/>
          <w:color w:val="000000"/>
        </w:rPr>
      </w:pPr>
    </w:p>
    <w:p w14:paraId="4433F65D" w14:textId="1B3BF219" w:rsidR="006D7A0A" w:rsidRDefault="006D7A0A" w:rsidP="007D01EB">
      <w:pPr>
        <w:rPr>
          <w:b/>
          <w:color w:val="000000"/>
        </w:rPr>
      </w:pPr>
    </w:p>
    <w:p w14:paraId="5E9933E5" w14:textId="19E694D1" w:rsidR="006D7A0A" w:rsidRDefault="006D7A0A" w:rsidP="007D01EB">
      <w:pPr>
        <w:rPr>
          <w:b/>
          <w:color w:val="000000"/>
        </w:rPr>
      </w:pPr>
    </w:p>
    <w:p w14:paraId="6A6B841A" w14:textId="7A655257" w:rsidR="006D7A0A" w:rsidRDefault="006D7A0A" w:rsidP="007D01EB">
      <w:pPr>
        <w:rPr>
          <w:b/>
          <w:color w:val="000000"/>
        </w:rPr>
      </w:pPr>
    </w:p>
    <w:p w14:paraId="609DD6F3" w14:textId="564A45D1" w:rsidR="007D01EB" w:rsidRDefault="007D01EB" w:rsidP="007D01EB">
      <w:pPr>
        <w:rPr>
          <w:b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7768A4D2" wp14:editId="66A1176C">
            <wp:simplePos x="0" y="0"/>
            <wp:positionH relativeFrom="margin">
              <wp:posOffset>-743584</wp:posOffset>
            </wp:positionH>
            <wp:positionV relativeFrom="margin">
              <wp:posOffset>1395095</wp:posOffset>
            </wp:positionV>
            <wp:extent cx="9646285" cy="2134235"/>
            <wp:effectExtent l="0" t="0" r="0" b="0"/>
            <wp:wrapSquare wrapText="bothSides" distT="0" distB="0" distL="114300" distR="114300"/>
            <wp:docPr id="1785099228" name="image1.png" descr="A graph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99228" name="image1.png" descr="A graph on a white backgroun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6285" cy="2134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AC428D" w14:textId="3F61CEA2" w:rsidR="007D01EB" w:rsidRDefault="007D01EB" w:rsidP="007D01EB">
      <w:pPr>
        <w:rPr>
          <w:b/>
          <w:color w:val="000000"/>
        </w:rPr>
      </w:pPr>
      <w:r>
        <w:rPr>
          <w:b/>
          <w:color w:val="404040"/>
        </w:rPr>
        <w:t xml:space="preserve">Figure </w:t>
      </w:r>
      <w:r w:rsidR="000A7343">
        <w:rPr>
          <w:b/>
          <w:color w:val="404040"/>
        </w:rPr>
        <w:t>S</w:t>
      </w:r>
      <w:r>
        <w:rPr>
          <w:b/>
          <w:color w:val="404040"/>
        </w:rPr>
        <w:t xml:space="preserve">1. Cumulative monthly vaccination rate of eligible individuals in (A) Manitoba, (B) Ontario, and (C) Newfoundland by income quintile (Dec 2020-Mar 2022). </w:t>
      </w:r>
      <w:r>
        <w:rPr>
          <w:color w:val="404040"/>
        </w:rPr>
        <w:t>Q5 is the lowest income quintile and Q1 is the highest income quintile.</w:t>
      </w:r>
      <w:r w:rsidR="00206A01" w:rsidRPr="00206A01">
        <w:t xml:space="preserve"> </w:t>
      </w:r>
      <w:r w:rsidR="00206A01" w:rsidRPr="00206A01">
        <w:rPr>
          <w:color w:val="404040"/>
        </w:rPr>
        <w:t>Rates were calculated using the eligible population in each month as the denominator; as eligibility expanded over time, this may result in apparent dips in the cumulative curves.</w:t>
      </w:r>
    </w:p>
    <w:p w14:paraId="408201A6" w14:textId="77777777" w:rsidR="007D01EB" w:rsidRDefault="007D01EB" w:rsidP="007D01EB">
      <w:pPr>
        <w:rPr>
          <w:b/>
          <w:color w:val="000000"/>
        </w:rPr>
      </w:pPr>
    </w:p>
    <w:p w14:paraId="568622C2" w14:textId="77777777" w:rsidR="007D01EB" w:rsidRDefault="007D01EB" w:rsidP="007D01EB">
      <w:pPr>
        <w:rPr>
          <w:b/>
          <w:color w:val="000000"/>
        </w:rPr>
      </w:pPr>
    </w:p>
    <w:p w14:paraId="72F04411" w14:textId="77777777" w:rsidR="007D01EB" w:rsidRDefault="007D01EB" w:rsidP="007D01EB">
      <w:pPr>
        <w:rPr>
          <w:b/>
          <w:color w:val="000000"/>
        </w:rPr>
      </w:pPr>
    </w:p>
    <w:p w14:paraId="067026FB" w14:textId="77777777" w:rsidR="007D01EB" w:rsidRDefault="007D01EB" w:rsidP="007D01EB">
      <w:pPr>
        <w:rPr>
          <w:b/>
          <w:color w:val="000000"/>
        </w:rPr>
      </w:pPr>
    </w:p>
    <w:p w14:paraId="179426C1" w14:textId="77777777" w:rsidR="007D01EB" w:rsidRDefault="007D01EB" w:rsidP="007D01EB">
      <w:pPr>
        <w:rPr>
          <w:b/>
          <w:color w:val="000000"/>
        </w:rPr>
      </w:pPr>
    </w:p>
    <w:p w14:paraId="299F7D1A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  <w:r>
        <w:rPr>
          <w:b/>
          <w:color w:val="000000"/>
        </w:rPr>
        <w:lastRenderedPageBreak/>
        <w:tab/>
      </w:r>
    </w:p>
    <w:p w14:paraId="668F10C1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72EF4889" wp14:editId="178A2664">
            <wp:extent cx="8787384" cy="2822122"/>
            <wp:effectExtent l="0" t="0" r="0" b="0"/>
            <wp:docPr id="1785099232" name="image6.png" descr="A graph of a person with a blue lin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99232" name="image6.png" descr="A graph of a person with a blue line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7384" cy="28221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82B2CD" w14:textId="2640EDC7" w:rsidR="007D01EB" w:rsidRDefault="007D01EB" w:rsidP="007D01EB">
      <w:pPr>
        <w:rPr>
          <w:b/>
          <w:color w:val="404040"/>
        </w:rPr>
      </w:pPr>
      <w:r>
        <w:rPr>
          <w:b/>
          <w:color w:val="404040"/>
        </w:rPr>
        <w:t xml:space="preserve">Figure </w:t>
      </w:r>
      <w:r w:rsidR="000A7343">
        <w:rPr>
          <w:b/>
          <w:color w:val="404040"/>
        </w:rPr>
        <w:t>S</w:t>
      </w:r>
      <w:r>
        <w:rPr>
          <w:b/>
          <w:color w:val="404040"/>
        </w:rPr>
        <w:t xml:space="preserve">2. Cumulative monthly vaccination rate of eligible individuals in (A) Manitoba and (B) Ontario by immigration status (Dec 2020-Mar 2022). </w:t>
      </w:r>
      <w:r>
        <w:rPr>
          <w:color w:val="404040"/>
        </w:rPr>
        <w:t xml:space="preserve">Anyone who was born in Canada or immigrated more than 15 years ago was classified as </w:t>
      </w:r>
      <w:proofErr w:type="gramStart"/>
      <w:r>
        <w:rPr>
          <w:color w:val="404040"/>
        </w:rPr>
        <w:t>a</w:t>
      </w:r>
      <w:r w:rsidR="008B3821">
        <w:rPr>
          <w:color w:val="404040"/>
        </w:rPr>
        <w:t>n</w:t>
      </w:r>
      <w:proofErr w:type="gramEnd"/>
      <w:r>
        <w:rPr>
          <w:color w:val="404040"/>
        </w:rPr>
        <w:t xml:space="preserve"> </w:t>
      </w:r>
      <w:r w:rsidR="00BE6C8D">
        <w:rPr>
          <w:color w:val="404040"/>
        </w:rPr>
        <w:t>non-</w:t>
      </w:r>
      <w:r>
        <w:rPr>
          <w:color w:val="404040"/>
        </w:rPr>
        <w:t>immigrant. Anyone who immigrated to Canada in the last 15 years was considered an immigrant.</w:t>
      </w:r>
      <w:r w:rsidR="00206A01">
        <w:rPr>
          <w:color w:val="404040"/>
        </w:rPr>
        <w:t xml:space="preserve"> </w:t>
      </w:r>
      <w:r w:rsidR="00206A01" w:rsidRPr="00206A01">
        <w:rPr>
          <w:color w:val="404040"/>
        </w:rPr>
        <w:t>Rates were calculated using the eligible population in each month as the denominator; as eligibility expanded over time, this may result in apparent dips in the cumulative curves.</w:t>
      </w:r>
    </w:p>
    <w:p w14:paraId="46123186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4302AD5B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58C1676E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0EA9CBF8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230296E1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3562E88A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2E7FD5D1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793A8B0A" w14:textId="77777777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55F4EFD9" w14:textId="6647A84F" w:rsidR="007D01EB" w:rsidRDefault="007D01EB" w:rsidP="007D01EB">
      <w:pPr>
        <w:tabs>
          <w:tab w:val="left" w:pos="1065"/>
        </w:tabs>
        <w:rPr>
          <w:b/>
          <w:color w:val="000000"/>
        </w:rPr>
      </w:pPr>
    </w:p>
    <w:p w14:paraId="35D5B517" w14:textId="7A229C42" w:rsidR="006D7A0A" w:rsidRDefault="006D7A0A" w:rsidP="007D01EB">
      <w:pPr>
        <w:tabs>
          <w:tab w:val="left" w:pos="1065"/>
        </w:tabs>
        <w:rPr>
          <w:b/>
          <w:color w:val="000000"/>
        </w:rPr>
      </w:pPr>
    </w:p>
    <w:p w14:paraId="590C562E" w14:textId="26D45708" w:rsidR="006D7A0A" w:rsidRDefault="006D7A0A" w:rsidP="007D01EB">
      <w:pPr>
        <w:tabs>
          <w:tab w:val="left" w:pos="1065"/>
        </w:tabs>
        <w:rPr>
          <w:b/>
          <w:color w:val="000000"/>
        </w:rPr>
      </w:pPr>
    </w:p>
    <w:p w14:paraId="30A2435B" w14:textId="55042181" w:rsidR="007D01EB" w:rsidRPr="006D7A0A" w:rsidRDefault="006D7A0A" w:rsidP="006D7A0A">
      <w:pPr>
        <w:tabs>
          <w:tab w:val="left" w:pos="1065"/>
        </w:tabs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8241" behindDoc="0" locked="0" layoutInCell="1" hidden="0" allowOverlap="1" wp14:anchorId="0AD13EE8" wp14:editId="30E765A8">
            <wp:simplePos x="0" y="0"/>
            <wp:positionH relativeFrom="margin">
              <wp:posOffset>-745490</wp:posOffset>
            </wp:positionH>
            <wp:positionV relativeFrom="margin">
              <wp:posOffset>1220275</wp:posOffset>
            </wp:positionV>
            <wp:extent cx="9773285" cy="2486025"/>
            <wp:effectExtent l="0" t="0" r="0" b="0"/>
            <wp:wrapSquare wrapText="bothSides" distT="0" distB="0" distL="114300" distR="114300"/>
            <wp:docPr id="1785099233" name="image3.png" descr="A graph with a li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graph with a line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3285" cy="248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FEC6A2" w14:textId="29B6E1EB" w:rsidR="007D01EB" w:rsidRDefault="007D01EB" w:rsidP="007D01EB">
      <w:pPr>
        <w:rPr>
          <w:b/>
          <w:color w:val="404040"/>
        </w:rPr>
      </w:pPr>
      <w:r>
        <w:rPr>
          <w:b/>
          <w:color w:val="404040"/>
        </w:rPr>
        <w:t xml:space="preserve">Figure </w:t>
      </w:r>
      <w:r w:rsidR="000A7343">
        <w:rPr>
          <w:b/>
          <w:color w:val="404040"/>
        </w:rPr>
        <w:t>S</w:t>
      </w:r>
      <w:r>
        <w:rPr>
          <w:b/>
          <w:color w:val="404040"/>
        </w:rPr>
        <w:t xml:space="preserve">3. Cumulative monthly population vaccination rate by proportion of visible minorities in (A) Manitoba, (B) Ontario, and (C) Newfoundland (Dec 2020-Mar 2022). </w:t>
      </w:r>
      <w:r>
        <w:rPr>
          <w:color w:val="404040"/>
        </w:rPr>
        <w:t>Q5 is the quintile with the highest proportion of individuals identifying as a visible minority.</w:t>
      </w:r>
      <w:r w:rsidR="00713A39">
        <w:rPr>
          <w:color w:val="404040"/>
        </w:rPr>
        <w:t xml:space="preserve"> </w:t>
      </w:r>
      <w:r w:rsidR="00713A39" w:rsidRPr="00713A39">
        <w:rPr>
          <w:color w:val="404040"/>
        </w:rPr>
        <w:t>Rates were calculated using the eligible population in each month as the denominator; as eligibility expanded over time, this may result in apparent dips in the cumulative curves.</w:t>
      </w:r>
    </w:p>
    <w:p w14:paraId="5817271E" w14:textId="77777777" w:rsidR="007D01EB" w:rsidRDefault="007D01EB" w:rsidP="007D01EB">
      <w:pPr>
        <w:rPr>
          <w:color w:val="000000"/>
        </w:rPr>
      </w:pPr>
    </w:p>
    <w:p w14:paraId="0B4483D1" w14:textId="77777777" w:rsidR="007D01EB" w:rsidRDefault="007D01EB" w:rsidP="007D01EB">
      <w:pPr>
        <w:rPr>
          <w:color w:val="000000"/>
        </w:rPr>
      </w:pPr>
    </w:p>
    <w:p w14:paraId="5E819B33" w14:textId="77777777" w:rsidR="007D01EB" w:rsidRDefault="007D01EB" w:rsidP="007D01EB"/>
    <w:p w14:paraId="2D2BEF29" w14:textId="77777777" w:rsidR="007D01EB" w:rsidRDefault="007D01EB" w:rsidP="007D01EB"/>
    <w:p w14:paraId="0982C67F" w14:textId="77777777" w:rsidR="007D01EB" w:rsidRDefault="007D01EB" w:rsidP="007D01EB">
      <w:pPr>
        <w:tabs>
          <w:tab w:val="left" w:pos="1065"/>
        </w:tabs>
        <w:rPr>
          <w:b/>
          <w:color w:val="404040"/>
        </w:rPr>
      </w:pPr>
    </w:p>
    <w:p w14:paraId="7905BE5D" w14:textId="77777777" w:rsidR="007D01EB" w:rsidRDefault="007D01EB" w:rsidP="007D01EB">
      <w:pPr>
        <w:tabs>
          <w:tab w:val="left" w:pos="1065"/>
        </w:tabs>
        <w:rPr>
          <w:b/>
          <w:color w:val="404040"/>
        </w:rPr>
      </w:pPr>
    </w:p>
    <w:p w14:paraId="6C64F9E2" w14:textId="1B608E94" w:rsidR="007D01EB" w:rsidRDefault="007D01EB" w:rsidP="007D01EB">
      <w:pPr>
        <w:tabs>
          <w:tab w:val="left" w:pos="1065"/>
        </w:tabs>
        <w:rPr>
          <w:b/>
          <w:color w:val="404040"/>
        </w:rPr>
      </w:pPr>
    </w:p>
    <w:p w14:paraId="78D335EE" w14:textId="4159DB00" w:rsidR="007D01EB" w:rsidRDefault="006D7A0A" w:rsidP="007D01EB">
      <w:pPr>
        <w:tabs>
          <w:tab w:val="left" w:pos="1065"/>
        </w:tabs>
        <w:rPr>
          <w:b/>
          <w:color w:val="404040"/>
        </w:rPr>
      </w:pPr>
      <w:r>
        <w:rPr>
          <w:b/>
          <w:noProof/>
          <w:color w:val="404040"/>
        </w:rPr>
        <w:drawing>
          <wp:anchor distT="0" distB="0" distL="114300" distR="114300" simplePos="0" relativeHeight="251658242" behindDoc="0" locked="0" layoutInCell="1" hidden="0" allowOverlap="1" wp14:anchorId="405301F8" wp14:editId="468B262E">
            <wp:simplePos x="0" y="0"/>
            <wp:positionH relativeFrom="margin">
              <wp:posOffset>-743927</wp:posOffset>
            </wp:positionH>
            <wp:positionV relativeFrom="margin">
              <wp:posOffset>711640</wp:posOffset>
            </wp:positionV>
            <wp:extent cx="9646920" cy="2482254"/>
            <wp:effectExtent l="0" t="0" r="0" b="0"/>
            <wp:wrapSquare wrapText="bothSides" distT="0" distB="0" distL="114300" distR="114300"/>
            <wp:docPr id="1785099234" name="image4.png" descr="A graph with blue li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graph with blue lines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24822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C8DBC7" w14:textId="0F6218B0" w:rsidR="007D01EB" w:rsidRDefault="007D01EB" w:rsidP="007D01EB">
      <w:pPr>
        <w:tabs>
          <w:tab w:val="left" w:pos="1065"/>
        </w:tabs>
        <w:rPr>
          <w:b/>
          <w:color w:val="404040"/>
        </w:rPr>
      </w:pPr>
    </w:p>
    <w:p w14:paraId="09A445ED" w14:textId="5C9A4E0B" w:rsidR="007D01EB" w:rsidRDefault="007D01EB" w:rsidP="007D01EB">
      <w:pPr>
        <w:tabs>
          <w:tab w:val="left" w:pos="1065"/>
        </w:tabs>
        <w:rPr>
          <w:b/>
          <w:color w:val="000000"/>
        </w:rPr>
      </w:pPr>
      <w:r>
        <w:rPr>
          <w:b/>
          <w:color w:val="404040"/>
        </w:rPr>
        <w:t xml:space="preserve">Figure </w:t>
      </w:r>
      <w:r w:rsidR="000A7343">
        <w:rPr>
          <w:b/>
          <w:color w:val="404040"/>
        </w:rPr>
        <w:t>S</w:t>
      </w:r>
      <w:r>
        <w:rPr>
          <w:b/>
          <w:color w:val="404040"/>
        </w:rPr>
        <w:t xml:space="preserve">4. Cumulative monthly population vaccination rate by education achievement level in (A) Manitoba, (B) Ontario, and (C) Newfoundland by education level (Dec 2020-Mar 2022). </w:t>
      </w:r>
      <w:r>
        <w:rPr>
          <w:color w:val="404040"/>
        </w:rPr>
        <w:t>Q5 is the highest proportion of adults without a high school diploma.</w:t>
      </w:r>
      <w:r w:rsidR="00713A39">
        <w:rPr>
          <w:color w:val="404040"/>
        </w:rPr>
        <w:t xml:space="preserve"> </w:t>
      </w:r>
      <w:r w:rsidR="00713A39" w:rsidRPr="00713A39">
        <w:rPr>
          <w:color w:val="404040"/>
        </w:rPr>
        <w:t>Rates were calculated using the eligible population in each month as the denominator; as eligibility expanded over time, this may result in apparent dips in the cumulative curves.</w:t>
      </w:r>
    </w:p>
    <w:p w14:paraId="7E1B4666" w14:textId="77777777" w:rsidR="007D01EB" w:rsidRDefault="007D01EB" w:rsidP="007D01EB"/>
    <w:p w14:paraId="7D7EBE77" w14:textId="77777777" w:rsidR="006861CA" w:rsidRDefault="006861CA"/>
    <w:sectPr w:rsidR="006861CA" w:rsidSect="007D01E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44"/>
    <w:rsid w:val="000A7343"/>
    <w:rsid w:val="001E598A"/>
    <w:rsid w:val="00206A01"/>
    <w:rsid w:val="003C3BF6"/>
    <w:rsid w:val="006861CA"/>
    <w:rsid w:val="006D7A0A"/>
    <w:rsid w:val="00713A39"/>
    <w:rsid w:val="00774F39"/>
    <w:rsid w:val="007C3044"/>
    <w:rsid w:val="007D01EB"/>
    <w:rsid w:val="00887E85"/>
    <w:rsid w:val="008B3821"/>
    <w:rsid w:val="00925433"/>
    <w:rsid w:val="009F12F8"/>
    <w:rsid w:val="00B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8013"/>
  <w15:chartTrackingRefBased/>
  <w15:docId w15:val="{9841E00B-AD57-2F42-867F-6B935885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1EB"/>
    <w:pPr>
      <w:spacing w:after="160" w:line="259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04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04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04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04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04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044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044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044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044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0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0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3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044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3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044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3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044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30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0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044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206A01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2A7D44E02754D96A815C846626831" ma:contentTypeVersion="3" ma:contentTypeDescription="Create a new document." ma:contentTypeScope="" ma:versionID="7bef06b4193a37643cef7556893e110f">
  <xsd:schema xmlns:xsd="http://www.w3.org/2001/XMLSchema" xmlns:xs="http://www.w3.org/2001/XMLSchema" xmlns:p="http://schemas.microsoft.com/office/2006/metadata/properties" xmlns:ns2="2c8fa0d0-c620-499f-aa9a-2ed18447dbb3" targetNamespace="http://schemas.microsoft.com/office/2006/metadata/properties" ma:root="true" ma:fieldsID="45ac9a32924d1e2cbcb2d8ca0c592659" ns2:_="">
    <xsd:import namespace="2c8fa0d0-c620-499f-aa9a-2ed1844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fa0d0-c620-499f-aa9a-2ed18447db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E8B966-ADA9-4FFE-B3D7-7F57912A0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F2290-0B89-4250-B06D-D7CFEEA28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fa0d0-c620-499f-aa9a-2ed1844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B2FFC-4526-4433-B494-128B4EB4DE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Martens</dc:creator>
  <cp:keywords/>
  <dc:description/>
  <cp:lastModifiedBy>Gillian Martens</cp:lastModifiedBy>
  <cp:revision>10</cp:revision>
  <dcterms:created xsi:type="dcterms:W3CDTF">2025-05-08T17:24:00Z</dcterms:created>
  <dcterms:modified xsi:type="dcterms:W3CDTF">2025-09-05T14:43:00Z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0x0101006FA2A7D44E02754D96A815C846626831</vt:lpwstr>
  </property>
</Properties>
</file>