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838720A" w:rsidR="007D065B" w:rsidRDefault="007D065B"/>
    <w:tbl>
      <w:tblPr>
        <w:tblW w:w="11860" w:type="dxa"/>
        <w:tblInd w:w="-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312"/>
        <w:gridCol w:w="1474"/>
        <w:gridCol w:w="1474"/>
        <w:gridCol w:w="1940"/>
        <w:gridCol w:w="1940"/>
        <w:gridCol w:w="2085"/>
      </w:tblGrid>
      <w:tr w:rsidR="15B2D3B9" w14:paraId="4E9DAF7B" w14:textId="77777777" w:rsidTr="7FB47C05">
        <w:trPr>
          <w:trHeight w:val="300"/>
        </w:trPr>
        <w:tc>
          <w:tcPr>
            <w:tcW w:w="5895" w:type="dxa"/>
            <w:gridSpan w:val="4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73E2A71A" w14:textId="158C51D9" w:rsidR="229F162E" w:rsidRDefault="229F162E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FB47C05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Outcomes at baseline and follow-up in intervention and control groups</w:t>
            </w:r>
          </w:p>
          <w:p w14:paraId="58C97BA6" w14:textId="1D0F8732" w:rsidR="15B2D3B9" w:rsidRDefault="15B2D3B9" w:rsidP="7FB47C05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5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54EEA02B" w14:textId="31C9ABB8" w:rsidR="229F162E" w:rsidRDefault="229F162E" w:rsidP="7FB47C05">
            <w:pPr>
              <w:spacing w:after="0" w:line="360" w:lineRule="auto"/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  <w:r w:rsidRPr="7FB47C05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 xml:space="preserve">Effect </w:t>
            </w:r>
            <w:proofErr w:type="gramStart"/>
            <w:r w:rsidRPr="7FB47C05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>in</w:t>
            </w:r>
            <w:proofErr w:type="gramEnd"/>
            <w:r w:rsidRPr="7FB47C05">
              <w:rPr>
                <w:rFonts w:ascii="Aptos" w:eastAsia="Aptos" w:hAnsi="Aptos" w:cs="Aptos"/>
                <w:b/>
                <w:bCs/>
                <w:color w:val="000000" w:themeColor="text1"/>
                <w:sz w:val="20"/>
                <w:szCs w:val="20"/>
              </w:rPr>
              <w:t xml:space="preserve"> intervention versus control groups</w:t>
            </w:r>
          </w:p>
          <w:p w14:paraId="75B27A12" w14:textId="2B3B7A45" w:rsidR="15B2D3B9" w:rsidRDefault="15B2D3B9" w:rsidP="7FB47C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15B2D3B9" w14:paraId="3104A2E2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48528DE6" w14:textId="4F5F8831" w:rsidR="15B2D3B9" w:rsidRDefault="15B2D3B9" w:rsidP="7FB47C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7D7B94E6" w14:textId="393A249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7FD826A9" w14:textId="6446D62B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510109A7" w14:textId="1FBF5F4E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0340FF80" w14:textId="1DA398DD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0D57F1D8" w14:textId="45882E54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Crude </w:t>
            </w:r>
            <w:r w:rsidR="0D13C3E5"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OR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F3A0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  <w:p w14:paraId="47F7BB26" w14:textId="24C7B332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(95% CI) 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  <w:vAlign w:val="bottom"/>
          </w:tcPr>
          <w:p w14:paraId="7CCB993B" w14:textId="4A8B9424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Adjusted </w:t>
            </w:r>
            <w:r w:rsidR="6DA41CBE"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R 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1,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5794F352" w14:textId="27AC0A5B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(95% CI) </w:t>
            </w:r>
          </w:p>
        </w:tc>
      </w:tr>
      <w:tr w:rsidR="15B2D3B9" w14:paraId="560DF6BB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5DF067F9" w14:textId="685F64FF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SRH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53A93BC8" w14:textId="0C09F958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-1.29</w:t>
            </w:r>
          </w:p>
          <w:p w14:paraId="065AD3F7" w14:textId="0192F831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(0.74)</w:t>
            </w:r>
          </w:p>
          <w:p w14:paraId="4803F128" w14:textId="047B12BC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227FE9A5" w14:textId="1473B251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-2.08</w:t>
            </w:r>
          </w:p>
          <w:p w14:paraId="77F40E78" w14:textId="482B9240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(0.99)</w:t>
            </w:r>
          </w:p>
          <w:p w14:paraId="02931F47" w14:textId="5862098A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06CF9E55" w14:textId="53913A39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-2.99</w:t>
            </w:r>
          </w:p>
          <w:p w14:paraId="037D8C36" w14:textId="19BC2DCB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(0.73)</w:t>
            </w:r>
          </w:p>
          <w:p w14:paraId="63495683" w14:textId="2B484B6D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5FE09E70" w14:textId="0E0B0CDC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 xml:space="preserve">-2.12 </w:t>
            </w:r>
          </w:p>
          <w:p w14:paraId="0B8DA20F" w14:textId="48C4F416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(0.61)</w:t>
            </w:r>
          </w:p>
          <w:p w14:paraId="0F2DE821" w14:textId="338784A3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5" w:type="dxa"/>
              <w:right w:w="75" w:type="dxa"/>
            </w:tcMar>
          </w:tcPr>
          <w:p w14:paraId="69D77978" w14:textId="5F9C06AF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 xml:space="preserve">0.21 </w:t>
            </w: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  <w:p w14:paraId="7CC7E999" w14:textId="3FE137E3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(0.02; 2.18)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5" w:type="dxa"/>
              <w:right w:w="75" w:type="dxa"/>
            </w:tcMar>
          </w:tcPr>
          <w:p w14:paraId="7F631D1E" w14:textId="382F258B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 xml:space="preserve"> 0.19 </w:t>
            </w:r>
          </w:p>
          <w:p w14:paraId="5A061AEB" w14:textId="0477F0D4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(0.02, 2.00)</w:t>
            </w:r>
          </w:p>
        </w:tc>
      </w:tr>
      <w:tr w:rsidR="15B2D3B9" w14:paraId="1738F5E1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2024D002" w14:textId="762A8BFB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469924DE" w14:textId="6614586A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 (SD)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6F23F20B" w14:textId="20A49AE0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 (SD)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30A4A412" w14:textId="1223A7F5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 (SD)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1A5B1519" w14:textId="5ECA8B46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Mean (SD)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575908BE" w14:textId="19474C07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Crude difference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86E489D" w14:textId="0C753693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75" w:type="dxa"/>
              <w:right w:w="75" w:type="dxa"/>
            </w:tcMar>
          </w:tcPr>
          <w:p w14:paraId="54F25FF9" w14:textId="58A18814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Adjusted difference 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7FB47C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15B2D3B9" w14:paraId="54F3A7E3" w14:textId="77777777" w:rsidTr="7FB47C05">
        <w:trPr>
          <w:trHeight w:val="129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7E6A0CA" w14:textId="29CF8558" w:rsidR="1EEB8E0F" w:rsidRDefault="1EEB8E0F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GHQ-12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9B1C93" w14:textId="2BA67CF4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0.48 (0.01)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F8C950" w14:textId="2FFC02A4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0.45 (0.01)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51C54B" w14:textId="3A02617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0.44 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3EBCFA" w14:textId="62D10BA2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0.49 </w:t>
            </w:r>
          </w:p>
          <w:p w14:paraId="74A52B56" w14:textId="796397C8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A54874D" w14:textId="06F3069D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-0.07</w:t>
            </w:r>
          </w:p>
          <w:p w14:paraId="4E834860" w14:textId="399049F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(-0.11; -0.02)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A02A2EF" w14:textId="042D2906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-0.07</w:t>
            </w:r>
          </w:p>
          <w:p w14:paraId="77C06FFC" w14:textId="69D1407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(-0.11; 0.02)</w:t>
            </w:r>
          </w:p>
        </w:tc>
      </w:tr>
      <w:tr w:rsidR="15B2D3B9" w14:paraId="1F374CA8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9B4D3F" w14:textId="189BB120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H</w:t>
            </w:r>
            <w:r w:rsidR="2A61AC52"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SCL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-10 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34616" w14:textId="752E058E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0.29 (0.04)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D66422" w14:textId="3DFDE45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0.25</w:t>
            </w:r>
          </w:p>
          <w:p w14:paraId="4559ED03" w14:textId="326DA64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(0.03)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20670E" w14:textId="4B31B3C1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0.27 (0.02)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CAADF9" w14:textId="0429C7D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0.21 </w:t>
            </w:r>
          </w:p>
          <w:p w14:paraId="38856668" w14:textId="217F8F8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(0.02)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BD619C" w14:textId="74D59F12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  <w:p w14:paraId="465D841C" w14:textId="251EAE54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(-0.07; 0.12)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790AA6" w14:textId="15D16D3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  <w:p w14:paraId="58EB0DA6" w14:textId="11E65BA2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(-0.07; 0.11)</w:t>
            </w:r>
          </w:p>
        </w:tc>
      </w:tr>
      <w:tr w:rsidR="15B2D3B9" w14:paraId="18323786" w14:textId="77777777" w:rsidTr="7FB47C05">
        <w:trPr>
          <w:trHeight w:val="645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6F26DF" w14:textId="0E3EAB2A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W</w:t>
            </w:r>
            <w:r w:rsidR="013060BF"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HO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-5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A45A70" w14:textId="68C8993E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0.68 (0.04)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7120A1" w14:textId="4715EF5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0.78 (0.03)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B7157F" w14:textId="02F82181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0.68</w:t>
            </w:r>
          </w:p>
          <w:p w14:paraId="196410F2" w14:textId="7C8B0168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(0.02)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0FB7D8" w14:textId="2B95BF2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0.69</w:t>
            </w:r>
          </w:p>
          <w:p w14:paraId="66A22C61" w14:textId="3A04EB11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(0.02)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B0282A" w14:textId="3507A6F8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0.09 </w:t>
            </w:r>
          </w:p>
          <w:p w14:paraId="49C2C9B3" w14:textId="38776475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(0.01; 0.17)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4C3E4B" w14:textId="6CFBCCC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0.09   </w:t>
            </w:r>
          </w:p>
          <w:p w14:paraId="55018374" w14:textId="05BF9E8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Pr="7FB47C05">
              <w:rPr>
                <w:rFonts w:ascii="Times New Roman" w:eastAsia="Times New Roman" w:hAnsi="Times New Roman" w:cs="Times New Roman"/>
              </w:rPr>
              <w:t>0.01; 0.17)</w:t>
            </w:r>
          </w:p>
        </w:tc>
      </w:tr>
      <w:tr w:rsidR="15B2D3B9" w14:paraId="0D0F2949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888B0E" w14:textId="0C85356D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S</w:t>
            </w:r>
            <w:r w:rsidR="3CA1D0B3"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OC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-13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96A55F" w14:textId="4A02427E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0.55 (0.02)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3B35B2" w14:textId="02E4742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0.55 (0.02)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397DD9" w14:textId="46FADD86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0.55 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08BF7B" w14:textId="6EC7F66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0.55 </w:t>
            </w:r>
          </w:p>
          <w:p w14:paraId="21C7D82B" w14:textId="6C925C8C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B59CA6" w14:textId="0847A3A1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7FB47C05">
              <w:rPr>
                <w:rFonts w:ascii="Times New Roman" w:eastAsia="Times New Roman" w:hAnsi="Times New Roman" w:cs="Times New Roman"/>
              </w:rPr>
              <w:t xml:space="preserve">0.01 </w:t>
            </w:r>
          </w:p>
          <w:p w14:paraId="24A6DF91" w14:textId="0B596DF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</w:rPr>
              <w:t xml:space="preserve">(-0.07; 0.08) 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4F7B00" w14:textId="2BCC76CD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  <w:p w14:paraId="3903045B" w14:textId="1B31B3FB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(-0.07; 0.08)</w:t>
            </w:r>
          </w:p>
        </w:tc>
      </w:tr>
      <w:tr w:rsidR="15B2D3B9" w14:paraId="23A7435E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5F94CE" w14:textId="713110E1" w:rsidR="763C41B8" w:rsidRDefault="763C41B8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ILP-</w:t>
            </w:r>
            <w:r w:rsidR="15B2D3B9"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12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5C7A38" w14:textId="404406E3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0.56 (0.21)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91F1ED" w14:textId="653DF2C8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0.65 (0.23)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69BBF4" w14:textId="49841BF7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0.62 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CF876B" w14:textId="6A52A1E8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0.67 </w:t>
            </w:r>
          </w:p>
          <w:p w14:paraId="05A953BB" w14:textId="59CBE612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A88E42" w14:textId="35D5C84B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0.04 (-0.02; 0.10)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01F52" w14:textId="5F7CD4CD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0.041 (-0.02; 0.01)</w:t>
            </w:r>
          </w:p>
        </w:tc>
      </w:tr>
      <w:tr w:rsidR="15B2D3B9" w14:paraId="7D566E5C" w14:textId="77777777" w:rsidTr="7FB47C05">
        <w:trPr>
          <w:trHeight w:val="300"/>
        </w:trPr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E4A8D8" w14:textId="57D7EF25" w:rsidR="15B2D3B9" w:rsidRDefault="15B2D3B9" w:rsidP="7FB47C05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Discrimination </w:t>
            </w:r>
            <w:r w:rsidRPr="7FB47C05">
              <w:rPr>
                <w:rFonts w:ascii="Times New Roman" w:eastAsia="Times New Roman" w:hAnsi="Times New Roman" w:cs="Times New Roman"/>
                <w:color w:val="000000" w:themeColor="text1"/>
                <w:lang w:val="nb-NO"/>
              </w:rPr>
              <w:t> 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B764C0" w14:textId="5B03245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0.22 (0.04)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8462FA" w14:textId="1C4F882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0.15 (0.04)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49A87" w14:textId="1C5ECC6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0.10 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550DD5" w14:textId="3FF437BC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0.13 </w:t>
            </w:r>
          </w:p>
          <w:p w14:paraId="24A14C42" w14:textId="3C060439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(0.01)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56D7BB" w14:textId="6C4565D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-0.10  (-0.21; 0.02)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2197B5" w14:textId="1624B72A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-0.10 </w:t>
            </w:r>
          </w:p>
          <w:p w14:paraId="00FFCE60" w14:textId="10A3CD9D" w:rsidR="15B2D3B9" w:rsidRDefault="15B2D3B9" w:rsidP="7FB47C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7FB47C05">
              <w:rPr>
                <w:rFonts w:ascii="Times New Roman" w:eastAsia="Times New Roman" w:hAnsi="Times New Roman" w:cs="Times New Roman"/>
                <w:color w:val="000000" w:themeColor="text1"/>
              </w:rPr>
              <w:t>(-0.21; 0.02)</w:t>
            </w:r>
          </w:p>
        </w:tc>
      </w:tr>
    </w:tbl>
    <w:p w14:paraId="4A83CB71" w14:textId="7CFBB118" w:rsidR="4E52C377" w:rsidRPr="00B32C5C" w:rsidRDefault="4E52C377" w:rsidP="15B2D3B9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16"/>
          <w:szCs w:val="16"/>
        </w:rPr>
      </w:pPr>
      <w:r w:rsidRPr="00B32C5C">
        <w:rPr>
          <w:rFonts w:asciiTheme="majorBidi" w:eastAsia="Times New Roman" w:hAnsiTheme="majorBidi" w:cstheme="majorBidi"/>
          <w:b/>
          <w:bCs/>
          <w:color w:val="000000" w:themeColor="text1"/>
          <w:sz w:val="16"/>
          <w:szCs w:val="16"/>
          <w:vertAlign w:val="superscript"/>
        </w:rPr>
        <w:t>1</w:t>
      </w:r>
      <w:r w:rsidRPr="00B32C5C">
        <w:rPr>
          <w:rFonts w:asciiTheme="majorBidi" w:eastAsia="Times New Roman" w:hAnsiTheme="majorBidi" w:cstheme="majorBidi"/>
          <w:color w:val="000000" w:themeColor="text1"/>
          <w:sz w:val="16"/>
          <w:szCs w:val="16"/>
        </w:rPr>
        <w:t xml:space="preserve"> Ratio of prevalence ratio (RPR): prevalence ratio in the intervention group divided by the prevalence ratio in the control group (reference).</w:t>
      </w:r>
    </w:p>
    <w:p w14:paraId="33900E0D" w14:textId="35D8C1B4" w:rsidR="4E52C377" w:rsidRPr="00B32C5C" w:rsidRDefault="4E52C377" w:rsidP="15B2D3B9">
      <w:pPr>
        <w:pStyle w:val="Fotnotetekst"/>
        <w:rPr>
          <w:rFonts w:asciiTheme="majorBidi" w:eastAsia="Times New Roman" w:hAnsiTheme="majorBidi" w:cstheme="majorBidi"/>
          <w:color w:val="000000" w:themeColor="text1"/>
          <w:sz w:val="16"/>
          <w:szCs w:val="16"/>
        </w:rPr>
      </w:pPr>
      <w:r w:rsidRPr="00B32C5C">
        <w:rPr>
          <w:rFonts w:asciiTheme="majorBidi" w:eastAsia="Times New Roman" w:hAnsiTheme="majorBidi" w:cstheme="majorBidi"/>
          <w:color w:val="000000" w:themeColor="text1"/>
          <w:sz w:val="16"/>
          <w:szCs w:val="16"/>
          <w:vertAlign w:val="superscript"/>
        </w:rPr>
        <w:t xml:space="preserve">2 </w:t>
      </w:r>
      <w:r w:rsidRPr="00B32C5C">
        <w:rPr>
          <w:rFonts w:asciiTheme="majorBidi" w:eastAsia="Times New Roman" w:hAnsiTheme="majorBidi" w:cstheme="majorBidi"/>
          <w:color w:val="000000" w:themeColor="text1"/>
          <w:sz w:val="16"/>
          <w:szCs w:val="16"/>
        </w:rPr>
        <w:t>Difference: differences in differences in means.</w:t>
      </w:r>
    </w:p>
    <w:p w14:paraId="67CAD3CB" w14:textId="57D3F2A9" w:rsidR="4E52C377" w:rsidRPr="00B32C5C" w:rsidRDefault="4E52C377" w:rsidP="15B2D3B9">
      <w:pPr>
        <w:pStyle w:val="Fotnotetekst"/>
        <w:rPr>
          <w:rFonts w:asciiTheme="majorBidi" w:eastAsia="Times New Roman" w:hAnsiTheme="majorBidi" w:cstheme="majorBidi"/>
          <w:color w:val="000000" w:themeColor="text1"/>
          <w:sz w:val="16"/>
          <w:szCs w:val="16"/>
        </w:rPr>
      </w:pPr>
      <w:r w:rsidRPr="00B32C5C">
        <w:rPr>
          <w:rFonts w:asciiTheme="majorBidi" w:eastAsia="Times New Roman" w:hAnsiTheme="majorBidi" w:cstheme="majorBidi"/>
          <w:color w:val="000000" w:themeColor="text1"/>
          <w:sz w:val="16"/>
          <w:szCs w:val="16"/>
          <w:vertAlign w:val="superscript"/>
        </w:rPr>
        <w:t>3</w:t>
      </w:r>
      <w:r w:rsidRPr="00B32C5C">
        <w:rPr>
          <w:rFonts w:asciiTheme="majorBidi" w:eastAsia="Times New Roman" w:hAnsiTheme="majorBidi" w:cstheme="majorBidi"/>
          <w:b/>
          <w:bCs/>
          <w:color w:val="000000" w:themeColor="text1"/>
          <w:sz w:val="18"/>
          <w:szCs w:val="18"/>
        </w:rPr>
        <w:t xml:space="preserve"> </w:t>
      </w:r>
      <w:r w:rsidRPr="00B32C5C">
        <w:rPr>
          <w:rFonts w:asciiTheme="majorBidi" w:eastAsia="Times New Roman" w:hAnsiTheme="majorBidi" w:cstheme="majorBidi"/>
          <w:color w:val="000000" w:themeColor="text1"/>
          <w:sz w:val="16"/>
          <w:szCs w:val="16"/>
        </w:rPr>
        <w:t>Adjusted for gender, age, year since arrival and number of children.</w:t>
      </w:r>
    </w:p>
    <w:p w14:paraId="38B7FE94" w14:textId="52E07F3F" w:rsidR="00FF3A0B" w:rsidRPr="00B32C5C" w:rsidRDefault="00B32C5C">
      <w:pPr>
        <w:rPr>
          <w:rFonts w:asciiTheme="majorBidi" w:hAnsiTheme="majorBidi" w:cstheme="majorBidi"/>
          <w:sz w:val="18"/>
          <w:szCs w:val="18"/>
        </w:rPr>
      </w:pPr>
      <w:r w:rsidRPr="00B32C5C">
        <w:rPr>
          <w:rFonts w:asciiTheme="majorBidi" w:hAnsiTheme="majorBidi" w:cstheme="majorBidi"/>
          <w:sz w:val="18"/>
          <w:szCs w:val="18"/>
        </w:rPr>
        <w:t>*</w:t>
      </w:r>
      <w:r w:rsidR="00FF3A0B" w:rsidRPr="00B32C5C">
        <w:rPr>
          <w:rFonts w:asciiTheme="majorBidi" w:hAnsiTheme="majorBidi" w:cstheme="majorBidi"/>
          <w:sz w:val="18"/>
          <w:szCs w:val="18"/>
        </w:rPr>
        <w:t>The SRH here is on the odds-scale, the example in the point-by-point is not. Just to illustrate the</w:t>
      </w:r>
      <w:r w:rsidRPr="00B32C5C">
        <w:rPr>
          <w:rFonts w:asciiTheme="majorBidi" w:hAnsiTheme="majorBidi" w:cstheme="majorBidi"/>
          <w:sz w:val="18"/>
          <w:szCs w:val="18"/>
        </w:rPr>
        <w:t xml:space="preserve"> non-significant change across scales.</w:t>
      </w:r>
    </w:p>
    <w:sectPr w:rsidR="00FF3A0B" w:rsidRPr="00B32C5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69210" w14:textId="77777777" w:rsidR="00B32C5C" w:rsidRDefault="00B32C5C">
      <w:pPr>
        <w:spacing w:after="0" w:line="240" w:lineRule="auto"/>
      </w:pPr>
      <w:r>
        <w:separator/>
      </w:r>
    </w:p>
  </w:endnote>
  <w:endnote w:type="continuationSeparator" w:id="0">
    <w:p w14:paraId="7FE8DC8F" w14:textId="77777777" w:rsidR="00B32C5C" w:rsidRDefault="00B3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E00479" w14:paraId="4B1CB6F7" w14:textId="77777777" w:rsidTr="1AE00479">
      <w:trPr>
        <w:trHeight w:val="300"/>
      </w:trPr>
      <w:tc>
        <w:tcPr>
          <w:tcW w:w="3120" w:type="dxa"/>
        </w:tcPr>
        <w:p w14:paraId="33286A85" w14:textId="6F68572E" w:rsidR="1AE00479" w:rsidRDefault="1AE00479" w:rsidP="1AE00479">
          <w:pPr>
            <w:pStyle w:val="Topptekst"/>
            <w:ind w:left="-115"/>
          </w:pPr>
        </w:p>
      </w:tc>
      <w:tc>
        <w:tcPr>
          <w:tcW w:w="3120" w:type="dxa"/>
        </w:tcPr>
        <w:p w14:paraId="08EA9F93" w14:textId="2D43F317" w:rsidR="1AE00479" w:rsidRDefault="1AE00479" w:rsidP="1AE00479">
          <w:pPr>
            <w:pStyle w:val="Topptekst"/>
            <w:jc w:val="center"/>
          </w:pPr>
        </w:p>
      </w:tc>
      <w:tc>
        <w:tcPr>
          <w:tcW w:w="3120" w:type="dxa"/>
        </w:tcPr>
        <w:p w14:paraId="414682B5" w14:textId="5215CB4A" w:rsidR="1AE00479" w:rsidRDefault="1AE00479" w:rsidP="1AE00479">
          <w:pPr>
            <w:pStyle w:val="Topptekst"/>
            <w:ind w:right="-115"/>
            <w:jc w:val="right"/>
          </w:pPr>
        </w:p>
      </w:tc>
    </w:tr>
  </w:tbl>
  <w:p w14:paraId="462D8A86" w14:textId="28086E72" w:rsidR="1AE00479" w:rsidRDefault="1AE00479" w:rsidP="1AE0047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A4258" w14:textId="77777777" w:rsidR="00B32C5C" w:rsidRDefault="00B32C5C">
      <w:pPr>
        <w:spacing w:after="0" w:line="240" w:lineRule="auto"/>
      </w:pPr>
      <w:r>
        <w:separator/>
      </w:r>
    </w:p>
  </w:footnote>
  <w:footnote w:type="continuationSeparator" w:id="0">
    <w:p w14:paraId="1301C8EE" w14:textId="77777777" w:rsidR="00B32C5C" w:rsidRDefault="00B3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E00479" w14:paraId="7F222B64" w14:textId="77777777" w:rsidTr="15B2D3B9">
      <w:trPr>
        <w:trHeight w:val="300"/>
      </w:trPr>
      <w:tc>
        <w:tcPr>
          <w:tcW w:w="3120" w:type="dxa"/>
        </w:tcPr>
        <w:p w14:paraId="614BD699" w14:textId="278CEAF9" w:rsidR="1AE00479" w:rsidRDefault="79221411" w:rsidP="1AE00479">
          <w:pPr>
            <w:pStyle w:val="Topptekst"/>
            <w:ind w:left="-115"/>
          </w:pPr>
          <w:r>
            <w:t>Paper II</w:t>
          </w:r>
        </w:p>
      </w:tc>
      <w:tc>
        <w:tcPr>
          <w:tcW w:w="3120" w:type="dxa"/>
        </w:tcPr>
        <w:p w14:paraId="73E3E7EC" w14:textId="21AD9818" w:rsidR="1AE00479" w:rsidRDefault="15B2D3B9" w:rsidP="1AE00479">
          <w:pPr>
            <w:pStyle w:val="Topptekst"/>
            <w:jc w:val="center"/>
          </w:pPr>
          <w:r>
            <w:t>Mixed random effect-results</w:t>
          </w:r>
        </w:p>
      </w:tc>
      <w:tc>
        <w:tcPr>
          <w:tcW w:w="3120" w:type="dxa"/>
        </w:tcPr>
        <w:p w14:paraId="26C6F533" w14:textId="6765D511" w:rsidR="1AE00479" w:rsidRDefault="79221411" w:rsidP="1AE00479">
          <w:pPr>
            <w:pStyle w:val="Topptekst"/>
            <w:ind w:right="-115"/>
            <w:jc w:val="right"/>
          </w:pPr>
          <w:r>
            <w:t>22.06.25</w:t>
          </w:r>
        </w:p>
      </w:tc>
    </w:tr>
  </w:tbl>
  <w:p w14:paraId="0AE68D66" w14:textId="0A200938" w:rsidR="1AE00479" w:rsidRDefault="1AE00479" w:rsidP="1AE00479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03A86B"/>
    <w:rsid w:val="000409BE"/>
    <w:rsid w:val="00218B53"/>
    <w:rsid w:val="00290095"/>
    <w:rsid w:val="0033ADC4"/>
    <w:rsid w:val="006DF633"/>
    <w:rsid w:val="007D065B"/>
    <w:rsid w:val="00B32C5C"/>
    <w:rsid w:val="00C466ED"/>
    <w:rsid w:val="00FA1022"/>
    <w:rsid w:val="00FF3A0B"/>
    <w:rsid w:val="013060BF"/>
    <w:rsid w:val="021399E1"/>
    <w:rsid w:val="028AC7D7"/>
    <w:rsid w:val="049D617E"/>
    <w:rsid w:val="054497C6"/>
    <w:rsid w:val="0587463D"/>
    <w:rsid w:val="05E3837E"/>
    <w:rsid w:val="068B8707"/>
    <w:rsid w:val="074935B6"/>
    <w:rsid w:val="0786B562"/>
    <w:rsid w:val="07BA567F"/>
    <w:rsid w:val="07F943B0"/>
    <w:rsid w:val="0859E3D3"/>
    <w:rsid w:val="08CA1FCB"/>
    <w:rsid w:val="08FD2948"/>
    <w:rsid w:val="093CD1A4"/>
    <w:rsid w:val="0AA46E5E"/>
    <w:rsid w:val="0AF8E5AF"/>
    <w:rsid w:val="0C68B84E"/>
    <w:rsid w:val="0D13C3E5"/>
    <w:rsid w:val="0D393CC8"/>
    <w:rsid w:val="0D7427C1"/>
    <w:rsid w:val="0E7084D1"/>
    <w:rsid w:val="12D4EADE"/>
    <w:rsid w:val="1395563C"/>
    <w:rsid w:val="15B2D3B9"/>
    <w:rsid w:val="1631AE64"/>
    <w:rsid w:val="16D3B2FC"/>
    <w:rsid w:val="16F9D33E"/>
    <w:rsid w:val="18DFCAE1"/>
    <w:rsid w:val="1952693E"/>
    <w:rsid w:val="1ABAB915"/>
    <w:rsid w:val="1AE00479"/>
    <w:rsid w:val="1BD15283"/>
    <w:rsid w:val="1DAF29F9"/>
    <w:rsid w:val="1DC5E1D8"/>
    <w:rsid w:val="1E8E3F61"/>
    <w:rsid w:val="1EEB8E0F"/>
    <w:rsid w:val="1F4D68F6"/>
    <w:rsid w:val="1FD8841B"/>
    <w:rsid w:val="212F2A06"/>
    <w:rsid w:val="2229E7A2"/>
    <w:rsid w:val="22956FC9"/>
    <w:rsid w:val="229F162E"/>
    <w:rsid w:val="22BCDCD8"/>
    <w:rsid w:val="261C82E4"/>
    <w:rsid w:val="268C15B2"/>
    <w:rsid w:val="277E0030"/>
    <w:rsid w:val="2A494E50"/>
    <w:rsid w:val="2A61AC52"/>
    <w:rsid w:val="2A71FCAF"/>
    <w:rsid w:val="2B06D657"/>
    <w:rsid w:val="2C5D9BAF"/>
    <w:rsid w:val="2CDD0202"/>
    <w:rsid w:val="2D5EAED8"/>
    <w:rsid w:val="2DABF42E"/>
    <w:rsid w:val="2DB31968"/>
    <w:rsid w:val="2DB3279C"/>
    <w:rsid w:val="2DDCB0DB"/>
    <w:rsid w:val="2F0BB247"/>
    <w:rsid w:val="2F2DD089"/>
    <w:rsid w:val="303C31EC"/>
    <w:rsid w:val="31CD811F"/>
    <w:rsid w:val="329F3C4E"/>
    <w:rsid w:val="32D8E789"/>
    <w:rsid w:val="3349B8D1"/>
    <w:rsid w:val="34AA2E6A"/>
    <w:rsid w:val="373B295D"/>
    <w:rsid w:val="376822F5"/>
    <w:rsid w:val="377351C9"/>
    <w:rsid w:val="38E73BB0"/>
    <w:rsid w:val="3C03A86B"/>
    <w:rsid w:val="3CA1D0B3"/>
    <w:rsid w:val="3CEB7D80"/>
    <w:rsid w:val="3DBBF2C3"/>
    <w:rsid w:val="3E9D762F"/>
    <w:rsid w:val="3F0789DD"/>
    <w:rsid w:val="3F0AA222"/>
    <w:rsid w:val="428319F9"/>
    <w:rsid w:val="42AD6769"/>
    <w:rsid w:val="42CE27B5"/>
    <w:rsid w:val="42F7A1C6"/>
    <w:rsid w:val="42F96FE3"/>
    <w:rsid w:val="44BC93BC"/>
    <w:rsid w:val="4517D2D6"/>
    <w:rsid w:val="45892676"/>
    <w:rsid w:val="45D1F57F"/>
    <w:rsid w:val="46A78092"/>
    <w:rsid w:val="474E977D"/>
    <w:rsid w:val="475E7000"/>
    <w:rsid w:val="47C1D85B"/>
    <w:rsid w:val="48685BFC"/>
    <w:rsid w:val="49BFAB48"/>
    <w:rsid w:val="4A311D83"/>
    <w:rsid w:val="4A7DC00B"/>
    <w:rsid w:val="4D4FF13F"/>
    <w:rsid w:val="4DBA875C"/>
    <w:rsid w:val="4E122F2D"/>
    <w:rsid w:val="4E52C377"/>
    <w:rsid w:val="4FF6FB92"/>
    <w:rsid w:val="51957B34"/>
    <w:rsid w:val="520728F8"/>
    <w:rsid w:val="520E8EF3"/>
    <w:rsid w:val="521A73C0"/>
    <w:rsid w:val="52308567"/>
    <w:rsid w:val="5318F6BB"/>
    <w:rsid w:val="54AF2410"/>
    <w:rsid w:val="54D080DE"/>
    <w:rsid w:val="5686847A"/>
    <w:rsid w:val="588DD8ED"/>
    <w:rsid w:val="6037B356"/>
    <w:rsid w:val="603B6522"/>
    <w:rsid w:val="60F9B56F"/>
    <w:rsid w:val="618BB9B8"/>
    <w:rsid w:val="62E177CC"/>
    <w:rsid w:val="635F17C0"/>
    <w:rsid w:val="63825335"/>
    <w:rsid w:val="64346C28"/>
    <w:rsid w:val="646FC974"/>
    <w:rsid w:val="654675B7"/>
    <w:rsid w:val="67D1901C"/>
    <w:rsid w:val="6930A6B6"/>
    <w:rsid w:val="69A130B3"/>
    <w:rsid w:val="6A605F2B"/>
    <w:rsid w:val="6B80189E"/>
    <w:rsid w:val="6C207027"/>
    <w:rsid w:val="6C250651"/>
    <w:rsid w:val="6CEEC27B"/>
    <w:rsid w:val="6DA41CBE"/>
    <w:rsid w:val="6E5BB6D7"/>
    <w:rsid w:val="6EB08031"/>
    <w:rsid w:val="6ECA1CD0"/>
    <w:rsid w:val="70C27C0D"/>
    <w:rsid w:val="70D6788A"/>
    <w:rsid w:val="71B7A2B7"/>
    <w:rsid w:val="71E3A61C"/>
    <w:rsid w:val="71E44186"/>
    <w:rsid w:val="734132C4"/>
    <w:rsid w:val="75A08446"/>
    <w:rsid w:val="763C41B8"/>
    <w:rsid w:val="785AA34F"/>
    <w:rsid w:val="78B08198"/>
    <w:rsid w:val="78FB079C"/>
    <w:rsid w:val="79221411"/>
    <w:rsid w:val="79DF18F8"/>
    <w:rsid w:val="7A2DD3B0"/>
    <w:rsid w:val="7B2675C7"/>
    <w:rsid w:val="7C109765"/>
    <w:rsid w:val="7D01E66A"/>
    <w:rsid w:val="7D8D2054"/>
    <w:rsid w:val="7E19EC33"/>
    <w:rsid w:val="7FB4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A86B"/>
  <w15:chartTrackingRefBased/>
  <w15:docId w15:val="{5C8621F9-BD4D-47F3-B545-57D39C0FD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pptekst">
    <w:name w:val="header"/>
    <w:basedOn w:val="Normal"/>
    <w:uiPriority w:val="99"/>
    <w:unhideWhenUsed/>
    <w:rsid w:val="1AE00479"/>
    <w:pPr>
      <w:tabs>
        <w:tab w:val="center" w:pos="4680"/>
        <w:tab w:val="right" w:pos="9360"/>
      </w:tabs>
      <w:spacing w:after="0" w:line="240" w:lineRule="auto"/>
    </w:pPr>
  </w:style>
  <w:style w:type="paragraph" w:styleId="Bunntekst">
    <w:name w:val="footer"/>
    <w:basedOn w:val="Normal"/>
    <w:uiPriority w:val="99"/>
    <w:unhideWhenUsed/>
    <w:rsid w:val="1AE00479"/>
    <w:pPr>
      <w:tabs>
        <w:tab w:val="center" w:pos="4680"/>
        <w:tab w:val="right" w:pos="9360"/>
      </w:tabs>
      <w:spacing w:after="0" w:line="240" w:lineRule="auto"/>
    </w:pPr>
  </w:style>
  <w:style w:type="paragraph" w:styleId="Fotnotetekst">
    <w:name w:val="footnote text"/>
    <w:basedOn w:val="Normal"/>
    <w:uiPriority w:val="99"/>
    <w:semiHidden/>
    <w:unhideWhenUsed/>
    <w:rsid w:val="15B2D3B9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8a24bc-a98d-4025-9c60-48c19a142069}" enabled="0" method="" siteId="{648a24bc-a98d-4025-9c60-48c19a14206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222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Khadra Yasien Ahmed</dc:creator>
  <cp:keywords/>
  <dc:description/>
  <cp:lastModifiedBy>Khadra Yasien Ahmed</cp:lastModifiedBy>
  <cp:revision>6</cp:revision>
  <dcterms:created xsi:type="dcterms:W3CDTF">2025-07-16T08:41:00Z</dcterms:created>
  <dcterms:modified xsi:type="dcterms:W3CDTF">2025-07-16T08:49:00Z</dcterms:modified>
</cp:coreProperties>
</file>