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4235B">
      <w:pPr>
        <w:tabs>
          <w:tab w:val="left" w:pos="2185"/>
        </w:tabs>
        <w:spacing w:line="20" w:lineRule="atLeas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2162175</wp:posOffset>
                </wp:positionH>
                <wp:positionV relativeFrom="paragraph">
                  <wp:posOffset>1161415</wp:posOffset>
                </wp:positionV>
                <wp:extent cx="0" cy="582930"/>
                <wp:effectExtent l="38100" t="0" r="38100" b="11430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140075" y="2171065"/>
                          <a:ext cx="0" cy="5829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70.25pt;margin-top:91.45pt;height:45.9pt;width:0pt;z-index:251668480;mso-width-relative:page;mso-height-relative:page;" filled="f" stroked="t" coordsize="21600,21600" o:gfxdata="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Jc9YtXYAAAACwEAAA8AAAAA&#10;AAAAAQAgAAAAIgAAAGRycy9kb3ducmV2LnhtbFBLAQIUABQAAAAIAIdO4kD6087QFAIAAO8DAAAO&#10;AAAAAAAAAAEAIAAAACcBAABkcnMvZTJvRG9jLnhtbFBLBQYAAAAABgAGAFkBAACtBQAAAAA=&#10;">
                <v:fill on="f" focussize="0,0"/>
                <v:stroke weight="1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3667125</wp:posOffset>
                </wp:positionH>
                <wp:positionV relativeFrom="paragraph">
                  <wp:posOffset>125730</wp:posOffset>
                </wp:positionV>
                <wp:extent cx="1629410" cy="993775"/>
                <wp:effectExtent l="6350" t="6350" r="10160" b="2095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85385" y="1214755"/>
                          <a:ext cx="1629410" cy="993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8.75pt;margin-top:9.9pt;height:78.25pt;width:128.3pt;z-index:251663360;v-text-anchor:middle;mso-width-relative:page;mso-height-relative:page;" filled="f" stroked="t" coordsize="21600,21600" o:gfxdata="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iU7MZ2QAAAAoBAAAPAAAAAAAAAAEAIAAAACIAAABkcnMv&#10;ZG93bnJldi54bWxQSwECFAAUAAAACACHTuJABuIGOnQCAADXBAAADgAAAAAAAAABACAAAAAoAQAA&#10;ZHJzL2Uyb0RvYy54bWxQSwUGAAAAAAYABgBZAQAADgY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1208405</wp:posOffset>
                </wp:positionH>
                <wp:positionV relativeFrom="paragraph">
                  <wp:posOffset>963295</wp:posOffset>
                </wp:positionV>
                <wp:extent cx="2255520" cy="201930"/>
                <wp:effectExtent l="0" t="0" r="0" b="1143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63775" y="1862455"/>
                          <a:ext cx="2255520" cy="201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5E2054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15"/>
                                <w:szCs w:val="15"/>
                              </w:rPr>
                              <w:t>284681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</w:rPr>
                              <w:t xml:space="preserve"> individuals finally included in analysis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5.15pt;margin-top:75.85pt;height:15.9pt;width:177.6pt;z-index:-251649024;mso-width-relative:page;mso-height-relative:page;" fillcolor="#FFFFFF [3201]" filled="t" stroked="f" coordsize="21600,21600" o:gfxdata="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LpjsJfW&#10;AAAACwEAAA8AAAAAAAAAAQAgAAAAIgAAAGRycy9kb3ducmV2LnhtbFBLAQIUABQAAAAIAIdO4kAl&#10;9Z3OWwIAAJ0EAAAOAAAAAAAAAAEAIAAAACUBAABkcnMvZTJvRG9jLnhtbFBLBQYAAAAABgAGAFkB&#10;AADy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05E2054">
                      <w:pPr>
                        <w:spacing w:line="0" w:lineRule="atLeast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15"/>
                          <w:szCs w:val="15"/>
                        </w:rPr>
                        <w:t>284681</w:t>
                      </w:r>
                      <w:r>
                        <w:rPr>
                          <w:rFonts w:hint="eastAsia" w:ascii="Times New Roman" w:hAnsi="Times New Roman" w:cs="Times New Roman"/>
                          <w:sz w:val="15"/>
                          <w:szCs w:val="15"/>
                        </w:rPr>
                        <w:t xml:space="preserve"> individuals finally included in analysis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1249680</wp:posOffset>
                </wp:positionH>
                <wp:positionV relativeFrom="paragraph">
                  <wp:posOffset>996315</wp:posOffset>
                </wp:positionV>
                <wp:extent cx="1922145" cy="156845"/>
                <wp:effectExtent l="6350" t="6350" r="6985" b="1968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23415" y="1994535"/>
                          <a:ext cx="1922145" cy="1568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8.4pt;margin-top:78.45pt;height:12.35pt;width:151.35pt;z-index:251661312;v-text-anchor:middle;mso-width-relative:page;mso-height-relative:page;" filled="f" stroked="t" coordsize="21600,21600" o:gfxdata="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9lBLw2AAAAAsBAAAPAAAAAAAAAAEAIAAAACIAAABkcnMvZG93bnJl&#10;di54bWxQSwECFAAUAAAACACHTuJAqEvfO28CAADXBAAADgAAAAAAAAABACAAAAAnAQAAZHJzL2Uy&#10;b0RvYy54bWxQSwUGAAAAAAYABgBZAQAACAY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2162175</wp:posOffset>
                </wp:positionH>
                <wp:positionV relativeFrom="paragraph">
                  <wp:posOffset>422275</wp:posOffset>
                </wp:positionV>
                <wp:extent cx="0" cy="579120"/>
                <wp:effectExtent l="38100" t="0" r="38100" b="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93745" y="1485265"/>
                          <a:ext cx="0" cy="5791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70.25pt;margin-top:33.25pt;height:45.6pt;width:0pt;z-index:251662336;mso-width-relative:page;mso-height-relative:page;" filled="f" stroked="t" coordsize="21600,21600" o:gfxdata="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WMZbMdcAAAAKAQAADwAAAAAA&#10;AAABACAAAAAiAAAAZHJzL2Rvd25yZXYueG1sUEsBAhQAFAAAAAgAh07iQGVZzdoUAgAA7QMAAA4A&#10;AAAAAAAAAQAgAAAAJgEAAGRycy9lMm9Eb2MueG1sUEsFBgAAAAAGAAYAWQEAAKwFAAAAAA==&#10;">
                <v:fill on="f" focussize="0,0"/>
                <v:stroke weight="1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1068070</wp:posOffset>
                </wp:positionH>
                <wp:positionV relativeFrom="paragraph">
                  <wp:posOffset>-118745</wp:posOffset>
                </wp:positionV>
                <wp:extent cx="2300605" cy="556895"/>
                <wp:effectExtent l="0" t="0" r="635" b="698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56155" y="848995"/>
                          <a:ext cx="2300605" cy="556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B1DD8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A total of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5"/>
                                <w:szCs w:val="15"/>
                              </w:rPr>
                              <w:t>736678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individuals in 20 counties of shandong Province from January 1,2013 to December 31,2019 were included in the incidence and monitoring systems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4.1pt;margin-top:-9.35pt;height:43.85pt;width:181.15pt;z-index:-251650048;mso-width-relative:page;mso-height-relative:page;" fillcolor="#FFFFFF [3201]" filled="t" stroked="f" coordsize="21600,21600" o:gfxdata="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IyT9SvW&#10;AAAACgEAAA8AAAAAAAAAAQAgAAAAIgAAAGRycy9kb3ducmV2LnhtbFBLAQIUABQAAAAIAIdO4kBI&#10;1DxMWwIAAJoEAAAOAAAAAAAAAAEAIAAAACUBAABkcnMvZTJvRG9jLnhtbFBLBQYAAAAABgAGAFkB&#10;AADy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60B1DD8">
                      <w:pPr>
                        <w:spacing w:line="0" w:lineRule="atLeast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A total of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5"/>
                          <w:szCs w:val="15"/>
                        </w:rPr>
                        <w:t>736678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individuals in 20 counties of shandong Province from January 1,2013 to December 31,2019 were included in the incidence and monitoring systems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3604895</wp:posOffset>
                </wp:positionH>
                <wp:positionV relativeFrom="paragraph">
                  <wp:posOffset>102235</wp:posOffset>
                </wp:positionV>
                <wp:extent cx="1728470" cy="1013460"/>
                <wp:effectExtent l="0" t="0" r="8890" b="762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35525" y="1104265"/>
                          <a:ext cx="1728470" cy="1013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84AD74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29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missing basic information;</w:t>
                            </w:r>
                          </w:p>
                          <w:p w14:paraId="53FF07A4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752 logical errors;</w:t>
                            </w:r>
                          </w:p>
                          <w:p w14:paraId="79D509DF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46 non-first-time onset;</w:t>
                            </w:r>
                          </w:p>
                          <w:p w14:paraId="7CE8B468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193,095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outside the 2013-2019 period;</w:t>
                            </w:r>
                          </w:p>
                          <w:p w14:paraId="065DF87D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58,522 unclear address;</w:t>
                            </w:r>
                          </w:p>
                          <w:p w14:paraId="5E128CE1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49,341onset-to-death interval less than or equal to 30 days;</w:t>
                            </w:r>
                          </w:p>
                          <w:p w14:paraId="08B379CB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3,779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aged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</w:rPr>
                              <w:t xml:space="preserve">below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40 or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</w:rPr>
                              <w:t>above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99.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3.85pt;margin-top:8.05pt;height:79.8pt;width:136.1pt;z-index:-251651072;mso-width-relative:page;mso-height-relative:page;" fillcolor="#FFFFFF [3201]" filled="t" stroked="f" coordsize="21600,21600" o:gfxdata="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zSu6&#10;+dUAAAAKAQAADwAAAAAAAAABACAAAAAiAAAAZHJzL2Rvd25yZXYueG1sUEsBAhQAFAAAAAgAh07i&#10;QH1HbDheAgAAnAQAAA4AAAAAAAAAAQAgAAAAJA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384AD74">
                      <w:pPr>
                        <w:spacing w:line="0" w:lineRule="atLeast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29</w:t>
                      </w:r>
                      <w:r>
                        <w:rPr>
                          <w:rFonts w:hint="eastAsia" w:ascii="Times New Roman" w:hAnsi="Times New Roman" w:cs="Times New Roman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missing basic information;</w:t>
                      </w:r>
                    </w:p>
                    <w:p w14:paraId="53FF07A4">
                      <w:pPr>
                        <w:spacing w:line="0" w:lineRule="atLeast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752 logical errors;</w:t>
                      </w:r>
                    </w:p>
                    <w:p w14:paraId="79D509DF">
                      <w:pPr>
                        <w:spacing w:line="0" w:lineRule="atLeast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46 non-first-time onset;</w:t>
                      </w:r>
                    </w:p>
                    <w:p w14:paraId="7CE8B468">
                      <w:pPr>
                        <w:spacing w:line="0" w:lineRule="atLeast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193,095</w:t>
                      </w:r>
                      <w:r>
                        <w:rPr>
                          <w:rFonts w:hint="eastAsia" w:ascii="Times New Roman" w:hAnsi="Times New Roman" w:cs="Times New Roman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outside the 2013-2019 period;</w:t>
                      </w:r>
                    </w:p>
                    <w:p w14:paraId="065DF87D">
                      <w:pPr>
                        <w:spacing w:line="0" w:lineRule="atLeast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58,522 unclear address;</w:t>
                      </w:r>
                    </w:p>
                    <w:p w14:paraId="5E128CE1">
                      <w:pPr>
                        <w:spacing w:line="0" w:lineRule="atLeast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49,341onset-to-death interval less than or equal to 30 days;</w:t>
                      </w:r>
                    </w:p>
                    <w:p w14:paraId="08B379CB">
                      <w:pPr>
                        <w:spacing w:line="0" w:lineRule="atLeast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3,779</w:t>
                      </w:r>
                      <w:r>
                        <w:rPr>
                          <w:rFonts w:hint="eastAsia" w:ascii="Times New Roman" w:hAnsi="Times New Roman" w:cs="Times New Roman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aged </w:t>
                      </w:r>
                      <w:r>
                        <w:rPr>
                          <w:rFonts w:hint="eastAsia" w:ascii="Times New Roman" w:hAnsi="Times New Roman" w:cs="Times New Roman"/>
                          <w:sz w:val="15"/>
                          <w:szCs w:val="15"/>
                        </w:rPr>
                        <w:t xml:space="preserve">below 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40 or </w:t>
                      </w:r>
                      <w:r>
                        <w:rPr>
                          <w:rFonts w:hint="eastAsia" w:ascii="Times New Roman" w:hAnsi="Times New Roman" w:cs="Times New Roman"/>
                          <w:sz w:val="15"/>
                          <w:szCs w:val="15"/>
                        </w:rPr>
                        <w:t>above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99.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2168525</wp:posOffset>
                </wp:positionH>
                <wp:positionV relativeFrom="paragraph">
                  <wp:posOffset>879475</wp:posOffset>
                </wp:positionV>
                <wp:extent cx="1504950" cy="0"/>
                <wp:effectExtent l="0" t="6350" r="0" b="63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11525" y="1793875"/>
                          <a:ext cx="1504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0.75pt;margin-top:69.25pt;height:0pt;width:118.5pt;z-index:251664384;mso-width-relative:page;mso-height-relative:page;" filled="f" stroked="t" coordsize="21600,21600" o:gfxdata="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YF1i7tgAAAALAQAADwAAAAAAAAABACAAAAAiAAAAZHJzL2Rvd25yZXYueG1sUEsBAhQA&#10;FAAAAAgAh07iQK2lc5fyAQAAvgMAAA4AAAAAAAAAAQAgAAAAJwEAAGRycy9lMm9Eb2MueG1sUEsF&#10;BgAAAAAGAAYAWQEAAIs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1135380</wp:posOffset>
                </wp:positionH>
                <wp:positionV relativeFrom="paragraph">
                  <wp:posOffset>-73025</wp:posOffset>
                </wp:positionV>
                <wp:extent cx="2212340" cy="488950"/>
                <wp:effectExtent l="6350" t="6350" r="6350" b="762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28495" y="841375"/>
                          <a:ext cx="2212340" cy="488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9.4pt;margin-top:-5.75pt;height:38.5pt;width:174.2pt;z-index:251660288;v-text-anchor:middle;mso-width-relative:page;mso-height-relative:page;" filled="f" stroked="t" coordsize="21600,21600" o:gfxdata="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iGA8O2AAAAAoBAAAPAAAAAAAAAAEAIAAAACIAAABkcnMvZG93&#10;bnJldi54bWxQSwECFAAUAAAACACHTuJAvIoKlHICAADWBAAADgAAAAAAAAABACAAAAAnAQAAZHJz&#10;L2Uyb0RvYy54bWxQSwUGAAAAAAYABgBZAQAACwY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</w:rPr>
        <w:tab/>
      </w:r>
    </w:p>
    <w:p w14:paraId="4ECBCDCB">
      <w:pPr>
        <w:widowControl/>
        <w:jc w:val="left"/>
        <w:rPr>
          <w:rFonts w:hint="default" w:ascii="Times New Roman" w:hAnsi="Times New Roman" w:cs="Times New Roman"/>
        </w:rPr>
      </w:pPr>
    </w:p>
    <w:p w14:paraId="1351AA24">
      <w:pPr>
        <w:widowControl/>
        <w:jc w:val="left"/>
        <w:rPr>
          <w:rFonts w:hint="default" w:ascii="Times New Roman" w:hAnsi="Times New Roman" w:cs="Times New Roman"/>
        </w:rPr>
      </w:pPr>
    </w:p>
    <w:p w14:paraId="351B00E6">
      <w:pPr>
        <w:widowControl/>
        <w:jc w:val="left"/>
        <w:rPr>
          <w:rFonts w:hint="default" w:ascii="Times New Roman" w:hAnsi="Times New Roman" w:cs="Times New Roman"/>
        </w:rPr>
      </w:pPr>
    </w:p>
    <w:p w14:paraId="1E8EAF05">
      <w:pPr>
        <w:widowControl/>
        <w:jc w:val="left"/>
        <w:rPr>
          <w:rFonts w:hint="default" w:ascii="Times New Roman" w:hAnsi="Times New Roman" w:cs="Times New Roman"/>
        </w:rPr>
      </w:pPr>
    </w:p>
    <w:p w14:paraId="53C022FF">
      <w:pPr>
        <w:widowControl/>
        <w:jc w:val="left"/>
        <w:rPr>
          <w:rFonts w:hint="default" w:ascii="Times New Roman" w:hAnsi="Times New Roman" w:cs="Times New Roman"/>
        </w:rPr>
      </w:pPr>
    </w:p>
    <w:p w14:paraId="0A37398A">
      <w:pPr>
        <w:widowControl/>
        <w:jc w:val="left"/>
        <w:rPr>
          <w:rFonts w:hint="default" w:ascii="Times New Roman" w:hAnsi="Times New Roman" w:cs="Times New Roman"/>
        </w:rPr>
      </w:pPr>
    </w:p>
    <w:p w14:paraId="3BCD93D6">
      <w:pPr>
        <w:widowControl/>
        <w:jc w:val="left"/>
        <w:rPr>
          <w:rFonts w:hint="default" w:ascii="Times New Roman" w:hAnsi="Times New Roman" w:cs="Times New Roman"/>
        </w:rPr>
      </w:pPr>
    </w:p>
    <w:p w14:paraId="0BA2172D">
      <w:pPr>
        <w:widowControl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1642110</wp:posOffset>
                </wp:positionH>
                <wp:positionV relativeFrom="paragraph">
                  <wp:posOffset>126365</wp:posOffset>
                </wp:positionV>
                <wp:extent cx="1035050" cy="325120"/>
                <wp:effectExtent l="6350" t="0" r="10160" b="1016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5050" cy="325120"/>
                          <a:chOff x="2423" y="4457"/>
                          <a:chExt cx="1630" cy="512"/>
                        </a:xfrm>
                      </wpg:grpSpPr>
                      <wps:wsp>
                        <wps:cNvPr id="18" name="文本框 18"/>
                        <wps:cNvSpPr txBox="1"/>
                        <wps:spPr>
                          <a:xfrm>
                            <a:off x="2423" y="4457"/>
                            <a:ext cx="1630" cy="5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D85C6A">
                              <w:pPr>
                                <w:spacing w:line="0" w:lineRule="atLeast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  <w:t xml:space="preserve">249537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15"/>
                                  <w:szCs w:val="15"/>
                                </w:rPr>
                                <w:t>participants with ischemic stroke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7" name="矩形 17"/>
                        <wps:cNvSpPr/>
                        <wps:spPr>
                          <a:xfrm>
                            <a:off x="2423" y="4494"/>
                            <a:ext cx="1623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9.3pt;margin-top:9.95pt;height:25.6pt;width:81.5pt;z-index:251659264;mso-width-relative:page;mso-height-relative:page;" coordorigin="2423,4457" coordsize="1630,512" o:gfxdata="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">
                <o:lock v:ext="edit" aspectratio="f"/>
                <v:shape id="_x0000_s1026" o:spid="_x0000_s1026" o:spt="202" type="#_x0000_t202" style="position:absolute;left:2423;top:4457;height:512;width:1630;" fillcolor="#FFFFFF [3201]" filled="t" stroked="f" coordsize="21600,21600" o:gfxdata="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Fxqaw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 w14:paraId="2DD85C6A">
                        <w:pPr>
                          <w:spacing w:line="0" w:lineRule="atLeast"/>
                          <w:rPr>
                            <w:rFonts w:ascii="Times New Roman" w:hAnsi="Times New Roman" w:cs="Times New Roman"/>
                            <w:b/>
                            <w:bCs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b/>
                            <w:bCs/>
                            <w:sz w:val="15"/>
                            <w:szCs w:val="15"/>
                          </w:rPr>
                          <w:t xml:space="preserve">249537 </w:t>
                        </w:r>
                        <w:r>
                          <w:rPr>
                            <w:rFonts w:hint="eastAsia" w:ascii="Times New Roman" w:hAnsi="Times New Roman" w:cs="Times New Roman"/>
                            <w:sz w:val="15"/>
                            <w:szCs w:val="15"/>
                          </w:rPr>
                          <w:t>participants with ischemic stroke</w:t>
                        </w:r>
                      </w:p>
                    </w:txbxContent>
                  </v:textbox>
                </v:shape>
                <v:rect id="_x0000_s1026" o:spid="_x0000_s1026" o:spt="1" style="position:absolute;left:2423;top:4494;height:448;width:1623;v-text-anchor:middle;" filled="f" stroked="t" coordsize="21600,21600" o:gfxdata="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wEGab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 w14:paraId="4AE564F4">
      <w:pPr>
        <w:widowControl/>
        <w:jc w:val="left"/>
        <w:rPr>
          <w:rFonts w:hint="default" w:ascii="Times New Roman" w:hAnsi="Times New Roman" w:cs="Times New Roman"/>
        </w:rPr>
      </w:pPr>
    </w:p>
    <w:p w14:paraId="15F7EF48">
      <w:pPr>
        <w:widowControl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2153920</wp:posOffset>
                </wp:positionH>
                <wp:positionV relativeFrom="paragraph">
                  <wp:posOffset>37465</wp:posOffset>
                </wp:positionV>
                <wp:extent cx="0" cy="224790"/>
                <wp:effectExtent l="38100" t="0" r="38100" b="3810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47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9.6pt;margin-top:2.95pt;height:17.7pt;width:0pt;z-index:251669504;mso-width-relative:page;mso-height-relative:page;" filled="f" stroked="t" coordsize="21600,21600" o:gfxdata="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xJYiD1gAAAAgBAAAPAAAAAAAAAAEAIAAAACIAAABkcnMv&#10;ZG93bnJldi54bWxQSwECFAAUAAAACACHTuJA1bir8wUCAADjAwAADgAAAAAAAAABACAAAAAlAQAA&#10;ZHJzL2Uyb0RvYy54bWxQSwUGAAAAAAYABgBZAQAAnAUAAAAA&#10;">
                <v:fill on="f" focussize="0,0"/>
                <v:stroke weight="1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DA66E04">
      <w:pPr>
        <w:widowControl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1604010</wp:posOffset>
                </wp:positionH>
                <wp:positionV relativeFrom="paragraph">
                  <wp:posOffset>48895</wp:posOffset>
                </wp:positionV>
                <wp:extent cx="1276350" cy="506730"/>
                <wp:effectExtent l="0" t="0" r="3810" b="1143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0" cy="506730"/>
                          <a:chOff x="2350" y="4464"/>
                          <a:chExt cx="2010" cy="418"/>
                        </a:xfrm>
                      </wpg:grpSpPr>
                      <wps:wsp>
                        <wps:cNvPr id="29" name="文本框 18"/>
                        <wps:cNvSpPr txBox="1"/>
                        <wps:spPr>
                          <a:xfrm>
                            <a:off x="2350" y="4464"/>
                            <a:ext cx="2010" cy="41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AA2213">
                              <w:pPr>
                                <w:spacing w:line="0" w:lineRule="atLeast"/>
                                <w:rPr>
                                  <w:rFonts w:ascii="Times New Roman" w:hAnsi="Times New Roman" w:cs="Times New Roma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  <w:t xml:space="preserve">41144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15"/>
                                  <w:szCs w:val="15"/>
                                </w:rPr>
                                <w:t>all-cause mortality</w:t>
                              </w:r>
                            </w:p>
                            <w:p w14:paraId="4DEA0865">
                              <w:pPr>
                                <w:spacing w:line="0" w:lineRule="atLeast"/>
                                <w:rPr>
                                  <w:rFonts w:ascii="Times New Roman" w:hAnsi="Times New Roman" w:cs="Times New Roma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  <w:t>24769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15"/>
                                  <w:szCs w:val="15"/>
                                </w:rPr>
                                <w:t xml:space="preserve"> CVD mortality</w:t>
                              </w:r>
                            </w:p>
                            <w:p w14:paraId="2650EE33">
                              <w:pPr>
                                <w:spacing w:line="0" w:lineRule="atLeast"/>
                                <w:rPr>
                                  <w:rFonts w:ascii="Times New Roman" w:hAnsi="Times New Roman" w:cs="Times New Roma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  <w:t>15921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15"/>
                                  <w:szCs w:val="15"/>
                                </w:rPr>
                                <w:t xml:space="preserve"> stoke mortality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" name="矩形 17"/>
                        <wps:cNvSpPr/>
                        <wps:spPr>
                          <a:xfrm>
                            <a:off x="2423" y="4494"/>
                            <a:ext cx="1676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6.3pt;margin-top:3.85pt;height:39.9pt;width:100.5pt;z-index:251670528;mso-width-relative:page;mso-height-relative:page;" coordorigin="2350,4464" coordsize="2010,418" o:gfxdata="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">
                <o:lock v:ext="edit" aspectratio="f"/>
                <v:shape id="文本框 18" o:spid="_x0000_s1026" o:spt="202" type="#_x0000_t202" style="position:absolute;left:2350;top:4464;height:418;width:2010;" fillcolor="#FFFFFF [3201]" filled="t" stroked="f" coordsize="21600,21600" o:gfxdata="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TmyZa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 w14:paraId="44AA2213">
                        <w:pPr>
                          <w:spacing w:line="0" w:lineRule="atLeast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b/>
                            <w:bCs/>
                            <w:sz w:val="15"/>
                            <w:szCs w:val="15"/>
                          </w:rPr>
                          <w:t xml:space="preserve">41144 </w:t>
                        </w:r>
                        <w:r>
                          <w:rPr>
                            <w:rFonts w:hint="eastAsia" w:ascii="Times New Roman" w:hAnsi="Times New Roman" w:cs="Times New Roman"/>
                            <w:sz w:val="15"/>
                            <w:szCs w:val="15"/>
                          </w:rPr>
                          <w:t>all-cause mortality</w:t>
                        </w:r>
                      </w:p>
                      <w:p w14:paraId="4DEA0865">
                        <w:pPr>
                          <w:spacing w:line="0" w:lineRule="atLeast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b/>
                            <w:bCs/>
                            <w:sz w:val="15"/>
                            <w:szCs w:val="15"/>
                          </w:rPr>
                          <w:t>24769</w:t>
                        </w:r>
                        <w:r>
                          <w:rPr>
                            <w:rFonts w:hint="eastAsia" w:ascii="Times New Roman" w:hAnsi="Times New Roman" w:cs="Times New Roman"/>
                            <w:sz w:val="15"/>
                            <w:szCs w:val="15"/>
                          </w:rPr>
                          <w:t xml:space="preserve"> CVD mortality</w:t>
                        </w:r>
                      </w:p>
                      <w:p w14:paraId="2650EE33">
                        <w:pPr>
                          <w:spacing w:line="0" w:lineRule="atLeast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b/>
                            <w:bCs/>
                            <w:sz w:val="15"/>
                            <w:szCs w:val="15"/>
                          </w:rPr>
                          <w:t>15921</w:t>
                        </w:r>
                        <w:r>
                          <w:rPr>
                            <w:rFonts w:hint="eastAsia" w:ascii="Times New Roman" w:hAnsi="Times New Roman" w:cs="Times New Roman"/>
                            <w:sz w:val="15"/>
                            <w:szCs w:val="15"/>
                          </w:rPr>
                          <w:t xml:space="preserve"> stoke mortality </w:t>
                        </w:r>
                      </w:p>
                    </w:txbxContent>
                  </v:textbox>
                </v:shape>
                <v:rect id="矩形 17" o:spid="_x0000_s1026" o:spt="1" style="position:absolute;left:2423;top:4494;height:302;width:1676;v-text-anchor:middle;" filled="f" stroked="t" coordsize="21600,21600" o:gfxdata="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XcJ9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 w14:paraId="10FE9856">
      <w:pPr>
        <w:widowControl/>
        <w:jc w:val="left"/>
        <w:rPr>
          <w:rFonts w:hint="default" w:ascii="Times New Roman" w:hAnsi="Times New Roman" w:cs="Times New Roman"/>
        </w:rPr>
      </w:pPr>
    </w:p>
    <w:p w14:paraId="4F4879CE">
      <w:pPr>
        <w:widowControl/>
        <w:jc w:val="left"/>
        <w:rPr>
          <w:rFonts w:hint="default" w:ascii="Times New Roman" w:hAnsi="Times New Roman" w:cs="Times New Roman"/>
        </w:rPr>
      </w:pPr>
    </w:p>
    <w:p w14:paraId="2D1B1FBD">
      <w:pPr>
        <w:widowControl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Figure S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Figure_S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1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  <w:lang w:val="en-US" w:eastAsia="zh-CN"/>
        </w:rPr>
        <w:t xml:space="preserve"> Detailed descriptions of cohort construction processes</w:t>
      </w:r>
    </w:p>
    <w:p w14:paraId="461CE073">
      <w:pPr>
        <w:widowControl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4702810" cy="2273300"/>
            <wp:effectExtent l="0" t="0" r="2540" b="0"/>
            <wp:docPr id="55050636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506364" name="图片 2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5" t="23648" b="10724"/>
                    <a:stretch>
                      <a:fillRect/>
                    </a:stretch>
                  </pic:blipFill>
                  <pic:spPr>
                    <a:xfrm>
                      <a:off x="0" y="0"/>
                      <a:ext cx="4702810" cy="2273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51D3D">
      <w:pPr>
        <w:widowControl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Figure S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Figure_S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2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 xml:space="preserve"> Geographical Locations of 20 Counties/Districts in Shandong Province</w:t>
      </w:r>
    </w:p>
    <w:p w14:paraId="46D509DB">
      <w:pPr>
        <w:widowControl/>
        <w:jc w:val="left"/>
        <w:rPr>
          <w:rFonts w:hint="default" w:ascii="Times New Roman" w:hAnsi="Times New Roman" w:cs="Times New Roman"/>
          <w:sz w:val="15"/>
          <w:szCs w:val="16"/>
        </w:rPr>
      </w:pPr>
      <w:r>
        <w:rPr>
          <w:rFonts w:hint="default" w:ascii="Times New Roman" w:hAnsi="Times New Roman" w:cs="Times New Roman"/>
          <w:sz w:val="16"/>
          <w:szCs w:val="18"/>
        </w:rPr>
        <w:t xml:space="preserve">Note: </w:t>
      </w:r>
      <w:r>
        <w:rPr>
          <w:rFonts w:hint="default" w:ascii="Times New Roman" w:hAnsi="Times New Roman" w:cs="Times New Roman"/>
          <w:sz w:val="15"/>
          <w:szCs w:val="16"/>
        </w:rPr>
        <w:t>Based on the topography and climatic characteristics of Shandong Province, this study employed stratified random sampling to select 20 counties/districts from four major regions:</w:t>
      </w:r>
    </w:p>
    <w:p w14:paraId="75E7E3CF">
      <w:pPr>
        <w:widowControl/>
        <w:jc w:val="left"/>
        <w:rPr>
          <w:rFonts w:hint="default" w:ascii="Times New Roman" w:hAnsi="Times New Roman" w:cs="Times New Roman"/>
          <w:sz w:val="15"/>
          <w:szCs w:val="16"/>
        </w:rPr>
      </w:pPr>
      <w:r>
        <w:rPr>
          <w:rFonts w:hint="default" w:ascii="Times New Roman" w:hAnsi="Times New Roman" w:cs="Times New Roman"/>
          <w:sz w:val="15"/>
          <w:szCs w:val="16"/>
        </w:rPr>
        <w:t>midland region (Huaiyi, Feichen, Laiw, Zhangdia, Yiyua)</w:t>
      </w:r>
    </w:p>
    <w:p w14:paraId="5C1B6074">
      <w:pPr>
        <w:widowControl/>
        <w:jc w:val="left"/>
        <w:rPr>
          <w:rFonts w:hint="default" w:ascii="Times New Roman" w:hAnsi="Times New Roman" w:cs="Times New Roman"/>
          <w:sz w:val="15"/>
          <w:szCs w:val="16"/>
        </w:rPr>
      </w:pPr>
      <w:r>
        <w:rPr>
          <w:rFonts w:hint="default" w:ascii="Times New Roman" w:hAnsi="Times New Roman" w:cs="Times New Roman"/>
          <w:sz w:val="15"/>
          <w:szCs w:val="16"/>
        </w:rPr>
        <w:t>Peninsula region (Wenden, Fusha, Pengla, Gaom, Shouguang)</w:t>
      </w:r>
    </w:p>
    <w:p w14:paraId="21501D7B">
      <w:pPr>
        <w:widowControl/>
        <w:jc w:val="left"/>
        <w:rPr>
          <w:rFonts w:hint="default" w:ascii="Times New Roman" w:hAnsi="Times New Roman" w:cs="Times New Roman"/>
          <w:sz w:val="15"/>
          <w:szCs w:val="16"/>
        </w:rPr>
      </w:pPr>
      <w:r>
        <w:rPr>
          <w:rFonts w:hint="default" w:ascii="Times New Roman" w:hAnsi="Times New Roman" w:cs="Times New Roman"/>
          <w:sz w:val="15"/>
          <w:szCs w:val="16"/>
        </w:rPr>
        <w:t>Southwest region (Muda, Chengw, Zouchen, Xuecheng , Junan, Pingy)</w:t>
      </w:r>
    </w:p>
    <w:p w14:paraId="1987BB46">
      <w:pPr>
        <w:widowControl/>
        <w:jc w:val="left"/>
        <w:rPr>
          <w:rFonts w:hint="default" w:ascii="Times New Roman" w:hAnsi="Times New Roman" w:cs="Times New Roman"/>
          <w:sz w:val="15"/>
          <w:szCs w:val="16"/>
        </w:rPr>
      </w:pPr>
      <w:r>
        <w:rPr>
          <w:rFonts w:hint="default" w:ascii="Times New Roman" w:hAnsi="Times New Roman" w:cs="Times New Roman"/>
          <w:sz w:val="15"/>
          <w:szCs w:val="16"/>
        </w:rPr>
        <w:t>Northwest region (Gaotan, Wuchen, LeLin, Binchen)</w:t>
      </w:r>
    </w:p>
    <w:p w14:paraId="677E0EB5">
      <w:pPr>
        <w:widowControl/>
        <w:jc w:val="left"/>
        <w:rPr>
          <w:rFonts w:hint="default" w:ascii="Times New Roman" w:hAnsi="Times New Roman" w:cs="Times New Roman"/>
        </w:rPr>
      </w:pPr>
    </w:p>
    <w:p w14:paraId="7A6A13C8">
      <w:pPr>
        <w:widowControl/>
        <w:jc w:val="left"/>
        <w:rPr>
          <w:rFonts w:hint="default" w:ascii="Times New Roman" w:hAnsi="Times New Roman" w:cs="Times New Roman"/>
        </w:rPr>
      </w:pPr>
    </w:p>
    <w:p w14:paraId="75120ADB">
      <w:pPr>
        <w:widowControl/>
        <w:jc w:val="left"/>
        <w:rPr>
          <w:rFonts w:hint="default" w:ascii="Times New Roman" w:hAnsi="Times New Roman" w:cs="Times New Roman"/>
        </w:rPr>
      </w:pPr>
    </w:p>
    <w:p w14:paraId="787547A0">
      <w:pPr>
        <w:widowControl/>
        <w:jc w:val="left"/>
        <w:rPr>
          <w:rFonts w:hint="default" w:ascii="Times New Roman" w:hAnsi="Times New Roman" w:cs="Times New Roman"/>
        </w:rPr>
      </w:pPr>
    </w:p>
    <w:p w14:paraId="137243E3">
      <w:pPr>
        <w:widowControl/>
        <w:jc w:val="left"/>
        <w:rPr>
          <w:rFonts w:hint="default" w:ascii="Times New Roman" w:hAnsi="Times New Roman" w:cs="Times New Roman"/>
        </w:rPr>
      </w:pPr>
    </w:p>
    <w:p w14:paraId="0B7D7751">
      <w:pPr>
        <w:widowControl/>
        <w:jc w:val="left"/>
        <w:rPr>
          <w:rFonts w:hint="default" w:ascii="Times New Roman" w:hAnsi="Times New Roman" w:cs="Times New Roman"/>
        </w:rPr>
      </w:pPr>
    </w:p>
    <w:p w14:paraId="117F064B">
      <w:pPr>
        <w:widowControl/>
        <w:jc w:val="left"/>
        <w:rPr>
          <w:rFonts w:hint="default" w:ascii="Times New Roman" w:hAnsi="Times New Roman" w:cs="Times New Roman"/>
        </w:rPr>
      </w:pPr>
    </w:p>
    <w:p w14:paraId="7EE68DE7">
      <w:pPr>
        <w:widowControl/>
        <w:jc w:val="left"/>
        <w:rPr>
          <w:rFonts w:hint="default" w:ascii="Times New Roman" w:hAnsi="Times New Roman" w:cs="Times New Roman"/>
        </w:rPr>
      </w:pPr>
    </w:p>
    <w:p w14:paraId="162991E1">
      <w:pPr>
        <w:widowControl/>
        <w:jc w:val="left"/>
        <w:rPr>
          <w:rFonts w:hint="default" w:ascii="Times New Roman" w:hAnsi="Times New Roman" w:cs="Times New Roman"/>
        </w:rPr>
      </w:pPr>
    </w:p>
    <w:p w14:paraId="278624FF">
      <w:pPr>
        <w:widowControl/>
        <w:jc w:val="left"/>
        <w:rPr>
          <w:rFonts w:hint="default" w:ascii="Times New Roman" w:hAnsi="Times New Roman" w:cs="Times New Roman"/>
        </w:rPr>
      </w:pPr>
    </w:p>
    <w:p w14:paraId="0460CEED">
      <w:pPr>
        <w:widowControl/>
        <w:jc w:val="left"/>
        <w:rPr>
          <w:rFonts w:hint="default" w:ascii="Times New Roman" w:hAnsi="Times New Roman" w:cs="Times New Roman"/>
        </w:rPr>
      </w:pPr>
    </w:p>
    <w:p w14:paraId="635643FF">
      <w:pPr>
        <w:rPr>
          <w:rFonts w:hint="default" w:ascii="Times New Roman" w:hAnsi="Times New Roman" w:cs="Times New Roman"/>
          <w:b/>
          <w:bCs/>
          <w:highlight w:val="yellow"/>
        </w:rPr>
      </w:pPr>
      <w:r>
        <w:rPr>
          <w:rFonts w:hint="default" w:ascii="Times New Roman" w:hAnsi="Times New Roman" w:cs="Times New Roman"/>
        </w:rPr>
        <w:t>Table S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Table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1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  <w:b/>
          <w:bCs/>
        </w:rPr>
        <w:t xml:space="preserve"> </w:t>
      </w:r>
      <w:r>
        <w:rPr>
          <w:rFonts w:hint="default" w:ascii="Times New Roman" w:hAnsi="Times New Roman" w:cs="Times New Roman"/>
        </w:rPr>
        <w:t>Description of the study cohorts and baseline characteristics</w:t>
      </w:r>
      <w:r>
        <w:rPr>
          <w:rFonts w:hint="default" w:ascii="Times New Roman" w:hAnsi="Times New Roman" w:cs="Times New Roman"/>
        </w:rPr>
        <w:t xml:space="preserve"> 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2"/>
        <w:gridCol w:w="3310"/>
      </w:tblGrid>
      <w:tr w14:paraId="23FB4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58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763C976E">
            <w:pPr>
              <w:rPr>
                <w:rFonts w:hint="default" w:ascii="Times New Roman" w:hAnsi="Times New Roman" w:cs="Times New Roman" w:eastAsiaTheme="majorEastAsia"/>
                <w:szCs w:val="21"/>
              </w:rPr>
            </w:pPr>
          </w:p>
        </w:tc>
        <w:tc>
          <w:tcPr>
            <w:tcW w:w="1942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0D8A403D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Ischemic Stroke Cohort</w:t>
            </w:r>
          </w:p>
        </w:tc>
      </w:tr>
      <w:tr w14:paraId="2F9DF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5D848C3">
            <w:pPr>
              <w:rPr>
                <w:rFonts w:hint="default" w:ascii="Times New Roman" w:hAnsi="Times New Roman" w:cs="Times New Roman" w:eastAsiaTheme="majorEastAsia"/>
                <w:b/>
                <w:bCs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szCs w:val="21"/>
              </w:rPr>
              <w:t>Cohort details</w:t>
            </w:r>
          </w:p>
          <w:p w14:paraId="58A23F47">
            <w:pPr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Participants with complete data</w:t>
            </w:r>
          </w:p>
        </w:tc>
        <w:tc>
          <w:tcPr>
            <w:tcW w:w="1942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3625D09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</w:p>
          <w:p w14:paraId="4F97FEBB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249537</w:t>
            </w:r>
          </w:p>
        </w:tc>
      </w:tr>
      <w:tr w14:paraId="15592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5B55D778">
            <w:pPr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Person-years at end of follow-up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073810A8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587708</w:t>
            </w:r>
          </w:p>
        </w:tc>
      </w:tr>
      <w:tr w14:paraId="6E297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5A0C48AD">
            <w:pPr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 xml:space="preserve">stroke mortality, </w:t>
            </w:r>
          </w:p>
          <w:p w14:paraId="17C75CF6">
            <w:pPr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n (rate per 1000  person-years,‰)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564602FC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15921(27.09)</w:t>
            </w:r>
          </w:p>
        </w:tc>
      </w:tr>
      <w:tr w14:paraId="3B829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2CD87E3B">
            <w:pPr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 xml:space="preserve">cardiovascular mortality, </w:t>
            </w:r>
          </w:p>
          <w:p w14:paraId="478D9C72">
            <w:pPr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n (rate per 1000 person-years, ‰)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1EB79F74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43148(73.42)</w:t>
            </w:r>
          </w:p>
        </w:tc>
      </w:tr>
      <w:tr w14:paraId="3B350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32742153">
            <w:pPr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 xml:space="preserve">all-cause mortality, </w:t>
            </w:r>
          </w:p>
          <w:p w14:paraId="1C52973A">
            <w:pPr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n (rate per 1000 person-years, ‰)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2780526E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41144(70.01)</w:t>
            </w:r>
          </w:p>
        </w:tc>
      </w:tr>
      <w:tr w14:paraId="5F396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7CD6CC6E">
            <w:pPr>
              <w:rPr>
                <w:rFonts w:hint="default" w:ascii="Times New Roman" w:hAnsi="Times New Roman" w:cs="Times New Roman" w:eastAsiaTheme="majorEastAsia"/>
                <w:iCs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szCs w:val="21"/>
              </w:rPr>
              <w:t>Sex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576D9072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</w:p>
        </w:tc>
      </w:tr>
      <w:tr w14:paraId="41A1B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391BBF89">
            <w:pPr>
              <w:rPr>
                <w:rFonts w:hint="default" w:ascii="Times New Roman" w:hAnsi="Times New Roman" w:cs="Times New Roman" w:eastAsiaTheme="majorEastAsia"/>
                <w:iCs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Male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788FC7FA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133780(53.61%)</w:t>
            </w:r>
          </w:p>
        </w:tc>
      </w:tr>
      <w:tr w14:paraId="5FF17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7396EBA4">
            <w:pPr>
              <w:rPr>
                <w:rFonts w:hint="default" w:ascii="Times New Roman" w:hAnsi="Times New Roman" w:cs="Times New Roman" w:eastAsiaTheme="majorEastAsia"/>
                <w:iCs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Female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7FDADB8D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115757( 46.39%)</w:t>
            </w:r>
          </w:p>
        </w:tc>
      </w:tr>
      <w:tr w14:paraId="5345A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4DD86469">
            <w:pPr>
              <w:rPr>
                <w:rFonts w:hint="default" w:ascii="Times New Roman" w:hAnsi="Times New Roman" w:cs="Times New Roman" w:eastAsiaTheme="majorEastAsia"/>
                <w:iCs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szCs w:val="21"/>
              </w:rPr>
              <w:t>Age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0190E9B0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</w:p>
        </w:tc>
      </w:tr>
      <w:tr w14:paraId="07CE8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32517837">
            <w:pPr>
              <w:rPr>
                <w:rFonts w:hint="default" w:ascii="Times New Roman" w:hAnsi="Times New Roman" w:cs="Times New Roman" w:eastAsiaTheme="majorEastAsia"/>
                <w:iCs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iCs/>
                <w:szCs w:val="21"/>
              </w:rPr>
              <w:t>&lt;60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7A7D9810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57979(23.23%)</w:t>
            </w:r>
          </w:p>
        </w:tc>
      </w:tr>
      <w:tr w14:paraId="0EFCB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18974A4C">
            <w:pPr>
              <w:rPr>
                <w:rFonts w:hint="default" w:ascii="Times New Roman" w:hAnsi="Times New Roman" w:cs="Times New Roman" w:eastAsiaTheme="majorEastAsia"/>
                <w:iCs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&gt;=60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7F0A110F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191558(76.77%)</w:t>
            </w:r>
          </w:p>
        </w:tc>
      </w:tr>
      <w:tr w14:paraId="05CE1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108449A9">
            <w:pPr>
              <w:jc w:val="left"/>
              <w:rPr>
                <w:rFonts w:hint="default" w:ascii="Times New Roman" w:hAnsi="Times New Roman" w:cs="Times New Roman" w:eastAsiaTheme="majorEastAsia"/>
                <w:b/>
                <w:bCs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szCs w:val="21"/>
              </w:rPr>
              <w:t>Region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3E0A8D85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</w:p>
        </w:tc>
      </w:tr>
      <w:tr w14:paraId="3F236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4F04136A">
            <w:pPr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Urban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6A69BADF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116561(46.71%)</w:t>
            </w:r>
          </w:p>
        </w:tc>
      </w:tr>
      <w:tr w14:paraId="28D94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4BD05415">
            <w:pPr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Rural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12368319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132976(53.29%)</w:t>
            </w:r>
          </w:p>
        </w:tc>
      </w:tr>
      <w:tr w14:paraId="43E79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335DFBEE">
            <w:pPr>
              <w:rPr>
                <w:rFonts w:hint="default" w:ascii="Times New Roman" w:hAnsi="Times New Roman" w:cs="Times New Roman" w:eastAsiaTheme="majorEastAsia"/>
                <w:b/>
                <w:bCs/>
                <w:iCs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Cs/>
                <w:szCs w:val="21"/>
              </w:rPr>
              <w:t>Covariate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3796B6D3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</w:p>
        </w:tc>
      </w:tr>
      <w:tr w14:paraId="27096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27AC9DA3">
            <w:pPr>
              <w:rPr>
                <w:rFonts w:hint="default" w:ascii="Times New Roman" w:hAnsi="Times New Roman" w:cs="Times New Roman" w:eastAsiaTheme="majorEastAsia"/>
                <w:b/>
                <w:bCs/>
                <w:iCs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Cs/>
                <w:szCs w:val="21"/>
              </w:rPr>
              <w:t>County level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242835E8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</w:p>
        </w:tc>
      </w:tr>
      <w:tr w14:paraId="68CA4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2E02651C">
            <w:pPr>
              <w:rPr>
                <w:rFonts w:hint="default" w:ascii="Times New Roman" w:hAnsi="Times New Roman" w:cs="Times New Roman" w:eastAsiaTheme="majorEastAsia"/>
                <w:iCs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iCs/>
                <w:szCs w:val="21"/>
              </w:rPr>
              <w:t>GDP per capita (CNY)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2CEDB059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65862.32(36647.51)</w:t>
            </w:r>
          </w:p>
        </w:tc>
      </w:tr>
      <w:tr w14:paraId="0E791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32945264">
            <w:pPr>
              <w:rPr>
                <w:rFonts w:hint="default" w:ascii="Times New Roman" w:hAnsi="Times New Roman" w:cs="Times New Roman" w:eastAsiaTheme="majorEastAsia"/>
                <w:iCs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iCs/>
                <w:szCs w:val="21"/>
              </w:rPr>
              <w:t>Population density (people/km2)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7F29A5C9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904.46(240.27)</w:t>
            </w:r>
          </w:p>
        </w:tc>
      </w:tr>
      <w:tr w14:paraId="7C5F0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55EE5398">
            <w:pPr>
              <w:rPr>
                <w:rFonts w:hint="default" w:ascii="Times New Roman" w:hAnsi="Times New Roman" w:cs="Times New Roman" w:eastAsiaTheme="majorEastAsia"/>
                <w:iCs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iCs/>
                <w:szCs w:val="21"/>
              </w:rPr>
              <w:t>Road density (km/km2)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3309C13E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3.1(0.74)</w:t>
            </w:r>
          </w:p>
        </w:tc>
      </w:tr>
      <w:tr w14:paraId="2C04D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65E65970">
            <w:pPr>
              <w:rPr>
                <w:rFonts w:hint="default" w:ascii="Times New Roman" w:hAnsi="Times New Roman" w:cs="Times New Roman" w:eastAsiaTheme="majorEastAsia"/>
                <w:iCs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iCs/>
                <w:szCs w:val="21"/>
              </w:rPr>
              <w:t>Walkability index (%)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51021D71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49.43(40)</w:t>
            </w:r>
          </w:p>
        </w:tc>
      </w:tr>
      <w:tr w14:paraId="2248B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51B40FD6">
            <w:pPr>
              <w:rPr>
                <w:rFonts w:hint="default" w:ascii="Times New Roman" w:hAnsi="Times New Roman" w:cs="Times New Roman" w:eastAsiaTheme="majorEastAsia"/>
                <w:iCs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iCs/>
                <w:szCs w:val="21"/>
              </w:rPr>
              <w:t>Artificial Night Light Index (%)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03D065A1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4.84(4.06)</w:t>
            </w:r>
          </w:p>
        </w:tc>
      </w:tr>
      <w:tr w14:paraId="6C593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59F7EFA5">
            <w:pPr>
              <w:rPr>
                <w:rFonts w:hint="default" w:ascii="Times New Roman" w:hAnsi="Times New Roman" w:cs="Times New Roman" w:eastAsiaTheme="majorEastAsia"/>
                <w:iCs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iCs/>
                <w:szCs w:val="21"/>
              </w:rPr>
              <w:t>Relative humidity (%)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17B16DE7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64.94(8.51)</w:t>
            </w:r>
          </w:p>
        </w:tc>
      </w:tr>
      <w:tr w14:paraId="008A4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351A40C5">
            <w:pPr>
              <w:rPr>
                <w:rFonts w:hint="default" w:ascii="Times New Roman" w:hAnsi="Times New Roman" w:cs="Times New Roman" w:eastAsiaTheme="majorEastAsia"/>
                <w:iCs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Cs/>
                <w:szCs w:val="21"/>
              </w:rPr>
              <w:t>Risk Behavior Factors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4B339C1C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</w:p>
        </w:tc>
      </w:tr>
      <w:tr w14:paraId="0090D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5452CFB5">
            <w:pPr>
              <w:rPr>
                <w:rFonts w:hint="default" w:ascii="Times New Roman" w:hAnsi="Times New Roman" w:cs="Times New Roman" w:eastAsiaTheme="majorEastAsia"/>
                <w:iCs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iCs/>
                <w:szCs w:val="21"/>
              </w:rPr>
              <w:t>Drink (%)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07F74660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28.95(14.18)</w:t>
            </w:r>
          </w:p>
        </w:tc>
      </w:tr>
      <w:tr w14:paraId="3CE1E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50C0E997">
            <w:pPr>
              <w:rPr>
                <w:rFonts w:hint="default" w:ascii="Times New Roman" w:hAnsi="Times New Roman" w:cs="Times New Roman" w:eastAsiaTheme="majorEastAsia"/>
                <w:b/>
                <w:bCs/>
                <w:iCs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iCs/>
                <w:szCs w:val="21"/>
              </w:rPr>
              <w:t>Smoke (%)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13CE34C1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21.9(3.42)</w:t>
            </w:r>
          </w:p>
        </w:tc>
      </w:tr>
      <w:tr w14:paraId="4313A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40863C53">
            <w:pPr>
              <w:rPr>
                <w:rFonts w:hint="default" w:ascii="Times New Roman" w:hAnsi="Times New Roman" w:cs="Times New Roman" w:eastAsiaTheme="majorEastAsia"/>
                <w:b/>
                <w:bCs/>
                <w:iCs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color w:val="000000"/>
                <w:szCs w:val="21"/>
              </w:rPr>
              <w:t>Greenness concentration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78C522BA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</w:p>
        </w:tc>
      </w:tr>
      <w:tr w14:paraId="29AE2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643C5C08">
            <w:pPr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Cs w:val="21"/>
              </w:rPr>
              <w:t>Cumulative NDVI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7AA379CA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0.4(0.1)</w:t>
            </w:r>
          </w:p>
        </w:tc>
      </w:tr>
      <w:tr w14:paraId="258ED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194D323F">
            <w:pPr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Cs w:val="21"/>
              </w:rPr>
              <w:t>Cumulative EVI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418D62AB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0.26(0.08)</w:t>
            </w:r>
          </w:p>
        </w:tc>
      </w:tr>
      <w:tr w14:paraId="7F996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7398525D">
            <w:pPr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 w:val="20"/>
                <w:szCs w:val="20"/>
              </w:rPr>
              <w:t>Contemporaneous</w:t>
            </w:r>
            <w:r>
              <w:rPr>
                <w:rFonts w:hint="default" w:ascii="Times New Roman" w:hAnsi="Times New Roman" w:cs="Times New Roman" w:eastAsiaTheme="majorEastAsia"/>
                <w:szCs w:val="21"/>
              </w:rPr>
              <w:t xml:space="preserve"> NDVI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359CB09F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0.4(0.12)</w:t>
            </w:r>
          </w:p>
        </w:tc>
      </w:tr>
      <w:tr w14:paraId="61A0D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3B5B2FFA">
            <w:pPr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 w:val="20"/>
                <w:szCs w:val="20"/>
              </w:rPr>
              <w:t xml:space="preserve">Contemporaneous 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Cs w:val="21"/>
              </w:rPr>
              <w:t>EVI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344C689B">
            <w:pPr>
              <w:jc w:val="center"/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szCs w:val="21"/>
              </w:rPr>
              <w:t>0.25(0.09)</w:t>
            </w:r>
          </w:p>
        </w:tc>
      </w:tr>
      <w:tr w14:paraId="2EABE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14DAF2B3">
            <w:pPr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color w:val="000000"/>
                <w:szCs w:val="21"/>
              </w:rPr>
              <w:t>Air pollution concentration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2E9D6B09">
            <w:pPr>
              <w:jc w:val="center"/>
              <w:rPr>
                <w:rFonts w:hint="default" w:ascii="Times New Roman" w:hAnsi="Times New Roman" w:cs="Times New Roman" w:eastAsiaTheme="majorEastAsia"/>
                <w:color w:val="000000"/>
                <w:szCs w:val="21"/>
              </w:rPr>
            </w:pPr>
          </w:p>
        </w:tc>
      </w:tr>
      <w:tr w14:paraId="4AB60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14B55752">
            <w:pPr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iCs/>
                <w:color w:val="000000"/>
                <w:szCs w:val="21"/>
              </w:rPr>
              <w:t>PM</w:t>
            </w:r>
            <w:r>
              <w:rPr>
                <w:rFonts w:hint="default" w:ascii="Times New Roman" w:hAnsi="Times New Roman" w:cs="Times New Roman" w:eastAsiaTheme="majorEastAsia"/>
                <w:iCs/>
                <w:color w:val="000000"/>
                <w:szCs w:val="21"/>
                <w:vertAlign w:val="subscript"/>
              </w:rPr>
              <w:t xml:space="preserve">2.5 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Cs w:val="21"/>
              </w:rPr>
              <w:t>(μg/m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Cs w:val="21"/>
                <w:vertAlign w:val="superscript"/>
              </w:rPr>
              <w:t>3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Cs w:val="21"/>
              </w:rPr>
              <w:t>)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0BE3A515">
            <w:pPr>
              <w:jc w:val="center"/>
              <w:rPr>
                <w:rFonts w:hint="default" w:ascii="Times New Roman" w:hAnsi="Times New Roman" w:cs="Times New Roman" w:eastAsiaTheme="majorEastAsia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Cs w:val="21"/>
              </w:rPr>
              <w:t>58.59(10.39)</w:t>
            </w:r>
          </w:p>
        </w:tc>
      </w:tr>
      <w:tr w14:paraId="42F48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pct"/>
            <w:tcBorders>
              <w:top w:val="nil"/>
              <w:left w:val="nil"/>
              <w:bottom w:val="nil"/>
              <w:right w:val="nil"/>
            </w:tcBorders>
          </w:tcPr>
          <w:p w14:paraId="4499E79A">
            <w:pPr>
              <w:rPr>
                <w:rFonts w:hint="default" w:ascii="Times New Roman" w:hAnsi="Times New Roman" w:cs="Times New Roman" w:eastAsiaTheme="majorEastAsia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Cs w:val="21"/>
              </w:rPr>
              <w:t>NO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cs="Times New Roman" w:eastAsiaTheme="majorEastAsia"/>
                <w:iCs/>
                <w:color w:val="000000"/>
                <w:szCs w:val="21"/>
                <w:vertAlign w:val="subscript"/>
              </w:rPr>
              <w:t xml:space="preserve"> 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Cs w:val="21"/>
              </w:rPr>
              <w:t>(μg/m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Cs w:val="21"/>
                <w:vertAlign w:val="superscript"/>
              </w:rPr>
              <w:t>3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Cs w:val="21"/>
              </w:rPr>
              <w:t>)</w:t>
            </w:r>
          </w:p>
        </w:tc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</w:tcPr>
          <w:p w14:paraId="5F56D64F">
            <w:pPr>
              <w:jc w:val="center"/>
              <w:rPr>
                <w:rFonts w:hint="default" w:ascii="Times New Roman" w:hAnsi="Times New Roman" w:cs="Times New Roman" w:eastAsiaTheme="majorEastAsia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Cs w:val="21"/>
              </w:rPr>
              <w:t>38.07(4.45)</w:t>
            </w:r>
          </w:p>
        </w:tc>
      </w:tr>
      <w:tr w14:paraId="7A31B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3058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91128D6">
            <w:pPr>
              <w:rPr>
                <w:rFonts w:hint="default" w:ascii="Times New Roman" w:hAnsi="Times New Roman" w:cs="Times New Roman" w:eastAsiaTheme="majorEastAsia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iCs/>
                <w:color w:val="000000"/>
                <w:szCs w:val="21"/>
              </w:rPr>
              <w:t>SO</w:t>
            </w:r>
            <w:r>
              <w:rPr>
                <w:rFonts w:hint="default" w:ascii="Times New Roman" w:hAnsi="Times New Roman" w:cs="Times New Roman" w:eastAsiaTheme="majorEastAsia"/>
                <w:iCs/>
                <w:color w:val="000000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cs="Times New Roman" w:eastAsiaTheme="majorEastAsia"/>
                <w:iCs/>
                <w:color w:val="000000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Cs w:val="21"/>
              </w:rPr>
              <w:t>(μg/m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Cs w:val="21"/>
                <w:vertAlign w:val="superscript"/>
              </w:rPr>
              <w:t>3</w:t>
            </w:r>
            <w:r>
              <w:rPr>
                <w:rFonts w:hint="default" w:ascii="Times New Roman" w:hAnsi="Times New Roman" w:cs="Times New Roman" w:eastAsiaTheme="majorEastAsia"/>
                <w:color w:val="000000"/>
                <w:szCs w:val="21"/>
              </w:rPr>
              <w:t>)</w:t>
            </w:r>
          </w:p>
        </w:tc>
        <w:tc>
          <w:tcPr>
            <w:tcW w:w="1942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258669E">
            <w:pPr>
              <w:jc w:val="center"/>
              <w:rPr>
                <w:rFonts w:hint="default" w:ascii="Times New Roman" w:hAnsi="Times New Roman" w:cs="Times New Roman" w:eastAsiaTheme="majorEastAsia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 w:eastAsiaTheme="majorEastAsia"/>
                <w:color w:val="000000"/>
                <w:szCs w:val="21"/>
              </w:rPr>
              <w:t>23.7(10.93)</w:t>
            </w:r>
          </w:p>
        </w:tc>
      </w:tr>
    </w:tbl>
    <w:p w14:paraId="6181CF15">
      <w:pPr>
        <w:widowControl/>
        <w:jc w:val="left"/>
        <w:rPr>
          <w:rFonts w:hint="default" w:ascii="Times New Roman" w:hAnsi="Times New Roman" w:cs="Times New Roman"/>
        </w:rPr>
      </w:pPr>
    </w:p>
    <w:p w14:paraId="7215BB25">
      <w:pPr>
        <w:widowControl/>
        <w:jc w:val="left"/>
        <w:rPr>
          <w:rFonts w:hint="default" w:ascii="Times New Roman" w:hAnsi="Times New Roman" w:cs="Times New Roman"/>
        </w:rPr>
      </w:pPr>
    </w:p>
    <w:p w14:paraId="63D2A1C7">
      <w:pPr>
        <w:widowControl/>
        <w:jc w:val="left"/>
        <w:rPr>
          <w:rFonts w:hint="default" w:ascii="Times New Roman" w:hAnsi="Times New Roman" w:cs="Times New Roman"/>
        </w:rPr>
      </w:pPr>
    </w:p>
    <w:p w14:paraId="5324A00B">
      <w:pPr>
        <w:widowControl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Table S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fldChar w:fldCharType="begin"/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instrText xml:space="preserve"> SEQ Table \* ARABIC </w:instrTex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fldChar w:fldCharType="separate"/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2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fldChar w:fldCharType="end"/>
      </w:r>
      <w:r>
        <w:rPr>
          <w:rFonts w:hint="default" w:ascii="Times New Roman" w:hAnsi="Times New Roman" w:eastAsia="宋体" w:cs="Times New Roman"/>
          <w:b/>
          <w:bCs/>
          <w:color w:val="333333"/>
          <w:kern w:val="0"/>
          <w:sz w:val="20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color w:val="333333"/>
          <w:kern w:val="0"/>
          <w:sz w:val="20"/>
          <w:szCs w:val="21"/>
        </w:rPr>
        <w:t>Descriptive and Source of the Variables</w:t>
      </w:r>
    </w:p>
    <w:tbl>
      <w:tblPr>
        <w:tblStyle w:val="7"/>
        <w:tblpPr w:leftFromText="180" w:rightFromText="180" w:vertAnchor="text" w:horzAnchor="margin" w:tblpXSpec="center" w:tblpY="20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3416"/>
        <w:gridCol w:w="3668"/>
      </w:tblGrid>
      <w:tr w14:paraId="06DD9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000" w:type="pct"/>
            <w:gridSpan w:val="3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5C1403AB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Variable</w:t>
            </w:r>
          </w:p>
        </w:tc>
      </w:tr>
      <w:tr w14:paraId="26234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844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F0EA804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  <w:t>County level</w:t>
            </w:r>
          </w:p>
        </w:tc>
        <w:tc>
          <w:tcPr>
            <w:tcW w:w="2004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70509C8F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Descriptive</w:t>
            </w:r>
          </w:p>
        </w:tc>
        <w:tc>
          <w:tcPr>
            <w:tcW w:w="2150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5F930492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Source</w:t>
            </w:r>
          </w:p>
        </w:tc>
      </w:tr>
      <w:tr w14:paraId="72059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31879FDB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Cs/>
                <w:kern w:val="0"/>
                <w:sz w:val="20"/>
                <w:szCs w:val="21"/>
              </w:rPr>
              <w:t>GDP per capita (CNY)</w:t>
            </w:r>
          </w:p>
        </w:tc>
        <w:tc>
          <w:tcPr>
            <w:tcW w:w="2004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B0C65DB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 xml:space="preserve">County-level gross domestic product per person </w:t>
            </w:r>
          </w:p>
          <w:p w14:paraId="65AC5F78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Unit: CNY</w:t>
            </w:r>
          </w:p>
          <w:p w14:paraId="20D7616D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150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1C15C7B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Feicheng City People's Government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：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http://www.feicheng.gov.cn/</w:t>
            </w:r>
          </w:p>
        </w:tc>
      </w:tr>
      <w:tr w14:paraId="1CD15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5ABB461A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004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5D7D35AD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27810CB5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People's Government of Huaiyin District, Jinan: http://www.huaiyin.gov.cn/</w:t>
            </w:r>
          </w:p>
        </w:tc>
      </w:tr>
      <w:tr w14:paraId="0DD8D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258E3CBD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004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5CBCDF9F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54DBC31B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People's Government of Laiwu District, Jinan: http://www.laiwu.gov.cn/</w:t>
            </w:r>
          </w:p>
        </w:tc>
      </w:tr>
      <w:tr w14:paraId="3FC61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528A12C8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004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15FF60B2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012D3E92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People's Government of Yiyuan County: http://www.yiyuan.gov.cn/</w:t>
            </w:r>
          </w:p>
        </w:tc>
      </w:tr>
      <w:tr w14:paraId="6FFA9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2DCBCD70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004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7E951381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381A498E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People's Government of Zhangdian District:</w:t>
            </w:r>
          </w:p>
          <w:p w14:paraId="638492A4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http://www.zhangdian.gov.cn/</w:t>
            </w:r>
          </w:p>
        </w:tc>
      </w:tr>
      <w:tr w14:paraId="01CD6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7B8F7E51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004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4AEDEE46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24DACF38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People's Government of Fushan District:</w:t>
            </w:r>
          </w:p>
          <w:p w14:paraId="794C5E5F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http://www.ytfushan.gov.cn/index.html</w:t>
            </w:r>
          </w:p>
        </w:tc>
      </w:tr>
      <w:tr w14:paraId="33AC7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40704B4C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004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2F056680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7D39F657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Gaomi City People's Government: http://www.gaomi.gov.cn/</w:t>
            </w:r>
          </w:p>
        </w:tc>
      </w:tr>
      <w:tr w14:paraId="7B6CF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7964B2F1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004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2731BC97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3A1CBC35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People's Government of Penglai District: http://www.penglai.gov.cn/</w:t>
            </w:r>
          </w:p>
        </w:tc>
      </w:tr>
      <w:tr w14:paraId="00804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1F6A0FF1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004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42F250C4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65113C3A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 xml:space="preserve">People's Government of Shouguang City: </w:t>
            </w:r>
          </w:p>
          <w:p w14:paraId="614072C8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http://www.shouguang.gov.cn/</w:t>
            </w:r>
          </w:p>
        </w:tc>
      </w:tr>
      <w:tr w14:paraId="07025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54ABAE24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004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59448194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342C02A7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 xml:space="preserve">People's Government of Wendeng District: </w:t>
            </w:r>
          </w:p>
          <w:p w14:paraId="176E8C20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http://www.wendeng.gov.cn/</w:t>
            </w:r>
          </w:p>
        </w:tc>
      </w:tr>
      <w:tr w14:paraId="01E2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7FEC6BEF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004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2BF5A936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0A6939FD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The People's Government of Chengwu County: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http://chengwu.gov.cn/</w:t>
            </w:r>
          </w:p>
        </w:tc>
      </w:tr>
      <w:tr w14:paraId="608C1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6123A149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004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2EEF46D6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2C7D5E01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People's Government of Junan County: http://junan.gov.cn/index.htm</w:t>
            </w:r>
          </w:p>
        </w:tc>
      </w:tr>
      <w:tr w14:paraId="030B9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78C84B68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004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3701DF79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5DE70730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People's Government of Mudan District:  http://www.mudan.gov.cn/</w:t>
            </w:r>
          </w:p>
        </w:tc>
      </w:tr>
      <w:tr w14:paraId="1A2E4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6F518ACC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004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2646AC4C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004CB7A8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People's Government of Xuecheng District:  http://www.xuecheng.gov.cn/?_id=50s49sr72</w:t>
            </w:r>
          </w:p>
        </w:tc>
      </w:tr>
      <w:tr w14:paraId="0B693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7C2F21CA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004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37303C59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5087F906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People's Government of Zoucheng City: http://www.zoucheng.gov.cn/</w:t>
            </w:r>
          </w:p>
        </w:tc>
      </w:tr>
      <w:tr w14:paraId="7991B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5F0CA803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004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03965FF3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3AEB8D1F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People's Government of Pinyi County: http://www.pingyi.gov.cn/</w:t>
            </w:r>
          </w:p>
        </w:tc>
      </w:tr>
      <w:tr w14:paraId="0D597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6772E20E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004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3D571252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5066A875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People's Government of Bincheng District: http://www.bincheng.gov.cn/</w:t>
            </w:r>
          </w:p>
        </w:tc>
      </w:tr>
      <w:tr w14:paraId="14CAE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44" w:type="pct"/>
            <w:vMerge w:val="restart"/>
            <w:tcBorders>
              <w:top w:val="nil"/>
              <w:left w:val="nil"/>
              <w:right w:val="nil"/>
            </w:tcBorders>
          </w:tcPr>
          <w:p w14:paraId="3BC732D4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Cs/>
                <w:kern w:val="0"/>
                <w:sz w:val="20"/>
                <w:szCs w:val="21"/>
              </w:rPr>
              <w:t>Town level</w:t>
            </w:r>
          </w:p>
        </w:tc>
        <w:tc>
          <w:tcPr>
            <w:tcW w:w="2004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63F5C9C0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6749C9AD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People's Government of Gaotang County: http://www.gaotang.gov.cn/</w:t>
            </w:r>
          </w:p>
        </w:tc>
      </w:tr>
      <w:tr w14:paraId="44C59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44" w:type="pct"/>
            <w:vMerge w:val="continue"/>
            <w:tcBorders>
              <w:left w:val="nil"/>
              <w:right w:val="nil"/>
            </w:tcBorders>
          </w:tcPr>
          <w:p w14:paraId="46FA0250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004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00377EEC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6C0CDEA0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People's Government of Leling City: http://www.laoling.gov.cn/</w:t>
            </w:r>
          </w:p>
        </w:tc>
      </w:tr>
      <w:tr w14:paraId="4C133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44" w:type="pct"/>
            <w:vMerge w:val="continue"/>
            <w:tcBorders>
              <w:left w:val="nil"/>
              <w:right w:val="nil"/>
            </w:tcBorders>
          </w:tcPr>
          <w:p w14:paraId="6B5165E8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004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2CBF6AC5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466FDA36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Wucheng County People's Government http://www.wucheng.gov.cn/</w:t>
            </w:r>
          </w:p>
        </w:tc>
      </w:tr>
      <w:tr w14:paraId="32CEE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17469A07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  <w:t>Rainfall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</w:tcPr>
          <w:p w14:paraId="0A8FCF2B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4A0B692E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</w:tr>
      <w:tr w14:paraId="6DFB1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47247C93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  <w:t>Village level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</w:tcPr>
          <w:p w14:paraId="5DCBEA51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Average annual rainfall for each year from 2013 to 2019.</w:t>
            </w:r>
          </w:p>
          <w:p w14:paraId="72E91A3C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 xml:space="preserve">Unit: 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mm</w:t>
            </w: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73A076D1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  <w:t xml:space="preserve">National Meteorological Science Data Center, China </w:t>
            </w: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"http://data.cma.cn/"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  <w:t>http://data.cma.cn/</w:t>
            </w:r>
            <w:r>
              <w:rPr>
                <w:rStyle w:val="9"/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  <w:fldChar w:fldCharType="end"/>
            </w:r>
          </w:p>
        </w:tc>
      </w:tr>
      <w:tr w14:paraId="1651D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5489E0BD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Cs/>
                <w:kern w:val="0"/>
                <w:sz w:val="20"/>
                <w:szCs w:val="21"/>
              </w:rPr>
              <w:t>Population density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</w:tcPr>
          <w:p w14:paraId="487FA1C7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636E3771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</w:tr>
      <w:tr w14:paraId="2E260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5C97F3AF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  <w:t xml:space="preserve">Temperature 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</w:tcPr>
          <w:p w14:paraId="4C6C6FFE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Defined as total population divided by land area.</w:t>
            </w:r>
          </w:p>
          <w:p w14:paraId="771140EE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Unit: person/sq. km.</w:t>
            </w: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6BF4EC9C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</w:tr>
      <w:tr w14:paraId="66DF9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045FEF75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  <w:t>Relative humidity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</w:tcPr>
          <w:p w14:paraId="6F720FF3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Average summer (May to July) temperatures for each year from 2013 to 2019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.</w:t>
            </w:r>
          </w:p>
          <w:p w14:paraId="05DAE32E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Unit: ℃</w:t>
            </w: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3949FF9A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  <w:t xml:space="preserve">National Meteorological Science Data Center, China </w:t>
            </w: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"http://data.cma.cn/"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  <w:t>http://data.cma.cn/</w:t>
            </w:r>
            <w:r>
              <w:rPr>
                <w:rStyle w:val="9"/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  <w:fldChar w:fldCharType="end"/>
            </w:r>
          </w:p>
        </w:tc>
      </w:tr>
      <w:tr w14:paraId="13796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29CAE04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  <w:t>Ozone pollution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</w:tcPr>
          <w:p w14:paraId="670BDD5C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 xml:space="preserve">Average annual 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  <w:t>r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  <w:t>elative humidity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 xml:space="preserve"> for each year from 2013 to 2019.</w:t>
            </w:r>
          </w:p>
          <w:p w14:paraId="4D380822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 xml:space="preserve">Unit: 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RH</w:t>
            </w: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799CE7E6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  <w:t xml:space="preserve">National Meteorological Science Data Center, China </w:t>
            </w: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"http://data.cma.cn/"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  <w:t>http://data.cma.cn/</w:t>
            </w:r>
            <w:r>
              <w:rPr>
                <w:rStyle w:val="9"/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  <w:fldChar w:fldCharType="end"/>
            </w:r>
          </w:p>
        </w:tc>
      </w:tr>
      <w:tr w14:paraId="26821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32F6BC6A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  <w:t>Annual average O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1"/>
                <w:vertAlign w:val="subscript"/>
              </w:rPr>
              <w:t xml:space="preserve">3 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  <w:t>(μg/m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  <w:vertAlign w:val="superscript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  <w:t>)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</w:tcPr>
          <w:p w14:paraId="3EA6FB89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270C861F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</w:tr>
      <w:tr w14:paraId="533ED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67575AAA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Warm season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1"/>
              </w:rPr>
              <w:t xml:space="preserve"> O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1"/>
                <w:vertAlign w:val="subscript"/>
              </w:rPr>
              <w:t xml:space="preserve">3 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  <w:t>(μg/m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  <w:vertAlign w:val="superscript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  <w:t>)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</w:tcPr>
          <w:p w14:paraId="1D3E1243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Annual average O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  <w:vertAlign w:val="subscript"/>
              </w:rPr>
              <w:t xml:space="preserve">3 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concentration foreach year from January 2013 to December 2019</w:t>
            </w:r>
          </w:p>
        </w:tc>
        <w:tc>
          <w:tcPr>
            <w:tcW w:w="215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F5A65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"https://wei-jing-rs.github.io/product.html"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https://wei-jing-rs.github.io/product.html</w:t>
            </w:r>
            <w:r>
              <w:rPr>
                <w:rStyle w:val="9"/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fldChar w:fldCharType="end"/>
            </w:r>
          </w:p>
          <w:p w14:paraId="0C4BCE87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</w:tr>
      <w:tr w14:paraId="4BDBB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14:paraId="2C0B5CB6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PM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  <w:vertAlign w:val="subscript"/>
              </w:rPr>
              <w:t>2.5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</w:tcPr>
          <w:p w14:paraId="4AF07E9E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W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arm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season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 xml:space="preserve"> O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  <w:vertAlign w:val="subscript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 xml:space="preserve"> concentration foreach year from January 2013 to December 2019</w:t>
            </w:r>
          </w:p>
        </w:tc>
        <w:tc>
          <w:tcPr>
            <w:tcW w:w="2150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07365EB3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</w:tr>
      <w:tr w14:paraId="4CE32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44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6169B4B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NO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  <w:vertAlign w:val="subscript"/>
              </w:rPr>
              <w:t>2</w:t>
            </w:r>
          </w:p>
        </w:tc>
        <w:tc>
          <w:tcPr>
            <w:tcW w:w="2004" w:type="pct"/>
            <w:tcBorders>
              <w:top w:val="nil"/>
              <w:left w:val="nil"/>
              <w:bottom w:val="nil"/>
              <w:right w:val="nil"/>
            </w:tcBorders>
          </w:tcPr>
          <w:p w14:paraId="6C506509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PM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  <w:vertAlign w:val="subscript"/>
              </w:rPr>
              <w:t>2.5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 xml:space="preserve"> concentration foreach year from January 2013 to December 2019</w:t>
            </w: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</w:tcPr>
          <w:p w14:paraId="6340ED79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"https://weijing-rs.github.io/product.html"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  <w:t>https://weijing-rs.github.io/product.html</w:t>
            </w:r>
            <w:r>
              <w:rPr>
                <w:rStyle w:val="9"/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 xml:space="preserve"> </w:t>
            </w:r>
          </w:p>
        </w:tc>
      </w:tr>
      <w:tr w14:paraId="68EA5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44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1760731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</w:p>
        </w:tc>
        <w:tc>
          <w:tcPr>
            <w:tcW w:w="2004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7FEB97E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>NO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 xml:space="preserve"> concentration foreach year from January 2013 to December 2019</w:t>
            </w:r>
          </w:p>
        </w:tc>
        <w:tc>
          <w:tcPr>
            <w:tcW w:w="2150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321EF6AF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"https://weijing-rs.github.io/product.html"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  <w:t>https://weijing-rs.github.io/product.html</w:t>
            </w:r>
            <w:r>
              <w:rPr>
                <w:rStyle w:val="9"/>
                <w:rFonts w:hint="default" w:ascii="Times New Roman" w:hAnsi="Times New Roman" w:eastAsia="宋体" w:cs="Times New Roman"/>
                <w:kern w:val="0"/>
                <w:sz w:val="20"/>
                <w:szCs w:val="21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0"/>
                <w:szCs w:val="21"/>
              </w:rPr>
              <w:t xml:space="preserve"> </w:t>
            </w:r>
          </w:p>
        </w:tc>
      </w:tr>
    </w:tbl>
    <w:p w14:paraId="69EEB638">
      <w:pPr>
        <w:widowControl/>
        <w:jc w:val="left"/>
        <w:rPr>
          <w:rFonts w:hint="default" w:ascii="Times New Roman" w:hAnsi="Times New Roman" w:cs="Times New Roman"/>
        </w:rPr>
      </w:pPr>
    </w:p>
    <w:p w14:paraId="05950A64">
      <w:pPr>
        <w:widowControl/>
        <w:jc w:val="left"/>
        <w:rPr>
          <w:rFonts w:hint="default" w:ascii="Times New Roman" w:hAnsi="Times New Roman" w:cs="Times New Roman"/>
        </w:rPr>
      </w:pPr>
    </w:p>
    <w:p w14:paraId="0D62E8AE"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5273040" cy="2675255"/>
            <wp:effectExtent l="0" t="0" r="3810" b="0"/>
            <wp:docPr id="196153137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531373" name="图片 2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27" b="980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64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t>Figure S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Figure_S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3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 xml:space="preserve"> Directed Acyclic Graph</w:t>
      </w:r>
    </w:p>
    <w:p w14:paraId="5B0BC3D5">
      <w:pPr>
        <w:rPr>
          <w:rFonts w:hint="default" w:ascii="Times New Roman" w:hAnsi="Times New Roman" w:cs="Times New Roma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7744448">
      <w:pPr>
        <w:widowControl/>
        <w:jc w:val="left"/>
        <w:rPr>
          <w:rFonts w:hint="default" w:ascii="Times New Roman" w:hAnsi="Times New Roman" w:cs="Times New Roman"/>
        </w:rPr>
      </w:pPr>
      <w:bookmarkStart w:id="0" w:name="_Hlk187606726"/>
      <w:r>
        <w:rPr>
          <w:rFonts w:hint="default" w:ascii="Times New Roman" w:hAnsi="Times New Roman" w:cs="Times New Roman"/>
        </w:rPr>
        <w:t>Table S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Table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3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 w:eastAsiaTheme="majorHAnsi"/>
          <w:color w:val="000000"/>
          <w:szCs w:val="21"/>
        </w:rPr>
        <w:t xml:space="preserve"> Comparison of Baseline Characteristics of Study Participants Across Different Levels of Greenness Exposur</w:t>
      </w:r>
      <w:r>
        <w:rPr>
          <w:rFonts w:hint="default" w:ascii="Times New Roman" w:hAnsi="Times New Roman" w:cs="Times New Roman" w:eastAsiaTheme="majorEastAsia"/>
          <w:color w:val="000000"/>
          <w:szCs w:val="21"/>
        </w:rPr>
        <w:t>e (</w:t>
      </w:r>
      <w:r>
        <w:rPr>
          <w:rFonts w:hint="default" w:ascii="Times New Roman" w:hAnsi="Times New Roman" w:cs="Times New Roman" w:eastAsiaTheme="majorEastAsia"/>
          <w:sz w:val="20"/>
          <w:szCs w:val="20"/>
        </w:rPr>
        <w:t>Contemporaneous</w:t>
      </w:r>
      <w:r>
        <w:rPr>
          <w:rFonts w:hint="default" w:ascii="Times New Roman" w:hAnsi="Times New Roman" w:cs="Times New Roman" w:eastAsiaTheme="majorEastAsia"/>
          <w:sz w:val="20"/>
          <w:szCs w:val="20"/>
        </w:rPr>
        <w:t>)</w:t>
      </w:r>
    </w:p>
    <w:bookmarkEnd w:id="0"/>
    <w:tbl>
      <w:tblPr>
        <w:tblStyle w:val="6"/>
        <w:tblW w:w="5000" w:type="pct"/>
        <w:jc w:val="center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2"/>
        <w:gridCol w:w="1559"/>
        <w:gridCol w:w="1559"/>
        <w:gridCol w:w="1559"/>
        <w:gridCol w:w="1018"/>
        <w:gridCol w:w="1562"/>
        <w:gridCol w:w="1562"/>
        <w:gridCol w:w="1565"/>
        <w:gridCol w:w="1018"/>
      </w:tblGrid>
      <w:tr w14:paraId="69A9961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8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56FD9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bookmarkStart w:id="1" w:name="_Hlk185003239"/>
          </w:p>
        </w:tc>
        <w:tc>
          <w:tcPr>
            <w:tcW w:w="1650" w:type="pct"/>
            <w:gridSpan w:val="3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10D60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Contemporaneous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 xml:space="preserve"> NDVI</w:t>
            </w:r>
          </w:p>
        </w:tc>
        <w:tc>
          <w:tcPr>
            <w:tcW w:w="359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2EF066E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654" w:type="pct"/>
            <w:gridSpan w:val="3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6D6A5E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Contemporaneous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 xml:space="preserve"> EVI</w:t>
            </w:r>
          </w:p>
        </w:tc>
        <w:tc>
          <w:tcPr>
            <w:tcW w:w="35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7064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26875A80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F82DD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Participat  characteristics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C2CF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L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ow level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5703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Medium level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EFD8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H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igh level</w:t>
            </w:r>
          </w:p>
        </w:tc>
        <w:tc>
          <w:tcPr>
            <w:tcW w:w="35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1983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A0E5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L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ow level</w:t>
            </w: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5D41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Medium level</w:t>
            </w:r>
          </w:p>
        </w:tc>
        <w:tc>
          <w:tcPr>
            <w:tcW w:w="55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622B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H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igh level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E8E5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24F5906E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1A7B180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09513C8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（0.07-0.37）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0C8C471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（0.37-0.44）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7C8FDF5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（0.44-0.79）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 w14:paraId="36792B2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7A84A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（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0.04-0.23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）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40386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（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0.23-0.28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）</w:t>
            </w:r>
          </w:p>
        </w:tc>
        <w:tc>
          <w:tcPr>
            <w:tcW w:w="55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EC00482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（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0.28-0.67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）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779C13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0971286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  <w:vAlign w:val="center"/>
          </w:tcPr>
          <w:p w14:paraId="7BB289B3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Mortality Outcomes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0B598BA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054EF6E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4163047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35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0EAE149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  <w:vAlign w:val="center"/>
          </w:tcPr>
          <w:p w14:paraId="47584E1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  <w:vAlign w:val="center"/>
          </w:tcPr>
          <w:p w14:paraId="21B826B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  <w:vAlign w:val="center"/>
          </w:tcPr>
          <w:p w14:paraId="30B1FEF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35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  <w:vAlign w:val="center"/>
          </w:tcPr>
          <w:p w14:paraId="378F2452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436231FE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8676A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All-cause Mortality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141F7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17445 (42%)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08809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14267 (35%)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39B83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9432 (23%)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5DA30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5"/>
                <w:szCs w:val="15"/>
              </w:rPr>
              <w:t>P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＜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0.01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44E7B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17497 (43%)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792D1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13943 (34%)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C3C99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9704 (24%)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A41F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5"/>
                <w:szCs w:val="15"/>
              </w:rPr>
              <w:t>P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＜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0.01</w:t>
            </w:r>
          </w:p>
        </w:tc>
      </w:tr>
      <w:tr w14:paraId="4792EBE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4C81F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CVD Mortality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1E27D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10385 (42%)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EBA0D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8590 (35%)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85953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5794 (23%)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B9882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5"/>
                <w:szCs w:val="15"/>
              </w:rPr>
              <w:t>P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＜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0.01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A892E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10380 (42%)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18D99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8453 (34%)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5FA9A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5936 (24%)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C4FE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5"/>
                <w:szCs w:val="15"/>
              </w:rPr>
              <w:t>P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＜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0.01</w:t>
            </w:r>
          </w:p>
        </w:tc>
      </w:tr>
      <w:tr w14:paraId="01DAE02D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198BF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Stroke Mortality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FDCA5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6429 (40%)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47C46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5589 (35%)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4716C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3903 (25%)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41F5A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5"/>
                <w:szCs w:val="15"/>
              </w:rPr>
              <w:t>P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＜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0.01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7A29A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6407 (40%)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9D2D5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5543 (35%)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E1EAA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3971 (25%)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3E66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5"/>
                <w:szCs w:val="15"/>
              </w:rPr>
              <w:t>P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＜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0.01</w:t>
            </w:r>
          </w:p>
        </w:tc>
      </w:tr>
      <w:tr w14:paraId="5ABA648E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  <w:vAlign w:val="center"/>
          </w:tcPr>
          <w:p w14:paraId="44D6E142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Gender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028C82B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637E5F0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02102EC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41DFE26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5"/>
                <w:szCs w:val="15"/>
              </w:rPr>
              <w:t>P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＜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0.01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44FDA69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51EDEF6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300589B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  <w:vAlign w:val="center"/>
          </w:tcPr>
          <w:p w14:paraId="5F805E9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5"/>
                <w:szCs w:val="15"/>
              </w:rPr>
              <w:t>P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＜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0.01</w:t>
            </w:r>
          </w:p>
        </w:tc>
      </w:tr>
      <w:tr w14:paraId="2A778036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08C47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Male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0260D2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42700 (17%)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49611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76834 (31%)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1F3CB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14246 (6%)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695EF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6D412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42527 (17%)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699F6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71688 (29%)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1526A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19565 (8%)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7E41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4B8128BF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E5057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Female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DCE05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34686 (14%)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972F1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68229 (27%)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F5614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12842 (5%)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A1291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B365A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34264 (14%)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50686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63840 (26%)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C206F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17653 (7%)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3145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3A1F7D8E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  <w:vAlign w:val="center"/>
          </w:tcPr>
          <w:p w14:paraId="350515FB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Age (years)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1F291BE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0720E92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149C59E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4D31AE4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5"/>
                <w:szCs w:val="15"/>
              </w:rPr>
              <w:t>P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＜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0.01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05F714C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72E531B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5DB048D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  <w:vAlign w:val="center"/>
          </w:tcPr>
          <w:p w14:paraId="4EE81FF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5"/>
                <w:szCs w:val="15"/>
              </w:rPr>
              <w:t>P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＜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0.01</w:t>
            </w:r>
          </w:p>
        </w:tc>
      </w:tr>
      <w:tr w14:paraId="7BECB556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09237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&lt;60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963BD2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17678 (7%)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81BA1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35153 (14%)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CCACD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5148 (2%)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0EAB1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C5563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17471 (7%)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882CF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32842 (13%)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316B5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7666 (3%)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025F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09A47D37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5B12F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&gt;=60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9B252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59708 (24%)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EE05A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109910 (44%)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5C2E3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21940 (9%)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64C2B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8E300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59320 (24%)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D4948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102686 (41%)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53795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29552 (12%)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2E2D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180A3CC7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  <w:vAlign w:val="center"/>
          </w:tcPr>
          <w:p w14:paraId="0664622D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Urban-Rural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54171ED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16078E7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3AF1ACC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647DE23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5"/>
                <w:szCs w:val="15"/>
              </w:rPr>
              <w:t>P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＜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0.01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4C5C8AA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15413D9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02E4471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  <w:vAlign w:val="center"/>
          </w:tcPr>
          <w:p w14:paraId="0A87D53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5"/>
                <w:szCs w:val="15"/>
              </w:rPr>
              <w:t>P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＜</w:t>
            </w:r>
            <w:r>
              <w:rPr>
                <w:rFonts w:hint="default" w:ascii="Times New Roman" w:hAnsi="Times New Roman" w:cs="Times New Roman"/>
                <w:kern w:val="0"/>
                <w:sz w:val="15"/>
                <w:szCs w:val="15"/>
              </w:rPr>
              <w:t>0.01</w:t>
            </w:r>
          </w:p>
        </w:tc>
      </w:tr>
      <w:tr w14:paraId="285CDAA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A5A73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Urban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FCD942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60127 (24%)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27BBA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51297 (21%)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56C71E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5137 (2%)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218E62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60203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60292 (24%)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BFC26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48480 (19%)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92CC8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7789 (3%)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C42D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0702A15E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CA9B0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Rural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466BD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17259 (7%)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A361E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93766 (38%)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EFDC9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21951 (9%)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EF835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8EC10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16499 (7%)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8FFF4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87048 (35%)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407F6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29429 (12%)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3CED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6BE71F9E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  <w:vAlign w:val="center"/>
          </w:tcPr>
          <w:p w14:paraId="0AF53A6A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Environment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7CCEAEE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2017B45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486D8BD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2D99F5E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067C112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60AB351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</w:tcPr>
          <w:p w14:paraId="2320ECCE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noWrap/>
            <w:vAlign w:val="center"/>
          </w:tcPr>
          <w:p w14:paraId="412963D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5666DED7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4D04F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Annual mean</w:t>
            </w:r>
            <w:r>
              <w:rPr>
                <w:rFonts w:hint="default" w:ascii="Times New Roman" w:hAnsi="Times New Roman" w:eastAsia="等线" w:cs="Times New Roman"/>
                <w:iCs/>
                <w:sz w:val="15"/>
                <w:szCs w:val="15"/>
              </w:rPr>
              <w:t xml:space="preserve"> P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M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  <w:vertAlign w:val="subscript"/>
              </w:rPr>
              <w:t>2.5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(μg/m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  <w:vertAlign w:val="superscript"/>
              </w:rPr>
              <w:t>3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A82D5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39.3 (5.7)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E0E0E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37.4 (5.6)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21373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38 (4.5)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501A6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1126E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39.3 (5.9)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0E24B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37.3 (5.7)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A34E2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38.6 (3.6)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B227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4DA8DF1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FB83F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Annual mean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 xml:space="preserve"> NO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  <w:vertAlign w:val="subscript"/>
              </w:rPr>
              <w:t xml:space="preserve">2 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(μg/m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  <w:vertAlign w:val="superscript"/>
              </w:rPr>
              <w:t>3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CC1012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59.6 (11.7)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914B72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57.5 (11.3)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08242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61.6 (11.7)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5F36BE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C403B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59.3 (12)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D07F5E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57.2 (11.4)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B30FD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62 (10.5)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38B0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2038D7B7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41A06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Annual mean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 xml:space="preserve"> SO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  <w:vertAlign w:val="subscript"/>
              </w:rPr>
              <w:t xml:space="preserve">2 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(μg/m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  <w:vertAlign w:val="superscript"/>
              </w:rPr>
              <w:t>3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E744C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25.7 (12.7)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455B2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22.5 (9.4)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C6EC7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24.1 (10.8)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6A7BD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1E463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25.6 (12.9)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798F8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22.6 (9.4)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83905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23.8 (10)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6690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18DD85A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83F9A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Annual mean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 xml:space="preserve"> Night Light Index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6CD2A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12 (11.2)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DA5D7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1.8 (2.4)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4036F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0.8 (0.9)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892C9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80AA0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12.2 (11.2)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0763B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1.8 (2.2)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8A7FC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0.9 (0.9)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617D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69E8EC6E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DE6EA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Annual mean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 xml:space="preserve"> Temperature (°C)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7040C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14.8 (0.7)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72CF3E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14.8 (0.7)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853E2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14.9 (0.7)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AF87E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FDD2A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14.8 (0.7)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86544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14.7 (0.7)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5C60A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14.9 (0.6)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4518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796440D1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7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7C314E0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Annual mean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 xml:space="preserve"> Humidity (%)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020491D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65.2 (5.8)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045BD55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64.8 (6)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521494E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65.1 (5.2)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7AA1E72E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302ECF3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65.4 (5.9)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0ED136F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64.7 (6.1)</w:t>
            </w:r>
          </w:p>
        </w:tc>
        <w:tc>
          <w:tcPr>
            <w:tcW w:w="55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0B37945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64.9 (4.8)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E421D2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bookmarkEnd w:id="1"/>
    </w:tbl>
    <w:p w14:paraId="5471C80C">
      <w:pPr>
        <w:adjustRightInd w:val="0"/>
        <w:spacing w:line="288" w:lineRule="auto"/>
        <w:rPr>
          <w:rFonts w:hint="default" w:ascii="Times New Roman" w:hAnsi="Times New Roman" w:cs="Times New Roman" w:eastAsiaTheme="majorHAnsi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4"/>
        <w:gridCol w:w="4184"/>
      </w:tblGrid>
      <w:tr w14:paraId="627C7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4A897BEA">
            <w:pPr>
              <w:widowControl/>
              <w:jc w:val="left"/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  <w:t>A</w:t>
            </w:r>
          </w:p>
        </w:tc>
        <w:tc>
          <w:tcPr>
            <w:tcW w:w="4148" w:type="dxa"/>
          </w:tcPr>
          <w:p w14:paraId="176395F4">
            <w:pPr>
              <w:widowControl/>
              <w:jc w:val="left"/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  <w:t>B</w:t>
            </w:r>
          </w:p>
        </w:tc>
      </w:tr>
      <w:tr w14:paraId="727F7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5B370AF0">
            <w:pPr>
              <w:widowControl/>
              <w:jc w:val="left"/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  <w:drawing>
                <wp:inline distT="0" distB="0" distL="0" distR="0">
                  <wp:extent cx="2519680" cy="1511935"/>
                  <wp:effectExtent l="0" t="0" r="0" b="0"/>
                  <wp:docPr id="13152246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2246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512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69AB7A4B">
            <w:pPr>
              <w:widowControl/>
              <w:jc w:val="left"/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  <w:drawing>
                <wp:inline distT="0" distB="0" distL="0" distR="0">
                  <wp:extent cx="2519680" cy="1511935"/>
                  <wp:effectExtent l="0" t="0" r="0" b="0"/>
                  <wp:docPr id="1571728396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728396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512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EC6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1F4527C4">
            <w:pPr>
              <w:widowControl/>
              <w:jc w:val="left"/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Contemporaneous NDVI（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 xml:space="preserve">Nonlinearity,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13"/>
                <w:szCs w:val="15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 xml:space="preserve"> &lt;.0001，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Trend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13"/>
                <w:szCs w:val="15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&lt;.0001）</w:t>
            </w:r>
          </w:p>
        </w:tc>
        <w:tc>
          <w:tcPr>
            <w:tcW w:w="4148" w:type="dxa"/>
          </w:tcPr>
          <w:p w14:paraId="3B13568E">
            <w:pPr>
              <w:widowControl/>
              <w:jc w:val="left"/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Cumulative NDVI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（Nonlinearity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/>
                <w:kern w:val="0"/>
                <w:sz w:val="13"/>
                <w:szCs w:val="15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 xml:space="preserve">= 0.3436，Trend, </w:t>
            </w:r>
            <w:r>
              <w:rPr>
                <w:rFonts w:hint="default" w:ascii="Times New Roman" w:hAnsi="Times New Roman" w:eastAsia="宋体" w:cs="Times New Roman"/>
                <w:i/>
                <w:kern w:val="0"/>
                <w:sz w:val="13"/>
                <w:szCs w:val="15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=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0001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）</w:t>
            </w:r>
          </w:p>
        </w:tc>
      </w:tr>
      <w:tr w14:paraId="0E34D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5A9CC431">
            <w:pPr>
              <w:widowControl/>
              <w:jc w:val="left"/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  <w:t>C</w:t>
            </w:r>
          </w:p>
        </w:tc>
        <w:tc>
          <w:tcPr>
            <w:tcW w:w="4148" w:type="dxa"/>
          </w:tcPr>
          <w:p w14:paraId="4B1F6364">
            <w:pPr>
              <w:widowControl/>
              <w:jc w:val="left"/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  <w:t>D</w:t>
            </w:r>
          </w:p>
        </w:tc>
      </w:tr>
      <w:tr w14:paraId="36820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1CA105EC">
            <w:pPr>
              <w:widowControl/>
              <w:jc w:val="left"/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  <w:drawing>
                <wp:inline distT="0" distB="0" distL="0" distR="0">
                  <wp:extent cx="2519680" cy="1511935"/>
                  <wp:effectExtent l="0" t="0" r="0" b="0"/>
                  <wp:docPr id="1076651021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651021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512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686CF1B8">
            <w:pPr>
              <w:widowControl/>
              <w:jc w:val="left"/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  <w:drawing>
                <wp:inline distT="0" distB="0" distL="0" distR="0">
                  <wp:extent cx="2519680" cy="1511935"/>
                  <wp:effectExtent l="0" t="0" r="0" b="0"/>
                  <wp:docPr id="1645753659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753659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512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0AD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358DA6A4">
            <w:pPr>
              <w:widowControl/>
              <w:jc w:val="left"/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Contemporaneous EVI（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 xml:space="preserve">Nonlinearity,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13"/>
                <w:szCs w:val="15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=&lt;.0001，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 xml:space="preserve">Trend,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13"/>
                <w:szCs w:val="15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&lt;.0001）</w:t>
            </w:r>
          </w:p>
        </w:tc>
        <w:tc>
          <w:tcPr>
            <w:tcW w:w="4148" w:type="dxa"/>
          </w:tcPr>
          <w:p w14:paraId="163EB0A1">
            <w:pPr>
              <w:widowControl/>
              <w:jc w:val="left"/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Cumulative EVI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（Nonlinearity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/>
                <w:kern w:val="0"/>
                <w:sz w:val="13"/>
                <w:szCs w:val="15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 xml:space="preserve">= 0.005，Trend, </w:t>
            </w:r>
            <w:r>
              <w:rPr>
                <w:rFonts w:hint="default" w:ascii="Times New Roman" w:hAnsi="Times New Roman" w:eastAsia="宋体" w:cs="Times New Roman"/>
                <w:i/>
                <w:kern w:val="0"/>
                <w:sz w:val="13"/>
                <w:szCs w:val="15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&lt;.0001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）</w:t>
            </w:r>
          </w:p>
        </w:tc>
      </w:tr>
    </w:tbl>
    <w:p w14:paraId="0B64ABCD">
      <w:pPr>
        <w:pStyle w:val="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Figure S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Figure_S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4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</w:rPr>
        <w:t xml:space="preserve">Exposure-Response Relationship Between Greenness Exposure and </w:t>
      </w:r>
      <w:r>
        <w:rPr>
          <w:rFonts w:hint="default" w:ascii="Times New Roman" w:hAnsi="Times New Roman" w:cs="Times New Roman"/>
        </w:rPr>
        <w:t>CVD</w:t>
      </w:r>
      <w:r>
        <w:rPr>
          <w:rFonts w:hint="default" w:ascii="Times New Roman" w:hAnsi="Times New Roman" w:cs="Times New Roman"/>
        </w:rPr>
        <w:t xml:space="preserve"> Mortality Risk in Ischemic Stroke Patients</w:t>
      </w:r>
    </w:p>
    <w:p w14:paraId="6F04E76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 w14:paraId="072D6524">
      <w:pPr>
        <w:rPr>
          <w:rFonts w:hint="default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4"/>
        <w:gridCol w:w="4184"/>
      </w:tblGrid>
      <w:tr w14:paraId="66761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0EF10A40">
            <w:pPr>
              <w:widowControl/>
              <w:jc w:val="left"/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  <w:t>A</w:t>
            </w:r>
          </w:p>
        </w:tc>
        <w:tc>
          <w:tcPr>
            <w:tcW w:w="4148" w:type="dxa"/>
          </w:tcPr>
          <w:p w14:paraId="5022E9F4">
            <w:pPr>
              <w:widowControl/>
              <w:jc w:val="left"/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  <w:t>B</w:t>
            </w:r>
          </w:p>
        </w:tc>
      </w:tr>
      <w:tr w14:paraId="09174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5A9E6EF5">
            <w:pPr>
              <w:widowControl/>
              <w:jc w:val="left"/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  <w:drawing>
                <wp:inline distT="0" distB="0" distL="0" distR="0">
                  <wp:extent cx="2519680" cy="1511935"/>
                  <wp:effectExtent l="0" t="0" r="0" b="0"/>
                  <wp:docPr id="2045053800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053800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512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0B1393BC">
            <w:pPr>
              <w:widowControl/>
              <w:jc w:val="left"/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  <w:drawing>
                <wp:inline distT="0" distB="0" distL="0" distR="0">
                  <wp:extent cx="2519680" cy="1511935"/>
                  <wp:effectExtent l="0" t="0" r="0" b="0"/>
                  <wp:docPr id="1475303681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303681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512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970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5D2E09A9">
            <w:pPr>
              <w:widowControl/>
              <w:jc w:val="left"/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Contemporaneous NDVI（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 xml:space="preserve">Nonlinearity,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13"/>
                <w:szCs w:val="15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 xml:space="preserve"> &lt;.0001，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Trend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13"/>
                <w:szCs w:val="15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&lt;.0001）</w:t>
            </w:r>
          </w:p>
        </w:tc>
        <w:tc>
          <w:tcPr>
            <w:tcW w:w="4148" w:type="dxa"/>
          </w:tcPr>
          <w:p w14:paraId="4A3580B2">
            <w:pPr>
              <w:widowControl/>
              <w:jc w:val="left"/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Cumulative NDVI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（Nonlinearity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/>
                <w:kern w:val="0"/>
                <w:sz w:val="13"/>
                <w:szCs w:val="15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 xml:space="preserve">= 0.131，Trend, </w:t>
            </w:r>
            <w:r>
              <w:rPr>
                <w:rFonts w:hint="default" w:ascii="Times New Roman" w:hAnsi="Times New Roman" w:eastAsia="宋体" w:cs="Times New Roman"/>
                <w:i/>
                <w:kern w:val="0"/>
                <w:sz w:val="13"/>
                <w:szCs w:val="15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&lt;.0001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）</w:t>
            </w:r>
          </w:p>
        </w:tc>
      </w:tr>
      <w:tr w14:paraId="3BAF1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18FB5EE2">
            <w:pPr>
              <w:widowControl/>
              <w:jc w:val="left"/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  <w:t>C</w:t>
            </w:r>
          </w:p>
        </w:tc>
        <w:tc>
          <w:tcPr>
            <w:tcW w:w="4148" w:type="dxa"/>
          </w:tcPr>
          <w:p w14:paraId="7E73CDE7">
            <w:pPr>
              <w:widowControl/>
              <w:jc w:val="left"/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  <w:t>D</w:t>
            </w:r>
          </w:p>
        </w:tc>
      </w:tr>
      <w:tr w14:paraId="30C9B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485473AE">
            <w:pPr>
              <w:widowControl/>
              <w:jc w:val="left"/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  <w:drawing>
                <wp:inline distT="0" distB="0" distL="0" distR="0">
                  <wp:extent cx="2519680" cy="1511935"/>
                  <wp:effectExtent l="0" t="0" r="0" b="0"/>
                  <wp:docPr id="919019515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019515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512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6AE6BC11">
            <w:pPr>
              <w:widowControl/>
              <w:jc w:val="left"/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  <w:drawing>
                <wp:inline distT="0" distB="0" distL="0" distR="0">
                  <wp:extent cx="2519680" cy="1511935"/>
                  <wp:effectExtent l="0" t="0" r="0" b="0"/>
                  <wp:docPr id="690221646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221646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512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CBEF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4606C675">
            <w:pPr>
              <w:widowControl/>
              <w:jc w:val="left"/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Contemporaneous EVI（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 xml:space="preserve">Nonlinearity,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13"/>
                <w:szCs w:val="15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=.0001，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 xml:space="preserve">Trend,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13"/>
                <w:szCs w:val="15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&lt;.0001）</w:t>
            </w:r>
          </w:p>
        </w:tc>
        <w:tc>
          <w:tcPr>
            <w:tcW w:w="4148" w:type="dxa"/>
          </w:tcPr>
          <w:p w14:paraId="0CF84D6D">
            <w:pPr>
              <w:widowControl/>
              <w:jc w:val="left"/>
              <w:rPr>
                <w:rFonts w:hint="default" w:ascii="Times New Roman" w:hAnsi="Times New Roman" w:cs="Times New Roman" w:eastAsiaTheme="majorHAnsi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Cumulative EVI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（Nonlinearity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/>
                <w:kern w:val="0"/>
                <w:sz w:val="13"/>
                <w:szCs w:val="15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 xml:space="preserve">= 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0.00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 xml:space="preserve">1，Trend, </w:t>
            </w:r>
            <w:r>
              <w:rPr>
                <w:rFonts w:hint="default" w:ascii="Times New Roman" w:hAnsi="Times New Roman" w:eastAsia="宋体" w:cs="Times New Roman"/>
                <w:i/>
                <w:kern w:val="0"/>
                <w:sz w:val="13"/>
                <w:szCs w:val="15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&lt;.0001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5"/>
              </w:rPr>
              <w:t>）</w:t>
            </w:r>
          </w:p>
        </w:tc>
      </w:tr>
    </w:tbl>
    <w:p w14:paraId="5A029769">
      <w:pPr>
        <w:pStyle w:val="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Figure S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Figure_S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5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</w:rPr>
        <w:t xml:space="preserve">Exposure-Response Relationship Between Greenness Exposure and </w:t>
      </w:r>
      <w:r>
        <w:rPr>
          <w:rFonts w:hint="default" w:ascii="Times New Roman" w:hAnsi="Times New Roman" w:cs="Times New Roman"/>
        </w:rPr>
        <w:t>Stroke</w:t>
      </w:r>
      <w:r>
        <w:rPr>
          <w:rFonts w:hint="default" w:ascii="Times New Roman" w:hAnsi="Times New Roman" w:cs="Times New Roman"/>
        </w:rPr>
        <w:t xml:space="preserve"> Mortality Risk in Ischemic Stroke Patients</w:t>
      </w:r>
    </w:p>
    <w:p w14:paraId="393335B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 w14:paraId="11110493">
      <w:pPr>
        <w:rPr>
          <w:rFonts w:hint="default" w:ascii="Times New Roman" w:hAnsi="Times New Roman" w:cs="Times New Roman"/>
        </w:rPr>
      </w:pPr>
    </w:p>
    <w:p w14:paraId="6FD69623">
      <w:pPr>
        <w:pStyle w:val="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Table S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Table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4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 xml:space="preserve"> Modifying Effect of Air Pollutants on the Association Between Greenness Exposure and CVD Mortality in Ischemic Stroke Patients</w:t>
      </w:r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9"/>
        <w:gridCol w:w="1785"/>
        <w:gridCol w:w="1785"/>
        <w:gridCol w:w="1785"/>
        <w:gridCol w:w="1108"/>
      </w:tblGrid>
      <w:tr w14:paraId="2FCF0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208" w:type="pct"/>
            <w:vMerge w:val="restart"/>
            <w:tcBorders>
              <w:top w:val="single" w:color="auto" w:sz="12" w:space="0"/>
            </w:tcBorders>
            <w:noWrap/>
            <w:vAlign w:val="center"/>
          </w:tcPr>
          <w:p w14:paraId="13407640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Subgroup</w:t>
            </w:r>
          </w:p>
        </w:tc>
        <w:tc>
          <w:tcPr>
            <w:tcW w:w="1047" w:type="pct"/>
            <w:tcBorders>
              <w:top w:val="single" w:color="auto" w:sz="12" w:space="0"/>
              <w:bottom w:val="single" w:color="auto" w:sz="6" w:space="0"/>
            </w:tcBorders>
            <w:noWrap/>
            <w:vAlign w:val="center"/>
          </w:tcPr>
          <w:p w14:paraId="2B05371D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1047" w:type="pct"/>
            <w:tcBorders>
              <w:top w:val="single" w:color="auto" w:sz="12" w:space="0"/>
              <w:bottom w:val="single" w:color="auto" w:sz="6" w:space="0"/>
            </w:tcBorders>
            <w:noWrap/>
            <w:vAlign w:val="center"/>
          </w:tcPr>
          <w:p w14:paraId="0220206A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HR(95% CI)</w:t>
            </w:r>
          </w:p>
        </w:tc>
        <w:tc>
          <w:tcPr>
            <w:tcW w:w="1047" w:type="pct"/>
            <w:tcBorders>
              <w:top w:val="single" w:color="auto" w:sz="12" w:space="0"/>
              <w:bottom w:val="single" w:color="auto" w:sz="6" w:space="0"/>
            </w:tcBorders>
            <w:noWrap/>
            <w:vAlign w:val="center"/>
          </w:tcPr>
          <w:p w14:paraId="258843EC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650" w:type="pct"/>
            <w:tcBorders>
              <w:top w:val="single" w:color="auto" w:sz="12" w:space="0"/>
            </w:tcBorders>
            <w:noWrap/>
            <w:vAlign w:val="center"/>
          </w:tcPr>
          <w:p w14:paraId="77A27E2A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5"/>
                <w:szCs w:val="15"/>
              </w:rPr>
            </w:pPr>
          </w:p>
        </w:tc>
      </w:tr>
      <w:tr w14:paraId="0B51A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208" w:type="pct"/>
            <w:vMerge w:val="continue"/>
            <w:tcBorders>
              <w:bottom w:val="single" w:color="auto" w:sz="6" w:space="0"/>
            </w:tcBorders>
            <w:noWrap/>
            <w:vAlign w:val="center"/>
          </w:tcPr>
          <w:p w14:paraId="339BE7AF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1047" w:type="pct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7F13FC3D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Q1</w:t>
            </w:r>
          </w:p>
        </w:tc>
        <w:tc>
          <w:tcPr>
            <w:tcW w:w="1047" w:type="pct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3CC09DEE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Q2</w:t>
            </w:r>
          </w:p>
        </w:tc>
        <w:tc>
          <w:tcPr>
            <w:tcW w:w="1047" w:type="pct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44779159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Q3</w:t>
            </w:r>
          </w:p>
        </w:tc>
        <w:tc>
          <w:tcPr>
            <w:tcW w:w="650" w:type="pct"/>
            <w:tcBorders>
              <w:bottom w:val="single" w:color="auto" w:sz="6" w:space="0"/>
            </w:tcBorders>
            <w:noWrap/>
            <w:vAlign w:val="center"/>
          </w:tcPr>
          <w:p w14:paraId="3A0FCDA9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5"/>
                <w:szCs w:val="15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 xml:space="preserve"> for trend</w:t>
            </w:r>
          </w:p>
        </w:tc>
      </w:tr>
      <w:tr w14:paraId="72D11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208" w:type="pct"/>
            <w:tcBorders>
              <w:top w:val="single" w:color="auto" w:sz="6" w:space="0"/>
            </w:tcBorders>
            <w:shd w:val="clear" w:color="auto" w:fill="DAE9F7" w:themeFill="text2" w:themeFillTint="1A"/>
            <w:noWrap/>
            <w:vAlign w:val="center"/>
          </w:tcPr>
          <w:p w14:paraId="5777110D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NO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47" w:type="pct"/>
            <w:tcBorders>
              <w:top w:val="single" w:color="auto" w:sz="6" w:space="0"/>
            </w:tcBorders>
            <w:shd w:val="clear" w:color="auto" w:fill="DAE9F7" w:themeFill="text2" w:themeFillTint="1A"/>
            <w:noWrap/>
            <w:vAlign w:val="center"/>
          </w:tcPr>
          <w:p w14:paraId="0DD6137E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47" w:type="pct"/>
            <w:tcBorders>
              <w:top w:val="single" w:color="auto" w:sz="6" w:space="0"/>
            </w:tcBorders>
            <w:shd w:val="clear" w:color="auto" w:fill="DAE9F7" w:themeFill="text2" w:themeFillTint="1A"/>
            <w:noWrap/>
            <w:vAlign w:val="center"/>
          </w:tcPr>
          <w:p w14:paraId="68B66E3C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47" w:type="pct"/>
            <w:tcBorders>
              <w:top w:val="single" w:color="auto" w:sz="6" w:space="0"/>
            </w:tcBorders>
            <w:shd w:val="clear" w:color="auto" w:fill="DAE9F7" w:themeFill="text2" w:themeFillTint="1A"/>
            <w:noWrap/>
            <w:vAlign w:val="center"/>
          </w:tcPr>
          <w:p w14:paraId="39AFED1B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650" w:type="pct"/>
            <w:tcBorders>
              <w:top w:val="single" w:color="auto" w:sz="6" w:space="0"/>
            </w:tcBorders>
            <w:shd w:val="clear" w:color="auto" w:fill="DAE9F7" w:themeFill="text2" w:themeFillTint="1A"/>
            <w:noWrap/>
            <w:vAlign w:val="center"/>
          </w:tcPr>
          <w:p w14:paraId="2D280192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3E30A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208" w:type="pct"/>
            <w:noWrap/>
            <w:vAlign w:val="center"/>
          </w:tcPr>
          <w:p w14:paraId="59D02CF2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Contemporaneous NDVI</w:t>
            </w:r>
          </w:p>
        </w:tc>
        <w:tc>
          <w:tcPr>
            <w:tcW w:w="1047" w:type="pct"/>
            <w:noWrap/>
            <w:vAlign w:val="center"/>
          </w:tcPr>
          <w:p w14:paraId="22591CC1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0.929 (0.899 - 0.959)</w:t>
            </w:r>
          </w:p>
        </w:tc>
        <w:tc>
          <w:tcPr>
            <w:tcW w:w="1047" w:type="pct"/>
            <w:noWrap/>
            <w:vAlign w:val="center"/>
          </w:tcPr>
          <w:p w14:paraId="4FB0CD9D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0.821 (0.782 - 0.863)</w:t>
            </w:r>
          </w:p>
        </w:tc>
        <w:tc>
          <w:tcPr>
            <w:tcW w:w="1047" w:type="pct"/>
            <w:noWrap/>
            <w:vAlign w:val="center"/>
          </w:tcPr>
          <w:p w14:paraId="4CCCCE09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0.859 (0.805 - 0.918)</w:t>
            </w:r>
          </w:p>
        </w:tc>
        <w:tc>
          <w:tcPr>
            <w:tcW w:w="650" w:type="pct"/>
            <w:noWrap/>
            <w:vAlign w:val="center"/>
          </w:tcPr>
          <w:p w14:paraId="68090C7A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6B8B4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208" w:type="pct"/>
            <w:noWrap/>
            <w:vAlign w:val="center"/>
          </w:tcPr>
          <w:p w14:paraId="6AEAFCF0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Cumulative NDVI</w:t>
            </w:r>
          </w:p>
        </w:tc>
        <w:tc>
          <w:tcPr>
            <w:tcW w:w="1047" w:type="pct"/>
            <w:noWrap/>
            <w:vAlign w:val="center"/>
          </w:tcPr>
          <w:p w14:paraId="53F66245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1.028 (0.975 - 1.083)</w:t>
            </w:r>
          </w:p>
        </w:tc>
        <w:tc>
          <w:tcPr>
            <w:tcW w:w="1047" w:type="pct"/>
            <w:noWrap/>
            <w:vAlign w:val="center"/>
          </w:tcPr>
          <w:p w14:paraId="2E24DE3D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0.896 (0.826 - 0.971)</w:t>
            </w:r>
          </w:p>
        </w:tc>
        <w:tc>
          <w:tcPr>
            <w:tcW w:w="1047" w:type="pct"/>
            <w:noWrap/>
            <w:vAlign w:val="center"/>
          </w:tcPr>
          <w:p w14:paraId="576E9696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0.507 (0.435 - 0.591)</w:t>
            </w:r>
          </w:p>
        </w:tc>
        <w:tc>
          <w:tcPr>
            <w:tcW w:w="650" w:type="pct"/>
            <w:noWrap/>
            <w:vAlign w:val="center"/>
          </w:tcPr>
          <w:p w14:paraId="4893DCD2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46AC1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208" w:type="pct"/>
            <w:noWrap/>
            <w:vAlign w:val="center"/>
          </w:tcPr>
          <w:p w14:paraId="591A5B4E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Contemporaneous EVI</w:t>
            </w:r>
          </w:p>
        </w:tc>
        <w:tc>
          <w:tcPr>
            <w:tcW w:w="1047" w:type="pct"/>
            <w:noWrap/>
            <w:vAlign w:val="center"/>
          </w:tcPr>
          <w:p w14:paraId="632D9BB8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0.931 (0.903 - 0.96)</w:t>
            </w:r>
          </w:p>
        </w:tc>
        <w:tc>
          <w:tcPr>
            <w:tcW w:w="1047" w:type="pct"/>
            <w:noWrap/>
            <w:vAlign w:val="center"/>
          </w:tcPr>
          <w:p w14:paraId="67BBE09F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0.825 (0.786 - 0.866)</w:t>
            </w:r>
          </w:p>
        </w:tc>
        <w:tc>
          <w:tcPr>
            <w:tcW w:w="1047" w:type="pct"/>
            <w:noWrap/>
            <w:vAlign w:val="center"/>
          </w:tcPr>
          <w:p w14:paraId="2DA51A7D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0.86 (0.806 - 0.917)</w:t>
            </w:r>
          </w:p>
        </w:tc>
        <w:tc>
          <w:tcPr>
            <w:tcW w:w="650" w:type="pct"/>
            <w:noWrap/>
            <w:vAlign w:val="center"/>
          </w:tcPr>
          <w:p w14:paraId="31F60860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2546A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208" w:type="pct"/>
            <w:noWrap/>
            <w:vAlign w:val="center"/>
          </w:tcPr>
          <w:p w14:paraId="523AB27C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Cumulative EVI</w:t>
            </w:r>
          </w:p>
        </w:tc>
        <w:tc>
          <w:tcPr>
            <w:tcW w:w="1047" w:type="pct"/>
            <w:noWrap/>
            <w:vAlign w:val="center"/>
          </w:tcPr>
          <w:p w14:paraId="30DE12E5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0.975 (0.927 - 1.025)</w:t>
            </w:r>
          </w:p>
        </w:tc>
        <w:tc>
          <w:tcPr>
            <w:tcW w:w="1047" w:type="pct"/>
            <w:noWrap/>
            <w:vAlign w:val="center"/>
          </w:tcPr>
          <w:p w14:paraId="5287987B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0.806 (0.743 - 0.875)</w:t>
            </w:r>
          </w:p>
        </w:tc>
        <w:tc>
          <w:tcPr>
            <w:tcW w:w="1047" w:type="pct"/>
            <w:noWrap/>
            <w:vAlign w:val="center"/>
          </w:tcPr>
          <w:p w14:paraId="36F196DA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0.486 (0.42 - 0.562)</w:t>
            </w:r>
          </w:p>
        </w:tc>
        <w:tc>
          <w:tcPr>
            <w:tcW w:w="650" w:type="pct"/>
            <w:noWrap/>
            <w:vAlign w:val="center"/>
          </w:tcPr>
          <w:p w14:paraId="6D34FFCF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4D7D6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208" w:type="pct"/>
            <w:shd w:val="clear" w:color="auto" w:fill="DAE9F7" w:themeFill="text2" w:themeFillTint="1A"/>
            <w:noWrap/>
            <w:vAlign w:val="center"/>
          </w:tcPr>
          <w:p w14:paraId="2294CAB8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PM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  <w:vertAlign w:val="subscript"/>
              </w:rPr>
              <w:t>2.5</w:t>
            </w:r>
          </w:p>
        </w:tc>
        <w:tc>
          <w:tcPr>
            <w:tcW w:w="1047" w:type="pct"/>
            <w:shd w:val="clear" w:color="auto" w:fill="DAE9F7" w:themeFill="text2" w:themeFillTint="1A"/>
            <w:noWrap/>
            <w:vAlign w:val="center"/>
          </w:tcPr>
          <w:p w14:paraId="4131B9EE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47" w:type="pct"/>
            <w:shd w:val="clear" w:color="auto" w:fill="DAE9F7" w:themeFill="text2" w:themeFillTint="1A"/>
            <w:noWrap/>
            <w:vAlign w:val="center"/>
          </w:tcPr>
          <w:p w14:paraId="2BB6A512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47" w:type="pct"/>
            <w:shd w:val="clear" w:color="auto" w:fill="DAE9F7" w:themeFill="text2" w:themeFillTint="1A"/>
            <w:noWrap/>
            <w:vAlign w:val="center"/>
          </w:tcPr>
          <w:p w14:paraId="18E77391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650" w:type="pct"/>
            <w:shd w:val="clear" w:color="auto" w:fill="DAE9F7" w:themeFill="text2" w:themeFillTint="1A"/>
            <w:noWrap/>
            <w:vAlign w:val="center"/>
          </w:tcPr>
          <w:p w14:paraId="024934DB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3A7C2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208" w:type="pct"/>
            <w:noWrap/>
            <w:vAlign w:val="center"/>
          </w:tcPr>
          <w:p w14:paraId="5F8C6BEF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Contemporaneous NDVI</w:t>
            </w:r>
          </w:p>
        </w:tc>
        <w:tc>
          <w:tcPr>
            <w:tcW w:w="1047" w:type="pct"/>
            <w:noWrap/>
            <w:vAlign w:val="center"/>
          </w:tcPr>
          <w:p w14:paraId="2915938E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0.891 (0.854 - 0.93)</w:t>
            </w:r>
          </w:p>
        </w:tc>
        <w:tc>
          <w:tcPr>
            <w:tcW w:w="1047" w:type="pct"/>
            <w:noWrap/>
            <w:vAlign w:val="center"/>
          </w:tcPr>
          <w:p w14:paraId="3BCA7F5C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0.785 (0.734 - 0.841)</w:t>
            </w:r>
          </w:p>
        </w:tc>
        <w:tc>
          <w:tcPr>
            <w:tcW w:w="1047" w:type="pct"/>
            <w:noWrap/>
            <w:vAlign w:val="center"/>
          </w:tcPr>
          <w:p w14:paraId="6284BEEB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0.861 (0.824 - 0.9)</w:t>
            </w:r>
          </w:p>
        </w:tc>
        <w:tc>
          <w:tcPr>
            <w:tcW w:w="650" w:type="pct"/>
            <w:noWrap/>
            <w:vAlign w:val="center"/>
          </w:tcPr>
          <w:p w14:paraId="199D16B0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218F0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208" w:type="pct"/>
            <w:noWrap/>
            <w:vAlign w:val="center"/>
          </w:tcPr>
          <w:p w14:paraId="47ABBF0A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Cumulative NDVI</w:t>
            </w:r>
          </w:p>
        </w:tc>
        <w:tc>
          <w:tcPr>
            <w:tcW w:w="1047" w:type="pct"/>
            <w:noWrap/>
            <w:vAlign w:val="center"/>
          </w:tcPr>
          <w:p w14:paraId="22CCAE3D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0.909 (0.853 - 0.969)</w:t>
            </w:r>
          </w:p>
        </w:tc>
        <w:tc>
          <w:tcPr>
            <w:tcW w:w="1047" w:type="pct"/>
            <w:noWrap/>
            <w:vAlign w:val="center"/>
          </w:tcPr>
          <w:p w14:paraId="21451834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1.056 (0.954 - 1.168)</w:t>
            </w:r>
          </w:p>
        </w:tc>
        <w:tc>
          <w:tcPr>
            <w:tcW w:w="1047" w:type="pct"/>
            <w:noWrap/>
            <w:vAlign w:val="center"/>
          </w:tcPr>
          <w:p w14:paraId="72BE45A6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0.712 (0.659 - 0.77)</w:t>
            </w:r>
          </w:p>
        </w:tc>
        <w:tc>
          <w:tcPr>
            <w:tcW w:w="650" w:type="pct"/>
            <w:noWrap/>
            <w:vAlign w:val="center"/>
          </w:tcPr>
          <w:p w14:paraId="0882EB71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3E68E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208" w:type="pct"/>
            <w:noWrap/>
            <w:vAlign w:val="center"/>
          </w:tcPr>
          <w:p w14:paraId="06AD648C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Contemporaneous EVI</w:t>
            </w:r>
          </w:p>
        </w:tc>
        <w:tc>
          <w:tcPr>
            <w:tcW w:w="1047" w:type="pct"/>
            <w:noWrap/>
            <w:vAlign w:val="center"/>
          </w:tcPr>
          <w:p w14:paraId="44F6F67F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0.915 (0.877 - 0.954)</w:t>
            </w:r>
          </w:p>
        </w:tc>
        <w:tc>
          <w:tcPr>
            <w:tcW w:w="1047" w:type="pct"/>
            <w:noWrap/>
            <w:vAlign w:val="center"/>
          </w:tcPr>
          <w:p w14:paraId="515B4359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0.794 (0.743 - 0.849)</w:t>
            </w:r>
          </w:p>
        </w:tc>
        <w:tc>
          <w:tcPr>
            <w:tcW w:w="1047" w:type="pct"/>
            <w:noWrap/>
            <w:vAlign w:val="center"/>
          </w:tcPr>
          <w:p w14:paraId="353385AC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0.846 (0.81 - 0.884)</w:t>
            </w:r>
          </w:p>
        </w:tc>
        <w:tc>
          <w:tcPr>
            <w:tcW w:w="650" w:type="pct"/>
            <w:noWrap/>
            <w:vAlign w:val="center"/>
          </w:tcPr>
          <w:p w14:paraId="149BF73F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4889F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208" w:type="pct"/>
            <w:noWrap/>
            <w:vAlign w:val="center"/>
          </w:tcPr>
          <w:p w14:paraId="5916FB67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Cumulative EVI</w:t>
            </w:r>
          </w:p>
        </w:tc>
        <w:tc>
          <w:tcPr>
            <w:tcW w:w="1047" w:type="pct"/>
            <w:noWrap/>
            <w:vAlign w:val="center"/>
          </w:tcPr>
          <w:p w14:paraId="61B78A3D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0.926 (0.867 - 0.989)</w:t>
            </w:r>
          </w:p>
        </w:tc>
        <w:tc>
          <w:tcPr>
            <w:tcW w:w="1047" w:type="pct"/>
            <w:noWrap/>
            <w:vAlign w:val="center"/>
          </w:tcPr>
          <w:p w14:paraId="593F2E9C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0.987 (0.898 - 1.084)</w:t>
            </w:r>
          </w:p>
        </w:tc>
        <w:tc>
          <w:tcPr>
            <w:tcW w:w="1047" w:type="pct"/>
            <w:noWrap/>
            <w:vAlign w:val="center"/>
          </w:tcPr>
          <w:p w14:paraId="67EBF874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0.625 (0.579 - 0.674)</w:t>
            </w:r>
          </w:p>
        </w:tc>
        <w:tc>
          <w:tcPr>
            <w:tcW w:w="650" w:type="pct"/>
            <w:noWrap/>
            <w:vAlign w:val="center"/>
          </w:tcPr>
          <w:p w14:paraId="62A7558D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70AA0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208" w:type="pct"/>
            <w:shd w:val="clear" w:color="auto" w:fill="DAE9F7" w:themeFill="text2" w:themeFillTint="1A"/>
            <w:noWrap/>
            <w:vAlign w:val="center"/>
          </w:tcPr>
          <w:p w14:paraId="6F417BA6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SO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47" w:type="pct"/>
            <w:shd w:val="clear" w:color="auto" w:fill="DAE9F7" w:themeFill="text2" w:themeFillTint="1A"/>
            <w:noWrap/>
            <w:vAlign w:val="center"/>
          </w:tcPr>
          <w:p w14:paraId="3E318BC3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47" w:type="pct"/>
            <w:shd w:val="clear" w:color="auto" w:fill="DAE9F7" w:themeFill="text2" w:themeFillTint="1A"/>
            <w:noWrap/>
            <w:vAlign w:val="center"/>
          </w:tcPr>
          <w:p w14:paraId="0DCB8671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47" w:type="pct"/>
            <w:shd w:val="clear" w:color="auto" w:fill="DAE9F7" w:themeFill="text2" w:themeFillTint="1A"/>
            <w:noWrap/>
            <w:vAlign w:val="center"/>
          </w:tcPr>
          <w:p w14:paraId="53F16548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650" w:type="pct"/>
            <w:shd w:val="clear" w:color="auto" w:fill="DAE9F7" w:themeFill="text2" w:themeFillTint="1A"/>
            <w:noWrap/>
            <w:vAlign w:val="center"/>
          </w:tcPr>
          <w:p w14:paraId="6EC758E4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20A16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208" w:type="pct"/>
            <w:noWrap/>
            <w:vAlign w:val="center"/>
          </w:tcPr>
          <w:p w14:paraId="45A50E8E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Contemporaneous NDVI</w:t>
            </w:r>
          </w:p>
        </w:tc>
        <w:tc>
          <w:tcPr>
            <w:tcW w:w="1047" w:type="pct"/>
            <w:noWrap/>
            <w:vAlign w:val="center"/>
          </w:tcPr>
          <w:p w14:paraId="682C26F0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0.884 (0.827 - 0.944)</w:t>
            </w:r>
          </w:p>
        </w:tc>
        <w:tc>
          <w:tcPr>
            <w:tcW w:w="1047" w:type="pct"/>
            <w:noWrap/>
            <w:vAlign w:val="center"/>
          </w:tcPr>
          <w:p w14:paraId="00DEBEBA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0.819 (0.775 - 0.865)</w:t>
            </w:r>
          </w:p>
        </w:tc>
        <w:tc>
          <w:tcPr>
            <w:tcW w:w="1047" w:type="pct"/>
            <w:noWrap/>
            <w:vAlign w:val="center"/>
          </w:tcPr>
          <w:p w14:paraId="7C478A82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0.894 (0.859 - 0.93)</w:t>
            </w:r>
          </w:p>
        </w:tc>
        <w:tc>
          <w:tcPr>
            <w:tcW w:w="650" w:type="pct"/>
            <w:noWrap/>
            <w:vAlign w:val="center"/>
          </w:tcPr>
          <w:p w14:paraId="5F998C1F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1A026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208" w:type="pct"/>
            <w:noWrap/>
            <w:vAlign w:val="center"/>
          </w:tcPr>
          <w:p w14:paraId="69EE7D94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Cumulative NDVI</w:t>
            </w:r>
          </w:p>
        </w:tc>
        <w:tc>
          <w:tcPr>
            <w:tcW w:w="1047" w:type="pct"/>
            <w:noWrap/>
            <w:vAlign w:val="center"/>
          </w:tcPr>
          <w:p w14:paraId="7D549311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0.864 (0.792 - 0.942)</w:t>
            </w:r>
          </w:p>
        </w:tc>
        <w:tc>
          <w:tcPr>
            <w:tcW w:w="1047" w:type="pct"/>
            <w:noWrap/>
            <w:vAlign w:val="center"/>
          </w:tcPr>
          <w:p w14:paraId="309B007E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1.057 (0.971 - 1.152)</w:t>
            </w:r>
          </w:p>
        </w:tc>
        <w:tc>
          <w:tcPr>
            <w:tcW w:w="1047" w:type="pct"/>
            <w:noWrap/>
            <w:vAlign w:val="center"/>
          </w:tcPr>
          <w:p w14:paraId="456EAB6E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0.839 (0.782 - 0.899)</w:t>
            </w:r>
          </w:p>
        </w:tc>
        <w:tc>
          <w:tcPr>
            <w:tcW w:w="650" w:type="pct"/>
            <w:noWrap/>
            <w:vAlign w:val="center"/>
          </w:tcPr>
          <w:p w14:paraId="41B363A4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352E5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208" w:type="pct"/>
            <w:noWrap/>
            <w:vAlign w:val="center"/>
          </w:tcPr>
          <w:p w14:paraId="69ECE1DE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Contemporaneous EVI</w:t>
            </w:r>
          </w:p>
        </w:tc>
        <w:tc>
          <w:tcPr>
            <w:tcW w:w="1047" w:type="pct"/>
            <w:noWrap/>
            <w:vAlign w:val="center"/>
          </w:tcPr>
          <w:p w14:paraId="3FA1ED2C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0.9 (0.844 - 0.96)</w:t>
            </w:r>
          </w:p>
        </w:tc>
        <w:tc>
          <w:tcPr>
            <w:tcW w:w="1047" w:type="pct"/>
            <w:noWrap/>
            <w:vAlign w:val="center"/>
          </w:tcPr>
          <w:p w14:paraId="42147D90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0.847 (0.802 - 0.894)</w:t>
            </w:r>
          </w:p>
        </w:tc>
        <w:tc>
          <w:tcPr>
            <w:tcW w:w="1047" w:type="pct"/>
            <w:noWrap/>
            <w:vAlign w:val="center"/>
          </w:tcPr>
          <w:p w14:paraId="2721C937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0.882 (0.849 - 0.916)</w:t>
            </w:r>
          </w:p>
        </w:tc>
        <w:tc>
          <w:tcPr>
            <w:tcW w:w="650" w:type="pct"/>
            <w:noWrap/>
            <w:vAlign w:val="center"/>
          </w:tcPr>
          <w:p w14:paraId="56311CE5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6BFA0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208" w:type="pct"/>
            <w:tcBorders>
              <w:bottom w:val="single" w:color="auto" w:sz="4" w:space="0"/>
            </w:tcBorders>
            <w:noWrap/>
            <w:vAlign w:val="center"/>
          </w:tcPr>
          <w:p w14:paraId="4D9FA1A6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Cumulative EVI</w:t>
            </w:r>
          </w:p>
        </w:tc>
        <w:tc>
          <w:tcPr>
            <w:tcW w:w="1047" w:type="pct"/>
            <w:tcBorders>
              <w:bottom w:val="single" w:color="auto" w:sz="4" w:space="0"/>
            </w:tcBorders>
            <w:noWrap/>
            <w:vAlign w:val="center"/>
          </w:tcPr>
          <w:p w14:paraId="00092BE9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0.858 (0.788 - 0.934)</w:t>
            </w:r>
          </w:p>
        </w:tc>
        <w:tc>
          <w:tcPr>
            <w:tcW w:w="1047" w:type="pct"/>
            <w:tcBorders>
              <w:bottom w:val="single" w:color="auto" w:sz="4" w:space="0"/>
            </w:tcBorders>
            <w:noWrap/>
            <w:vAlign w:val="center"/>
          </w:tcPr>
          <w:p w14:paraId="7AE62B82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1.05 (0.969 - 1.138)</w:t>
            </w:r>
          </w:p>
        </w:tc>
        <w:tc>
          <w:tcPr>
            <w:tcW w:w="1047" w:type="pct"/>
            <w:tcBorders>
              <w:bottom w:val="single" w:color="auto" w:sz="4" w:space="0"/>
            </w:tcBorders>
            <w:noWrap/>
            <w:vAlign w:val="center"/>
          </w:tcPr>
          <w:p w14:paraId="6B201E53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0.748 (0.699 - 0.8)</w:t>
            </w:r>
          </w:p>
        </w:tc>
        <w:tc>
          <w:tcPr>
            <w:tcW w:w="650" w:type="pct"/>
            <w:tcBorders>
              <w:bottom w:val="single" w:color="auto" w:sz="4" w:space="0"/>
            </w:tcBorders>
            <w:noWrap/>
            <w:vAlign w:val="center"/>
          </w:tcPr>
          <w:p w14:paraId="4A38469F">
            <w:pPr>
              <w:tabs>
                <w:tab w:val="center" w:pos="7079"/>
              </w:tabs>
              <w:adjustRightInd w:val="0"/>
              <w:spacing w:line="288" w:lineRule="auto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</w:tbl>
    <w:p w14:paraId="740D477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 w14:paraId="22CD80E5">
      <w:pPr>
        <w:tabs>
          <w:tab w:val="center" w:pos="7079"/>
        </w:tabs>
        <w:adjustRightInd w:val="0"/>
        <w:spacing w:line="288" w:lineRule="auto"/>
        <w:rPr>
          <w:rFonts w:hint="default" w:ascii="Times New Roman" w:hAnsi="Times New Roman" w:cs="Times New Roman"/>
        </w:rPr>
      </w:pPr>
    </w:p>
    <w:p w14:paraId="6ACBD504">
      <w:pPr>
        <w:pStyle w:val="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Table S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Table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5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 xml:space="preserve"> Modifying Effect of Air Pollutants on the Association Between Greenness Exposure and Stroke Mortality in Ischemic Stroke Patients</w:t>
      </w:r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9"/>
        <w:gridCol w:w="1785"/>
        <w:gridCol w:w="1785"/>
        <w:gridCol w:w="1785"/>
        <w:gridCol w:w="1108"/>
      </w:tblGrid>
      <w:tr w14:paraId="2B74C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08" w:type="pct"/>
            <w:vMerge w:val="restart"/>
            <w:tcBorders>
              <w:top w:val="single" w:color="auto" w:sz="12" w:space="0"/>
            </w:tcBorders>
            <w:noWrap/>
            <w:vAlign w:val="center"/>
          </w:tcPr>
          <w:p w14:paraId="61AE98DD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Subgroup</w:t>
            </w:r>
          </w:p>
        </w:tc>
        <w:tc>
          <w:tcPr>
            <w:tcW w:w="1047" w:type="pct"/>
            <w:tcBorders>
              <w:top w:val="single" w:color="auto" w:sz="12" w:space="0"/>
              <w:bottom w:val="single" w:color="auto" w:sz="6" w:space="0"/>
            </w:tcBorders>
            <w:noWrap/>
            <w:vAlign w:val="center"/>
          </w:tcPr>
          <w:p w14:paraId="022B4DF3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1047" w:type="pct"/>
            <w:tcBorders>
              <w:top w:val="single" w:color="auto" w:sz="12" w:space="0"/>
              <w:bottom w:val="single" w:color="auto" w:sz="6" w:space="0"/>
            </w:tcBorders>
            <w:noWrap/>
            <w:vAlign w:val="center"/>
          </w:tcPr>
          <w:p w14:paraId="525A19D3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HR(95% CI)</w:t>
            </w:r>
          </w:p>
        </w:tc>
        <w:tc>
          <w:tcPr>
            <w:tcW w:w="1047" w:type="pct"/>
            <w:tcBorders>
              <w:top w:val="single" w:color="auto" w:sz="12" w:space="0"/>
              <w:bottom w:val="single" w:color="auto" w:sz="6" w:space="0"/>
            </w:tcBorders>
            <w:noWrap/>
            <w:vAlign w:val="center"/>
          </w:tcPr>
          <w:p w14:paraId="659D967C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650" w:type="pct"/>
            <w:tcBorders>
              <w:top w:val="single" w:color="auto" w:sz="12" w:space="0"/>
            </w:tcBorders>
            <w:noWrap/>
            <w:vAlign w:val="center"/>
          </w:tcPr>
          <w:p w14:paraId="69A2F3ED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5"/>
                <w:szCs w:val="15"/>
              </w:rPr>
            </w:pPr>
          </w:p>
        </w:tc>
      </w:tr>
      <w:tr w14:paraId="27A92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08" w:type="pct"/>
            <w:vMerge w:val="continue"/>
            <w:tcBorders>
              <w:bottom w:val="single" w:color="auto" w:sz="6" w:space="0"/>
            </w:tcBorders>
            <w:noWrap/>
            <w:vAlign w:val="center"/>
          </w:tcPr>
          <w:p w14:paraId="39DC03D4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1047" w:type="pct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488BA718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Q1</w:t>
            </w:r>
          </w:p>
        </w:tc>
        <w:tc>
          <w:tcPr>
            <w:tcW w:w="1047" w:type="pct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30961DB5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Q2</w:t>
            </w:r>
          </w:p>
        </w:tc>
        <w:tc>
          <w:tcPr>
            <w:tcW w:w="1047" w:type="pct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09FE885E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Q3</w:t>
            </w:r>
          </w:p>
        </w:tc>
        <w:tc>
          <w:tcPr>
            <w:tcW w:w="650" w:type="pct"/>
            <w:tcBorders>
              <w:bottom w:val="single" w:color="auto" w:sz="6" w:space="0"/>
            </w:tcBorders>
            <w:noWrap/>
            <w:vAlign w:val="center"/>
          </w:tcPr>
          <w:p w14:paraId="04C228F0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5"/>
                <w:szCs w:val="15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 xml:space="preserve"> for trend</w:t>
            </w:r>
          </w:p>
        </w:tc>
      </w:tr>
      <w:tr w14:paraId="18144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08" w:type="pct"/>
            <w:tcBorders>
              <w:top w:val="single" w:color="auto" w:sz="6" w:space="0"/>
            </w:tcBorders>
            <w:shd w:val="clear" w:color="auto" w:fill="DAE9F7" w:themeFill="text2" w:themeFillTint="1A"/>
            <w:noWrap/>
            <w:vAlign w:val="center"/>
          </w:tcPr>
          <w:p w14:paraId="1F68A82F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NO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47" w:type="pct"/>
            <w:tcBorders>
              <w:top w:val="single" w:color="auto" w:sz="6" w:space="0"/>
            </w:tcBorders>
            <w:shd w:val="clear" w:color="auto" w:fill="DAE9F7" w:themeFill="text2" w:themeFillTint="1A"/>
            <w:noWrap/>
            <w:vAlign w:val="center"/>
          </w:tcPr>
          <w:p w14:paraId="0D08DC35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47" w:type="pct"/>
            <w:tcBorders>
              <w:top w:val="single" w:color="auto" w:sz="6" w:space="0"/>
            </w:tcBorders>
            <w:shd w:val="clear" w:color="auto" w:fill="DAE9F7" w:themeFill="text2" w:themeFillTint="1A"/>
            <w:noWrap/>
            <w:vAlign w:val="center"/>
          </w:tcPr>
          <w:p w14:paraId="27F49B85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47" w:type="pct"/>
            <w:tcBorders>
              <w:top w:val="single" w:color="auto" w:sz="6" w:space="0"/>
            </w:tcBorders>
            <w:shd w:val="clear" w:color="auto" w:fill="DAE9F7" w:themeFill="text2" w:themeFillTint="1A"/>
            <w:noWrap/>
            <w:vAlign w:val="center"/>
          </w:tcPr>
          <w:p w14:paraId="6DFF14F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650" w:type="pct"/>
            <w:tcBorders>
              <w:top w:val="single" w:color="auto" w:sz="6" w:space="0"/>
            </w:tcBorders>
            <w:shd w:val="clear" w:color="auto" w:fill="DAE9F7" w:themeFill="text2" w:themeFillTint="1A"/>
            <w:noWrap/>
            <w:vAlign w:val="center"/>
          </w:tcPr>
          <w:p w14:paraId="6DD4CEF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2B257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08" w:type="pct"/>
            <w:noWrap/>
            <w:vAlign w:val="center"/>
          </w:tcPr>
          <w:p w14:paraId="5C95B972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Contemporaneous NDVI</w:t>
            </w:r>
          </w:p>
        </w:tc>
        <w:tc>
          <w:tcPr>
            <w:tcW w:w="1047" w:type="pct"/>
            <w:noWrap/>
            <w:vAlign w:val="center"/>
          </w:tcPr>
          <w:p w14:paraId="76F8326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0.912 (0.888 - 0.937)</w:t>
            </w:r>
          </w:p>
        </w:tc>
        <w:tc>
          <w:tcPr>
            <w:tcW w:w="1047" w:type="pct"/>
            <w:noWrap/>
            <w:vAlign w:val="center"/>
          </w:tcPr>
          <w:p w14:paraId="2AB2EAD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0.826 (0.793 - 0.86)</w:t>
            </w:r>
          </w:p>
        </w:tc>
        <w:tc>
          <w:tcPr>
            <w:tcW w:w="1047" w:type="pct"/>
            <w:noWrap/>
            <w:vAlign w:val="center"/>
          </w:tcPr>
          <w:p w14:paraId="2CE82E52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0.821 (0.779 - 0.866)</w:t>
            </w:r>
          </w:p>
        </w:tc>
        <w:tc>
          <w:tcPr>
            <w:tcW w:w="650" w:type="pct"/>
            <w:noWrap/>
            <w:vAlign w:val="center"/>
          </w:tcPr>
          <w:p w14:paraId="6245CF1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16412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08" w:type="pct"/>
            <w:noWrap/>
            <w:vAlign w:val="center"/>
          </w:tcPr>
          <w:p w14:paraId="57AEF6B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Cumulative NDVI</w:t>
            </w:r>
          </w:p>
        </w:tc>
        <w:tc>
          <w:tcPr>
            <w:tcW w:w="1047" w:type="pct"/>
            <w:noWrap/>
            <w:vAlign w:val="center"/>
          </w:tcPr>
          <w:p w14:paraId="6E3B172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1.034 (0.992 - 1.078)</w:t>
            </w:r>
          </w:p>
        </w:tc>
        <w:tc>
          <w:tcPr>
            <w:tcW w:w="1047" w:type="pct"/>
            <w:noWrap/>
            <w:vAlign w:val="center"/>
          </w:tcPr>
          <w:p w14:paraId="6BF4231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0.932 (0.874 - 0.994)</w:t>
            </w:r>
          </w:p>
        </w:tc>
        <w:tc>
          <w:tcPr>
            <w:tcW w:w="1047" w:type="pct"/>
            <w:noWrap/>
            <w:vAlign w:val="center"/>
          </w:tcPr>
          <w:p w14:paraId="0FF3D16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0.534 (0.469 - 0.608)</w:t>
            </w:r>
          </w:p>
        </w:tc>
        <w:tc>
          <w:tcPr>
            <w:tcW w:w="650" w:type="pct"/>
            <w:noWrap/>
            <w:vAlign w:val="center"/>
          </w:tcPr>
          <w:p w14:paraId="17B50302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5CA9F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08" w:type="pct"/>
            <w:noWrap/>
            <w:vAlign w:val="center"/>
          </w:tcPr>
          <w:p w14:paraId="5D45F37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bookmarkStart w:id="2" w:name="_Hlk187092332"/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Contemporaneous EVI</w:t>
            </w:r>
            <w:bookmarkEnd w:id="2"/>
          </w:p>
        </w:tc>
        <w:tc>
          <w:tcPr>
            <w:tcW w:w="1047" w:type="pct"/>
            <w:noWrap/>
            <w:vAlign w:val="center"/>
          </w:tcPr>
          <w:p w14:paraId="5F9A9032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0.916 (0.893 - 0.939)</w:t>
            </w:r>
          </w:p>
        </w:tc>
        <w:tc>
          <w:tcPr>
            <w:tcW w:w="1047" w:type="pct"/>
            <w:noWrap/>
            <w:vAlign w:val="center"/>
          </w:tcPr>
          <w:p w14:paraId="479AB83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0.833 (0.8 - 0.867)</w:t>
            </w:r>
          </w:p>
        </w:tc>
        <w:tc>
          <w:tcPr>
            <w:tcW w:w="1047" w:type="pct"/>
            <w:noWrap/>
            <w:vAlign w:val="center"/>
          </w:tcPr>
          <w:p w14:paraId="1598E41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0.83 (0.788 - 0.875)</w:t>
            </w:r>
          </w:p>
        </w:tc>
        <w:tc>
          <w:tcPr>
            <w:tcW w:w="650" w:type="pct"/>
            <w:noWrap/>
            <w:vAlign w:val="center"/>
          </w:tcPr>
          <w:p w14:paraId="25738B0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323B1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08" w:type="pct"/>
            <w:noWrap/>
            <w:vAlign w:val="center"/>
          </w:tcPr>
          <w:p w14:paraId="7F85963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Cumulative EVI</w:t>
            </w:r>
          </w:p>
        </w:tc>
        <w:tc>
          <w:tcPr>
            <w:tcW w:w="1047" w:type="pct"/>
            <w:noWrap/>
            <w:vAlign w:val="center"/>
          </w:tcPr>
          <w:p w14:paraId="42E0ADB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0.988 (0.949 - 1.028)</w:t>
            </w:r>
          </w:p>
        </w:tc>
        <w:tc>
          <w:tcPr>
            <w:tcW w:w="1047" w:type="pct"/>
            <w:noWrap/>
            <w:vAlign w:val="center"/>
          </w:tcPr>
          <w:p w14:paraId="407561D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0.854 (0.8 - 0.913)</w:t>
            </w:r>
          </w:p>
        </w:tc>
        <w:tc>
          <w:tcPr>
            <w:tcW w:w="1047" w:type="pct"/>
            <w:noWrap/>
            <w:vAlign w:val="center"/>
          </w:tcPr>
          <w:p w14:paraId="7237EB9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0.53 (0.468 - 0.6)</w:t>
            </w:r>
          </w:p>
        </w:tc>
        <w:tc>
          <w:tcPr>
            <w:tcW w:w="650" w:type="pct"/>
            <w:noWrap/>
            <w:vAlign w:val="center"/>
          </w:tcPr>
          <w:p w14:paraId="6656FD2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276F5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08" w:type="pct"/>
            <w:shd w:val="clear" w:color="auto" w:fill="DAE9F7" w:themeFill="text2" w:themeFillTint="1A"/>
            <w:noWrap/>
            <w:vAlign w:val="center"/>
          </w:tcPr>
          <w:p w14:paraId="20BACE2F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PM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  <w:vertAlign w:val="subscript"/>
              </w:rPr>
              <w:t>2.5</w:t>
            </w:r>
          </w:p>
        </w:tc>
        <w:tc>
          <w:tcPr>
            <w:tcW w:w="1047" w:type="pct"/>
            <w:shd w:val="clear" w:color="auto" w:fill="DAE9F7" w:themeFill="text2" w:themeFillTint="1A"/>
            <w:noWrap/>
            <w:vAlign w:val="center"/>
          </w:tcPr>
          <w:p w14:paraId="3984AAB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47" w:type="pct"/>
            <w:shd w:val="clear" w:color="auto" w:fill="DAE9F7" w:themeFill="text2" w:themeFillTint="1A"/>
            <w:noWrap/>
            <w:vAlign w:val="center"/>
          </w:tcPr>
          <w:p w14:paraId="3196909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47" w:type="pct"/>
            <w:shd w:val="clear" w:color="auto" w:fill="DAE9F7" w:themeFill="text2" w:themeFillTint="1A"/>
            <w:noWrap/>
            <w:vAlign w:val="center"/>
          </w:tcPr>
          <w:p w14:paraId="7836B83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650" w:type="pct"/>
            <w:shd w:val="clear" w:color="auto" w:fill="DAE9F7" w:themeFill="text2" w:themeFillTint="1A"/>
            <w:noWrap/>
            <w:vAlign w:val="center"/>
          </w:tcPr>
          <w:p w14:paraId="6646065F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22694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08" w:type="pct"/>
            <w:noWrap/>
            <w:vAlign w:val="center"/>
          </w:tcPr>
          <w:p w14:paraId="754463D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Contemporaneous NDVI</w:t>
            </w:r>
          </w:p>
        </w:tc>
        <w:tc>
          <w:tcPr>
            <w:tcW w:w="1047" w:type="pct"/>
            <w:noWrap/>
            <w:vAlign w:val="center"/>
          </w:tcPr>
          <w:p w14:paraId="5BB747B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0.905 (0.874 - 0.937)</w:t>
            </w:r>
          </w:p>
        </w:tc>
        <w:tc>
          <w:tcPr>
            <w:tcW w:w="1047" w:type="pct"/>
            <w:noWrap/>
            <w:vAlign w:val="center"/>
          </w:tcPr>
          <w:p w14:paraId="2147D14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0.818 (0.775 - 0.865)</w:t>
            </w:r>
          </w:p>
        </w:tc>
        <w:tc>
          <w:tcPr>
            <w:tcW w:w="1047" w:type="pct"/>
            <w:noWrap/>
            <w:vAlign w:val="center"/>
          </w:tcPr>
          <w:p w14:paraId="5B34BD2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0.797 (0.768 - 0.827)</w:t>
            </w:r>
          </w:p>
        </w:tc>
        <w:tc>
          <w:tcPr>
            <w:tcW w:w="650" w:type="pct"/>
            <w:noWrap/>
            <w:vAlign w:val="center"/>
          </w:tcPr>
          <w:p w14:paraId="11486C2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7BD4D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08" w:type="pct"/>
            <w:noWrap/>
            <w:vAlign w:val="center"/>
          </w:tcPr>
          <w:p w14:paraId="3C3CD00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Cumulative NDVI</w:t>
            </w:r>
          </w:p>
        </w:tc>
        <w:tc>
          <w:tcPr>
            <w:tcW w:w="1047" w:type="pct"/>
            <w:noWrap/>
            <w:vAlign w:val="center"/>
          </w:tcPr>
          <w:p w14:paraId="0404CC3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0.934 (0.889 - 0.981)</w:t>
            </w:r>
          </w:p>
        </w:tc>
        <w:tc>
          <w:tcPr>
            <w:tcW w:w="1047" w:type="pct"/>
            <w:noWrap/>
            <w:vAlign w:val="center"/>
          </w:tcPr>
          <w:p w14:paraId="471B64F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1.073 (0.992 - 1.161)</w:t>
            </w:r>
          </w:p>
        </w:tc>
        <w:tc>
          <w:tcPr>
            <w:tcW w:w="1047" w:type="pct"/>
            <w:noWrap/>
            <w:vAlign w:val="center"/>
          </w:tcPr>
          <w:p w14:paraId="00FD7C21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0.697 (0.653 - 0.744)</w:t>
            </w:r>
          </w:p>
        </w:tc>
        <w:tc>
          <w:tcPr>
            <w:tcW w:w="650" w:type="pct"/>
            <w:noWrap/>
            <w:vAlign w:val="center"/>
          </w:tcPr>
          <w:p w14:paraId="178F9F0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3D2FB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08" w:type="pct"/>
            <w:noWrap/>
            <w:vAlign w:val="center"/>
          </w:tcPr>
          <w:p w14:paraId="2ECB08B5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Contemporaneous EVI</w:t>
            </w:r>
          </w:p>
        </w:tc>
        <w:tc>
          <w:tcPr>
            <w:tcW w:w="1047" w:type="pct"/>
            <w:noWrap/>
            <w:vAlign w:val="center"/>
          </w:tcPr>
          <w:p w14:paraId="3E19D54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0.924 (0.893 - 0.957)</w:t>
            </w:r>
          </w:p>
        </w:tc>
        <w:tc>
          <w:tcPr>
            <w:tcW w:w="1047" w:type="pct"/>
            <w:noWrap/>
            <w:vAlign w:val="center"/>
          </w:tcPr>
          <w:p w14:paraId="0018EB1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0.844 (0.8 - 0.89)</w:t>
            </w:r>
          </w:p>
        </w:tc>
        <w:tc>
          <w:tcPr>
            <w:tcW w:w="1047" w:type="pct"/>
            <w:noWrap/>
            <w:vAlign w:val="center"/>
          </w:tcPr>
          <w:p w14:paraId="57000F26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0.787 (0.759 - 0.817)</w:t>
            </w:r>
          </w:p>
        </w:tc>
        <w:tc>
          <w:tcPr>
            <w:tcW w:w="650" w:type="pct"/>
            <w:noWrap/>
            <w:vAlign w:val="center"/>
          </w:tcPr>
          <w:p w14:paraId="38520251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67CC0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08" w:type="pct"/>
            <w:noWrap/>
            <w:vAlign w:val="center"/>
          </w:tcPr>
          <w:p w14:paraId="6AD5BA8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Cumulative EVI</w:t>
            </w:r>
          </w:p>
        </w:tc>
        <w:tc>
          <w:tcPr>
            <w:tcW w:w="1047" w:type="pct"/>
            <w:noWrap/>
            <w:vAlign w:val="center"/>
          </w:tcPr>
          <w:p w14:paraId="2461BED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0.953 (0.906 - 1.004)</w:t>
            </w:r>
          </w:p>
        </w:tc>
        <w:tc>
          <w:tcPr>
            <w:tcW w:w="1047" w:type="pct"/>
            <w:noWrap/>
            <w:vAlign w:val="center"/>
          </w:tcPr>
          <w:p w14:paraId="54E3D47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1.031 (0.958 - 1.11)</w:t>
            </w:r>
          </w:p>
        </w:tc>
        <w:tc>
          <w:tcPr>
            <w:tcW w:w="1047" w:type="pct"/>
            <w:noWrap/>
            <w:vAlign w:val="center"/>
          </w:tcPr>
          <w:p w14:paraId="435AAB3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0.614 (0.576 - 0.655)</w:t>
            </w:r>
          </w:p>
        </w:tc>
        <w:tc>
          <w:tcPr>
            <w:tcW w:w="650" w:type="pct"/>
            <w:noWrap/>
            <w:vAlign w:val="center"/>
          </w:tcPr>
          <w:p w14:paraId="0866B8C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309AB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08" w:type="pct"/>
            <w:shd w:val="clear" w:color="auto" w:fill="DAE9F7" w:themeFill="text2" w:themeFillTint="1A"/>
            <w:noWrap/>
            <w:vAlign w:val="center"/>
          </w:tcPr>
          <w:p w14:paraId="1861E5AA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SO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47" w:type="pct"/>
            <w:shd w:val="clear" w:color="auto" w:fill="DAE9F7" w:themeFill="text2" w:themeFillTint="1A"/>
            <w:noWrap/>
            <w:vAlign w:val="center"/>
          </w:tcPr>
          <w:p w14:paraId="7EB468A5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47" w:type="pct"/>
            <w:shd w:val="clear" w:color="auto" w:fill="DAE9F7" w:themeFill="text2" w:themeFillTint="1A"/>
            <w:noWrap/>
            <w:vAlign w:val="center"/>
          </w:tcPr>
          <w:p w14:paraId="6A1F837D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47" w:type="pct"/>
            <w:shd w:val="clear" w:color="auto" w:fill="DAE9F7" w:themeFill="text2" w:themeFillTint="1A"/>
            <w:noWrap/>
            <w:vAlign w:val="center"/>
          </w:tcPr>
          <w:p w14:paraId="560454D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650" w:type="pct"/>
            <w:shd w:val="clear" w:color="auto" w:fill="DAE9F7" w:themeFill="text2" w:themeFillTint="1A"/>
            <w:noWrap/>
            <w:vAlign w:val="center"/>
          </w:tcPr>
          <w:p w14:paraId="7F385ED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0B556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08" w:type="pct"/>
            <w:noWrap/>
            <w:vAlign w:val="center"/>
          </w:tcPr>
          <w:p w14:paraId="3B25E6D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Contemporaneous NDVI</w:t>
            </w:r>
          </w:p>
        </w:tc>
        <w:tc>
          <w:tcPr>
            <w:tcW w:w="1047" w:type="pct"/>
            <w:noWrap/>
            <w:vAlign w:val="center"/>
          </w:tcPr>
          <w:p w14:paraId="381508D1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0.936 (0.888 - 0.987)</w:t>
            </w:r>
          </w:p>
        </w:tc>
        <w:tc>
          <w:tcPr>
            <w:tcW w:w="1047" w:type="pct"/>
            <w:noWrap/>
            <w:vAlign w:val="center"/>
          </w:tcPr>
          <w:p w14:paraId="19FFFD7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0.824 (0.788 - 0.861)</w:t>
            </w:r>
          </w:p>
        </w:tc>
        <w:tc>
          <w:tcPr>
            <w:tcW w:w="1047" w:type="pct"/>
            <w:noWrap/>
            <w:vAlign w:val="center"/>
          </w:tcPr>
          <w:p w14:paraId="0CAA7E6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0.839 (0.812 - 0.867)</w:t>
            </w:r>
          </w:p>
        </w:tc>
        <w:tc>
          <w:tcPr>
            <w:tcW w:w="650" w:type="pct"/>
            <w:noWrap/>
            <w:vAlign w:val="center"/>
          </w:tcPr>
          <w:p w14:paraId="03C0825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7E7A1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08" w:type="pct"/>
            <w:noWrap/>
            <w:vAlign w:val="center"/>
          </w:tcPr>
          <w:p w14:paraId="659D99C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Cumulative NDVI</w:t>
            </w:r>
          </w:p>
        </w:tc>
        <w:tc>
          <w:tcPr>
            <w:tcW w:w="1047" w:type="pct"/>
            <w:noWrap/>
            <w:vAlign w:val="center"/>
          </w:tcPr>
          <w:p w14:paraId="6A204F56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0.896 (0.838 - 0.958)</w:t>
            </w:r>
          </w:p>
        </w:tc>
        <w:tc>
          <w:tcPr>
            <w:tcW w:w="1047" w:type="pct"/>
            <w:noWrap/>
            <w:vAlign w:val="center"/>
          </w:tcPr>
          <w:p w14:paraId="7490885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1.056 (0.987 - 1.129)</w:t>
            </w:r>
          </w:p>
        </w:tc>
        <w:tc>
          <w:tcPr>
            <w:tcW w:w="1047" w:type="pct"/>
            <w:noWrap/>
            <w:vAlign w:val="center"/>
          </w:tcPr>
          <w:p w14:paraId="67CBFD66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0.826 (0.78 - 0.874)</w:t>
            </w:r>
          </w:p>
        </w:tc>
        <w:tc>
          <w:tcPr>
            <w:tcW w:w="650" w:type="pct"/>
            <w:noWrap/>
            <w:vAlign w:val="center"/>
          </w:tcPr>
          <w:p w14:paraId="17C5131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67C78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08" w:type="pct"/>
            <w:noWrap/>
            <w:vAlign w:val="center"/>
          </w:tcPr>
          <w:p w14:paraId="2C95AA2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Contemporaneous EVI</w:t>
            </w:r>
          </w:p>
        </w:tc>
        <w:tc>
          <w:tcPr>
            <w:tcW w:w="1047" w:type="pct"/>
            <w:noWrap/>
            <w:vAlign w:val="center"/>
          </w:tcPr>
          <w:p w14:paraId="04AE729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0.945 (0.897 - 0.996)</w:t>
            </w:r>
          </w:p>
        </w:tc>
        <w:tc>
          <w:tcPr>
            <w:tcW w:w="1047" w:type="pct"/>
            <w:noWrap/>
            <w:vAlign w:val="center"/>
          </w:tcPr>
          <w:p w14:paraId="336FCAF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0.855 (0.819 - 0.893)</w:t>
            </w:r>
          </w:p>
        </w:tc>
        <w:tc>
          <w:tcPr>
            <w:tcW w:w="1047" w:type="pct"/>
            <w:noWrap/>
            <w:vAlign w:val="center"/>
          </w:tcPr>
          <w:p w14:paraId="62C9A4E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0.833 (0.807 - 0.86)</w:t>
            </w:r>
          </w:p>
        </w:tc>
        <w:tc>
          <w:tcPr>
            <w:tcW w:w="650" w:type="pct"/>
            <w:noWrap/>
            <w:vAlign w:val="center"/>
          </w:tcPr>
          <w:p w14:paraId="6CC8A0A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580B7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08" w:type="pct"/>
            <w:tcBorders>
              <w:bottom w:val="single" w:color="auto" w:sz="4" w:space="0"/>
            </w:tcBorders>
            <w:noWrap/>
            <w:vAlign w:val="center"/>
          </w:tcPr>
          <w:p w14:paraId="6BD9E70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Cumulative EVI</w:t>
            </w:r>
          </w:p>
        </w:tc>
        <w:tc>
          <w:tcPr>
            <w:tcW w:w="1047" w:type="pct"/>
            <w:tcBorders>
              <w:bottom w:val="single" w:color="auto" w:sz="4" w:space="0"/>
            </w:tcBorders>
            <w:noWrap/>
            <w:vAlign w:val="center"/>
          </w:tcPr>
          <w:p w14:paraId="2180692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0.896 (0.839 - 0.958)</w:t>
            </w:r>
          </w:p>
        </w:tc>
        <w:tc>
          <w:tcPr>
            <w:tcW w:w="1047" w:type="pct"/>
            <w:tcBorders>
              <w:bottom w:val="single" w:color="auto" w:sz="4" w:space="0"/>
            </w:tcBorders>
            <w:noWrap/>
            <w:vAlign w:val="center"/>
          </w:tcPr>
          <w:p w14:paraId="564F022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1.052 (0.988 - 1.121)</w:t>
            </w:r>
          </w:p>
        </w:tc>
        <w:tc>
          <w:tcPr>
            <w:tcW w:w="1047" w:type="pct"/>
            <w:tcBorders>
              <w:bottom w:val="single" w:color="auto" w:sz="4" w:space="0"/>
            </w:tcBorders>
            <w:noWrap/>
            <w:vAlign w:val="center"/>
          </w:tcPr>
          <w:p w14:paraId="3012EEE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0.737 (0.697 - 0.78)</w:t>
            </w:r>
          </w:p>
        </w:tc>
        <w:tc>
          <w:tcPr>
            <w:tcW w:w="650" w:type="pct"/>
            <w:tcBorders>
              <w:bottom w:val="single" w:color="auto" w:sz="4" w:space="0"/>
            </w:tcBorders>
            <w:noWrap/>
            <w:vAlign w:val="center"/>
          </w:tcPr>
          <w:p w14:paraId="6164187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</w:tbl>
    <w:p w14:paraId="032A96B5">
      <w:pPr>
        <w:widowControl/>
        <w:jc w:val="left"/>
        <w:rPr>
          <w:rFonts w:hint="default" w:ascii="Times New Roman" w:hAnsi="Times New Roman" w:cs="Times New Roman"/>
        </w:rPr>
      </w:pPr>
    </w:p>
    <w:p w14:paraId="13A6D37C">
      <w:pPr>
        <w:pStyle w:val="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  <w:bookmarkStart w:id="3" w:name="_Hlk192423344"/>
      <w:r>
        <w:rPr>
          <w:rFonts w:hint="default" w:ascii="Times New Roman" w:hAnsi="Times New Roman" w:cs="Times New Roman"/>
        </w:rPr>
        <w:t>Table S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Table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6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 xml:space="preserve"> Modifying Effect of </w:t>
      </w:r>
      <w:r>
        <w:rPr>
          <w:rFonts w:hint="default" w:ascii="Times New Roman" w:hAnsi="Times New Roman" w:cs="Times New Roman"/>
        </w:rPr>
        <w:t>Greenness Exposure</w:t>
      </w:r>
      <w:r>
        <w:rPr>
          <w:rFonts w:hint="default" w:ascii="Times New Roman" w:hAnsi="Times New Roman" w:cs="Times New Roman"/>
        </w:rPr>
        <w:t xml:space="preserve"> on the Association Between Air Pollutants and </w:t>
      </w:r>
      <w:r>
        <w:rPr>
          <w:rFonts w:hint="default" w:ascii="Times New Roman" w:hAnsi="Times New Roman" w:cs="Times New Roman"/>
        </w:rPr>
        <w:t>All-Cause</w:t>
      </w:r>
      <w:r>
        <w:rPr>
          <w:rFonts w:hint="default" w:ascii="Times New Roman" w:hAnsi="Times New Roman" w:cs="Times New Roman"/>
        </w:rPr>
        <w:t xml:space="preserve"> Mortality in Ischemic Stroke Patients</w:t>
      </w:r>
    </w:p>
    <w:bookmarkEnd w:id="3"/>
    <w:p w14:paraId="7C18D45B">
      <w:pPr>
        <w:widowControl/>
        <w:jc w:val="left"/>
        <w:rPr>
          <w:rFonts w:hint="default" w:ascii="Times New Roman" w:hAnsi="Times New Roman" w:cs="Times New Roman"/>
        </w:rPr>
      </w:pPr>
    </w:p>
    <w:tbl>
      <w:tblPr>
        <w:tblStyle w:val="15"/>
        <w:tblpPr w:leftFromText="180" w:rightFromText="180" w:vertAnchor="page" w:horzAnchor="margin" w:tblpY="238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2"/>
        <w:gridCol w:w="1766"/>
        <w:gridCol w:w="1766"/>
        <w:gridCol w:w="1766"/>
        <w:gridCol w:w="1082"/>
      </w:tblGrid>
      <w:tr w14:paraId="2B630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Merge w:val="restart"/>
            <w:tcBorders>
              <w:top w:val="single" w:color="auto" w:sz="12" w:space="0"/>
            </w:tcBorders>
            <w:vAlign w:val="center"/>
          </w:tcPr>
          <w:p w14:paraId="5F979F3E">
            <w:pPr>
              <w:rPr>
                <w:rFonts w:hint="default" w:ascii="Times New Roman" w:hAnsi="Times New Roman" w:eastAsia="等线" w:cs="Times New Roman"/>
                <w:b/>
                <w:bCs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15"/>
                <w:szCs w:val="15"/>
              </w:rPr>
              <w:t>Subgroup</w:t>
            </w:r>
          </w:p>
        </w:tc>
        <w:tc>
          <w:tcPr>
            <w:tcW w:w="1036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6C4F4D9">
            <w:pPr>
              <w:rPr>
                <w:rFonts w:hint="default" w:ascii="Times New Roman" w:hAnsi="Times New Roman" w:eastAsia="等线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036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CF2152D">
            <w:pPr>
              <w:rPr>
                <w:rFonts w:hint="default" w:ascii="Times New Roman" w:hAnsi="Times New Roman" w:eastAsia="等线" w:cs="Times New Roman"/>
                <w:b/>
                <w:bCs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15"/>
                <w:szCs w:val="15"/>
              </w:rPr>
              <w:t>HR(95% CI)</w:t>
            </w:r>
          </w:p>
        </w:tc>
        <w:tc>
          <w:tcPr>
            <w:tcW w:w="1036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E235236">
            <w:pPr>
              <w:rPr>
                <w:rFonts w:hint="default" w:ascii="Times New Roman" w:hAnsi="Times New Roman" w:eastAsia="等线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636" w:type="pct"/>
            <w:tcBorders>
              <w:top w:val="single" w:color="auto" w:sz="12" w:space="0"/>
            </w:tcBorders>
            <w:vAlign w:val="center"/>
          </w:tcPr>
          <w:p w14:paraId="3C15CCEA">
            <w:pPr>
              <w:rPr>
                <w:rFonts w:hint="default" w:ascii="Times New Roman" w:hAnsi="Times New Roman" w:eastAsia="等线" w:cs="Times New Roman"/>
                <w:b/>
                <w:bCs/>
                <w:sz w:val="15"/>
                <w:szCs w:val="15"/>
              </w:rPr>
            </w:pPr>
          </w:p>
        </w:tc>
      </w:tr>
      <w:tr w14:paraId="45560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Merge w:val="continue"/>
            <w:tcBorders>
              <w:bottom w:val="single" w:color="auto" w:sz="6" w:space="0"/>
            </w:tcBorders>
            <w:vAlign w:val="center"/>
          </w:tcPr>
          <w:p w14:paraId="11AB7D44">
            <w:pPr>
              <w:rPr>
                <w:rFonts w:hint="default" w:ascii="Times New Roman" w:hAnsi="Times New Roman" w:eastAsia="等线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036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AF14C20">
            <w:pPr>
              <w:rPr>
                <w:rFonts w:hint="default" w:ascii="Times New Roman" w:hAnsi="Times New Roman" w:eastAsia="等线" w:cs="Times New Roman"/>
                <w:b/>
                <w:bCs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15"/>
                <w:szCs w:val="15"/>
              </w:rPr>
              <w:t>Q1</w:t>
            </w:r>
          </w:p>
        </w:tc>
        <w:tc>
          <w:tcPr>
            <w:tcW w:w="1036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6027132">
            <w:pPr>
              <w:rPr>
                <w:rFonts w:hint="default" w:ascii="Times New Roman" w:hAnsi="Times New Roman" w:eastAsia="等线" w:cs="Times New Roman"/>
                <w:b/>
                <w:bCs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15"/>
                <w:szCs w:val="15"/>
              </w:rPr>
              <w:t>Q2</w:t>
            </w:r>
          </w:p>
        </w:tc>
        <w:tc>
          <w:tcPr>
            <w:tcW w:w="1036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6BD5185">
            <w:pPr>
              <w:rPr>
                <w:rFonts w:hint="default" w:ascii="Times New Roman" w:hAnsi="Times New Roman" w:eastAsia="等线" w:cs="Times New Roman"/>
                <w:b/>
                <w:bCs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15"/>
                <w:szCs w:val="15"/>
              </w:rPr>
              <w:t>Q3</w:t>
            </w:r>
          </w:p>
        </w:tc>
        <w:tc>
          <w:tcPr>
            <w:tcW w:w="636" w:type="pct"/>
            <w:tcBorders>
              <w:bottom w:val="single" w:color="auto" w:sz="6" w:space="0"/>
            </w:tcBorders>
            <w:vAlign w:val="center"/>
          </w:tcPr>
          <w:p w14:paraId="57ED4AA9">
            <w:pPr>
              <w:rPr>
                <w:rFonts w:hint="default" w:ascii="Times New Roman" w:hAnsi="Times New Roman" w:eastAsia="等线" w:cs="Times New Roman"/>
                <w:b/>
                <w:bCs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sz w:val="15"/>
                <w:szCs w:val="15"/>
              </w:rPr>
              <w:t>P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15"/>
                <w:szCs w:val="15"/>
              </w:rPr>
              <w:t xml:space="preserve"> for trend</w:t>
            </w:r>
          </w:p>
        </w:tc>
      </w:tr>
      <w:tr w14:paraId="5C893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tcBorders>
              <w:top w:val="single" w:color="auto" w:sz="6" w:space="0"/>
            </w:tcBorders>
            <w:shd w:val="clear" w:color="auto" w:fill="DAE9F7"/>
            <w:vAlign w:val="center"/>
          </w:tcPr>
          <w:p w14:paraId="112047A5">
            <w:pPr>
              <w:rPr>
                <w:rFonts w:hint="default" w:ascii="Times New Roman" w:hAnsi="Times New Roman" w:eastAsia="等线" w:cs="Times New Roman"/>
                <w:b/>
                <w:bCs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15"/>
                <w:szCs w:val="15"/>
              </w:rPr>
              <w:t>Contemporaneous NDVI</w:t>
            </w:r>
          </w:p>
        </w:tc>
        <w:tc>
          <w:tcPr>
            <w:tcW w:w="1036" w:type="pct"/>
            <w:tcBorders>
              <w:top w:val="single" w:color="auto" w:sz="6" w:space="0"/>
            </w:tcBorders>
            <w:shd w:val="clear" w:color="auto" w:fill="DAE9F7"/>
            <w:vAlign w:val="center"/>
          </w:tcPr>
          <w:p w14:paraId="1E69435C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</w:p>
        </w:tc>
        <w:tc>
          <w:tcPr>
            <w:tcW w:w="1036" w:type="pct"/>
            <w:tcBorders>
              <w:top w:val="single" w:color="auto" w:sz="6" w:space="0"/>
            </w:tcBorders>
            <w:shd w:val="clear" w:color="auto" w:fill="DAE9F7"/>
            <w:vAlign w:val="center"/>
          </w:tcPr>
          <w:p w14:paraId="4749DFA9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</w:p>
        </w:tc>
        <w:tc>
          <w:tcPr>
            <w:tcW w:w="1036" w:type="pct"/>
            <w:tcBorders>
              <w:top w:val="single" w:color="auto" w:sz="6" w:space="0"/>
            </w:tcBorders>
            <w:shd w:val="clear" w:color="auto" w:fill="DAE9F7"/>
            <w:vAlign w:val="center"/>
          </w:tcPr>
          <w:p w14:paraId="78163BEB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</w:p>
        </w:tc>
        <w:tc>
          <w:tcPr>
            <w:tcW w:w="636" w:type="pct"/>
            <w:tcBorders>
              <w:top w:val="single" w:color="auto" w:sz="6" w:space="0"/>
            </w:tcBorders>
            <w:shd w:val="clear" w:color="auto" w:fill="DAE9F7"/>
            <w:vAlign w:val="center"/>
          </w:tcPr>
          <w:p w14:paraId="0805AB4C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</w:p>
        </w:tc>
      </w:tr>
      <w:tr w14:paraId="04562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1845AC26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NO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36" w:type="pct"/>
            <w:vAlign w:val="center"/>
          </w:tcPr>
          <w:p w14:paraId="43E9E507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1.498 (1.444 - 1.554)</w:t>
            </w:r>
          </w:p>
        </w:tc>
        <w:tc>
          <w:tcPr>
            <w:tcW w:w="1036" w:type="pct"/>
            <w:vAlign w:val="center"/>
          </w:tcPr>
          <w:p w14:paraId="7F04125C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1.461 (1.382 - 1.544)</w:t>
            </w:r>
          </w:p>
        </w:tc>
        <w:tc>
          <w:tcPr>
            <w:tcW w:w="1036" w:type="pct"/>
            <w:vAlign w:val="center"/>
          </w:tcPr>
          <w:p w14:paraId="5A4144F0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1.148 (1.115 - 1.182)</w:t>
            </w:r>
          </w:p>
        </w:tc>
        <w:tc>
          <w:tcPr>
            <w:tcW w:w="636" w:type="pct"/>
            <w:vAlign w:val="center"/>
          </w:tcPr>
          <w:p w14:paraId="14FE8C39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&lt;0.001</w:t>
            </w:r>
          </w:p>
        </w:tc>
      </w:tr>
      <w:tr w14:paraId="6644D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7781DFDF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pm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  <w:vertAlign w:val="subscript"/>
              </w:rPr>
              <w:t>2.5</w:t>
            </w:r>
          </w:p>
        </w:tc>
        <w:tc>
          <w:tcPr>
            <w:tcW w:w="1036" w:type="pct"/>
            <w:vAlign w:val="center"/>
          </w:tcPr>
          <w:p w14:paraId="4C766034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1.701 (1.666 - 1.737)</w:t>
            </w:r>
          </w:p>
        </w:tc>
        <w:tc>
          <w:tcPr>
            <w:tcW w:w="1036" w:type="pct"/>
            <w:vAlign w:val="center"/>
          </w:tcPr>
          <w:p w14:paraId="74557DD5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1.83 (1.773 - 1.888)</w:t>
            </w:r>
          </w:p>
        </w:tc>
        <w:tc>
          <w:tcPr>
            <w:tcW w:w="1036" w:type="pct"/>
            <w:vAlign w:val="center"/>
          </w:tcPr>
          <w:p w14:paraId="0EC95782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1.927 (1.888 - 1.967)</w:t>
            </w:r>
          </w:p>
        </w:tc>
        <w:tc>
          <w:tcPr>
            <w:tcW w:w="636" w:type="pct"/>
            <w:vAlign w:val="center"/>
          </w:tcPr>
          <w:p w14:paraId="5D2EC4E8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&lt;0.001</w:t>
            </w:r>
          </w:p>
        </w:tc>
      </w:tr>
      <w:tr w14:paraId="591A0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7A2C5632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SO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36" w:type="pct"/>
            <w:vAlign w:val="center"/>
          </w:tcPr>
          <w:p w14:paraId="11F3BF24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1.622 (1.591 - 1.654)</w:t>
            </w:r>
          </w:p>
        </w:tc>
        <w:tc>
          <w:tcPr>
            <w:tcW w:w="1036" w:type="pct"/>
            <w:vAlign w:val="center"/>
          </w:tcPr>
          <w:p w14:paraId="4EF88F09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1.509 (1.473 - 1.546)</w:t>
            </w:r>
          </w:p>
        </w:tc>
        <w:tc>
          <w:tcPr>
            <w:tcW w:w="1036" w:type="pct"/>
            <w:vAlign w:val="center"/>
          </w:tcPr>
          <w:p w14:paraId="309426A2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1.772 (1.741 - 1.804)</w:t>
            </w:r>
          </w:p>
        </w:tc>
        <w:tc>
          <w:tcPr>
            <w:tcW w:w="636" w:type="pct"/>
            <w:vAlign w:val="center"/>
          </w:tcPr>
          <w:p w14:paraId="3E9AF0F0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&lt;0.001</w:t>
            </w:r>
          </w:p>
        </w:tc>
      </w:tr>
      <w:tr w14:paraId="49A4A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shd w:val="clear" w:color="auto" w:fill="DAE9F7"/>
            <w:vAlign w:val="center"/>
          </w:tcPr>
          <w:p w14:paraId="57020B91">
            <w:pPr>
              <w:rPr>
                <w:rFonts w:hint="default" w:ascii="Times New Roman" w:hAnsi="Times New Roman" w:eastAsia="等线" w:cs="Times New Roman"/>
                <w:b/>
                <w:bCs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15"/>
                <w:szCs w:val="15"/>
              </w:rPr>
              <w:t>Cumulative NDVI</w:t>
            </w:r>
          </w:p>
        </w:tc>
        <w:tc>
          <w:tcPr>
            <w:tcW w:w="1036" w:type="pct"/>
            <w:shd w:val="clear" w:color="auto" w:fill="DAE9F7"/>
            <w:vAlign w:val="center"/>
          </w:tcPr>
          <w:p w14:paraId="04829325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</w:p>
        </w:tc>
        <w:tc>
          <w:tcPr>
            <w:tcW w:w="1036" w:type="pct"/>
            <w:shd w:val="clear" w:color="auto" w:fill="DAE9F7"/>
            <w:vAlign w:val="center"/>
          </w:tcPr>
          <w:p w14:paraId="2053A146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</w:p>
        </w:tc>
        <w:tc>
          <w:tcPr>
            <w:tcW w:w="1036" w:type="pct"/>
            <w:shd w:val="clear" w:color="auto" w:fill="DAE9F7"/>
            <w:vAlign w:val="center"/>
          </w:tcPr>
          <w:p w14:paraId="435EC210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</w:p>
        </w:tc>
        <w:tc>
          <w:tcPr>
            <w:tcW w:w="636" w:type="pct"/>
            <w:shd w:val="clear" w:color="auto" w:fill="DAE9F7"/>
            <w:vAlign w:val="center"/>
          </w:tcPr>
          <w:p w14:paraId="2547AC2B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</w:p>
        </w:tc>
      </w:tr>
      <w:tr w14:paraId="569D1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4C4C27AD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NO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36" w:type="pct"/>
            <w:vAlign w:val="center"/>
          </w:tcPr>
          <w:p w14:paraId="209AEF5E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2.085 (2.001 - 2.173)</w:t>
            </w:r>
          </w:p>
        </w:tc>
        <w:tc>
          <w:tcPr>
            <w:tcW w:w="1036" w:type="pct"/>
            <w:vAlign w:val="center"/>
          </w:tcPr>
          <w:p w14:paraId="72DDA29E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1.69 (1.627 - 1.756)</w:t>
            </w:r>
          </w:p>
        </w:tc>
        <w:tc>
          <w:tcPr>
            <w:tcW w:w="1036" w:type="pct"/>
            <w:vAlign w:val="center"/>
          </w:tcPr>
          <w:p w14:paraId="3BB46D74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1.078 (1.043 - 1.114)</w:t>
            </w:r>
          </w:p>
        </w:tc>
        <w:tc>
          <w:tcPr>
            <w:tcW w:w="636" w:type="pct"/>
            <w:vAlign w:val="center"/>
          </w:tcPr>
          <w:p w14:paraId="13D7BDE8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&lt;0.001</w:t>
            </w:r>
          </w:p>
        </w:tc>
      </w:tr>
      <w:tr w14:paraId="77020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6415AE9F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pm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  <w:vertAlign w:val="subscript"/>
              </w:rPr>
              <w:t>2.5</w:t>
            </w:r>
          </w:p>
        </w:tc>
        <w:tc>
          <w:tcPr>
            <w:tcW w:w="1036" w:type="pct"/>
            <w:vAlign w:val="center"/>
          </w:tcPr>
          <w:p w14:paraId="2ED8FE0D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2.224 (2.179 - 2.269)</w:t>
            </w:r>
          </w:p>
        </w:tc>
        <w:tc>
          <w:tcPr>
            <w:tcW w:w="1036" w:type="pct"/>
            <w:vAlign w:val="center"/>
          </w:tcPr>
          <w:p w14:paraId="55970EF7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2.234 (2.186 - 2.282)</w:t>
            </w:r>
          </w:p>
        </w:tc>
        <w:tc>
          <w:tcPr>
            <w:tcW w:w="1036" w:type="pct"/>
            <w:vAlign w:val="center"/>
          </w:tcPr>
          <w:p w14:paraId="1F25F632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1.967 (1.927 - 2.008)</w:t>
            </w:r>
          </w:p>
        </w:tc>
        <w:tc>
          <w:tcPr>
            <w:tcW w:w="636" w:type="pct"/>
            <w:vAlign w:val="center"/>
          </w:tcPr>
          <w:p w14:paraId="0E629530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 xml:space="preserve">0.832 </w:t>
            </w:r>
          </w:p>
        </w:tc>
      </w:tr>
      <w:tr w14:paraId="41826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24FA048D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SO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36" w:type="pct"/>
            <w:vAlign w:val="center"/>
          </w:tcPr>
          <w:p w14:paraId="268D58E3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1.937 (1.901 - 1.974)</w:t>
            </w:r>
          </w:p>
        </w:tc>
        <w:tc>
          <w:tcPr>
            <w:tcW w:w="1036" w:type="pct"/>
            <w:vAlign w:val="center"/>
          </w:tcPr>
          <w:p w14:paraId="1797B0C5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1.874 (1.842 - 1.907)</w:t>
            </w:r>
          </w:p>
        </w:tc>
        <w:tc>
          <w:tcPr>
            <w:tcW w:w="1036" w:type="pct"/>
            <w:vAlign w:val="center"/>
          </w:tcPr>
          <w:p w14:paraId="316520CD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1.946 (1.91 - 1.982)</w:t>
            </w:r>
          </w:p>
        </w:tc>
        <w:tc>
          <w:tcPr>
            <w:tcW w:w="636" w:type="pct"/>
            <w:vAlign w:val="center"/>
          </w:tcPr>
          <w:p w14:paraId="0FA82AE6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&lt;0.001</w:t>
            </w:r>
          </w:p>
        </w:tc>
      </w:tr>
      <w:tr w14:paraId="7B35F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shd w:val="clear" w:color="auto" w:fill="DAE9F7"/>
            <w:vAlign w:val="center"/>
          </w:tcPr>
          <w:p w14:paraId="427E2A83">
            <w:pPr>
              <w:rPr>
                <w:rFonts w:hint="default" w:ascii="Times New Roman" w:hAnsi="Times New Roman" w:eastAsia="等线" w:cs="Times New Roman"/>
                <w:b/>
                <w:bCs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15"/>
                <w:szCs w:val="15"/>
              </w:rPr>
              <w:t>Contemporaneous EVI</w:t>
            </w:r>
          </w:p>
        </w:tc>
        <w:tc>
          <w:tcPr>
            <w:tcW w:w="1036" w:type="pct"/>
            <w:shd w:val="clear" w:color="auto" w:fill="DAE9F7"/>
            <w:vAlign w:val="center"/>
          </w:tcPr>
          <w:p w14:paraId="7D31B316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</w:p>
        </w:tc>
        <w:tc>
          <w:tcPr>
            <w:tcW w:w="1036" w:type="pct"/>
            <w:shd w:val="clear" w:color="auto" w:fill="DAE9F7"/>
            <w:vAlign w:val="center"/>
          </w:tcPr>
          <w:p w14:paraId="76B0487A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</w:p>
        </w:tc>
        <w:tc>
          <w:tcPr>
            <w:tcW w:w="1036" w:type="pct"/>
            <w:shd w:val="clear" w:color="auto" w:fill="DAE9F7"/>
            <w:vAlign w:val="center"/>
          </w:tcPr>
          <w:p w14:paraId="63D96954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</w:p>
        </w:tc>
        <w:tc>
          <w:tcPr>
            <w:tcW w:w="636" w:type="pct"/>
            <w:shd w:val="clear" w:color="auto" w:fill="DAE9F7"/>
            <w:vAlign w:val="center"/>
          </w:tcPr>
          <w:p w14:paraId="26AAA2D8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</w:p>
        </w:tc>
      </w:tr>
      <w:tr w14:paraId="382BF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616F74A4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NO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36" w:type="pct"/>
            <w:vAlign w:val="center"/>
          </w:tcPr>
          <w:p w14:paraId="0BDAA2F4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1.512 (1.456 - 1.57)</w:t>
            </w:r>
          </w:p>
        </w:tc>
        <w:tc>
          <w:tcPr>
            <w:tcW w:w="1036" w:type="pct"/>
            <w:vAlign w:val="center"/>
          </w:tcPr>
          <w:p w14:paraId="5DAA2947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1.566 (1.485 - 1.651)</w:t>
            </w:r>
          </w:p>
        </w:tc>
        <w:tc>
          <w:tcPr>
            <w:tcW w:w="1036" w:type="pct"/>
            <w:vAlign w:val="center"/>
          </w:tcPr>
          <w:p w14:paraId="63FE834D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1.124 (1.092 - 1.155)</w:t>
            </w:r>
          </w:p>
        </w:tc>
        <w:tc>
          <w:tcPr>
            <w:tcW w:w="636" w:type="pct"/>
            <w:vAlign w:val="center"/>
          </w:tcPr>
          <w:p w14:paraId="35FFFA23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&lt;0.001</w:t>
            </w:r>
          </w:p>
        </w:tc>
      </w:tr>
      <w:tr w14:paraId="5AC8D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08B2512D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pm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  <w:vertAlign w:val="subscript"/>
              </w:rPr>
              <w:t>2.5</w:t>
            </w:r>
          </w:p>
        </w:tc>
        <w:tc>
          <w:tcPr>
            <w:tcW w:w="1036" w:type="pct"/>
            <w:vAlign w:val="center"/>
          </w:tcPr>
          <w:p w14:paraId="3BE0CFD7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1.735 (1.698 - 1.772)</w:t>
            </w:r>
          </w:p>
        </w:tc>
        <w:tc>
          <w:tcPr>
            <w:tcW w:w="1036" w:type="pct"/>
            <w:vAlign w:val="center"/>
          </w:tcPr>
          <w:p w14:paraId="3A923031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2.123 (2.058 - 2.189)</w:t>
            </w:r>
          </w:p>
        </w:tc>
        <w:tc>
          <w:tcPr>
            <w:tcW w:w="1036" w:type="pct"/>
            <w:vAlign w:val="center"/>
          </w:tcPr>
          <w:p w14:paraId="154F8D69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1.928 (1.89 - 1.967)</w:t>
            </w:r>
          </w:p>
        </w:tc>
        <w:tc>
          <w:tcPr>
            <w:tcW w:w="636" w:type="pct"/>
            <w:vAlign w:val="center"/>
          </w:tcPr>
          <w:p w14:paraId="27F0C52B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&lt;0.001</w:t>
            </w:r>
          </w:p>
        </w:tc>
      </w:tr>
      <w:tr w14:paraId="618B6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66B2ED0E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SO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36" w:type="pct"/>
            <w:vAlign w:val="center"/>
          </w:tcPr>
          <w:p w14:paraId="793D1BF5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1.607 (1.577 - 1.638)</w:t>
            </w:r>
          </w:p>
        </w:tc>
        <w:tc>
          <w:tcPr>
            <w:tcW w:w="1036" w:type="pct"/>
            <w:vAlign w:val="center"/>
          </w:tcPr>
          <w:p w14:paraId="38667918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1.718 (1.677 - 1.76)</w:t>
            </w:r>
          </w:p>
        </w:tc>
        <w:tc>
          <w:tcPr>
            <w:tcW w:w="1036" w:type="pct"/>
            <w:vAlign w:val="center"/>
          </w:tcPr>
          <w:p w14:paraId="4E40678F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1.796 (1.765 - 1.828)</w:t>
            </w:r>
          </w:p>
        </w:tc>
        <w:tc>
          <w:tcPr>
            <w:tcW w:w="636" w:type="pct"/>
            <w:vAlign w:val="center"/>
          </w:tcPr>
          <w:p w14:paraId="17D1AAA0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&lt;0.001</w:t>
            </w:r>
          </w:p>
        </w:tc>
      </w:tr>
      <w:tr w14:paraId="4DA38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shd w:val="clear" w:color="auto" w:fill="DAE9F7"/>
            <w:vAlign w:val="center"/>
          </w:tcPr>
          <w:p w14:paraId="3D33F965">
            <w:pPr>
              <w:rPr>
                <w:rFonts w:hint="default" w:ascii="Times New Roman" w:hAnsi="Times New Roman" w:eastAsia="等线" w:cs="Times New Roman"/>
                <w:b/>
                <w:bCs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15"/>
                <w:szCs w:val="15"/>
              </w:rPr>
              <w:t>Cumulative EVI</w:t>
            </w:r>
          </w:p>
        </w:tc>
        <w:tc>
          <w:tcPr>
            <w:tcW w:w="1036" w:type="pct"/>
            <w:shd w:val="clear" w:color="auto" w:fill="DAE9F7"/>
            <w:vAlign w:val="center"/>
          </w:tcPr>
          <w:p w14:paraId="0DF36373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</w:p>
        </w:tc>
        <w:tc>
          <w:tcPr>
            <w:tcW w:w="1036" w:type="pct"/>
            <w:shd w:val="clear" w:color="auto" w:fill="DAE9F7"/>
            <w:vAlign w:val="center"/>
          </w:tcPr>
          <w:p w14:paraId="4D3AD864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</w:p>
        </w:tc>
        <w:tc>
          <w:tcPr>
            <w:tcW w:w="1036" w:type="pct"/>
            <w:shd w:val="clear" w:color="auto" w:fill="DAE9F7"/>
            <w:vAlign w:val="center"/>
          </w:tcPr>
          <w:p w14:paraId="658C5535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</w:p>
        </w:tc>
        <w:tc>
          <w:tcPr>
            <w:tcW w:w="636" w:type="pct"/>
            <w:shd w:val="clear" w:color="auto" w:fill="DAE9F7"/>
            <w:vAlign w:val="center"/>
          </w:tcPr>
          <w:p w14:paraId="53ADCD23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</w:p>
        </w:tc>
      </w:tr>
      <w:tr w14:paraId="014B9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1672CD81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NO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36" w:type="pct"/>
            <w:vAlign w:val="center"/>
          </w:tcPr>
          <w:p w14:paraId="4D42817D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2.069 (1.983 - 2.159)</w:t>
            </w:r>
          </w:p>
        </w:tc>
        <w:tc>
          <w:tcPr>
            <w:tcW w:w="1036" w:type="pct"/>
            <w:vAlign w:val="center"/>
          </w:tcPr>
          <w:p w14:paraId="0B6E7806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1.739 (1.669 - 1.812)</w:t>
            </w:r>
          </w:p>
        </w:tc>
        <w:tc>
          <w:tcPr>
            <w:tcW w:w="1036" w:type="pct"/>
            <w:vAlign w:val="center"/>
          </w:tcPr>
          <w:p w14:paraId="27FF28F7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1.103 (1.068 - 1.139)</w:t>
            </w:r>
          </w:p>
        </w:tc>
        <w:tc>
          <w:tcPr>
            <w:tcW w:w="636" w:type="pct"/>
            <w:vAlign w:val="center"/>
          </w:tcPr>
          <w:p w14:paraId="02D35AB5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&lt;0.001</w:t>
            </w:r>
          </w:p>
        </w:tc>
      </w:tr>
      <w:tr w14:paraId="09FC9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4BD81C5D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pm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  <w:vertAlign w:val="subscript"/>
              </w:rPr>
              <w:t>2.5</w:t>
            </w:r>
          </w:p>
        </w:tc>
        <w:tc>
          <w:tcPr>
            <w:tcW w:w="1036" w:type="pct"/>
            <w:vAlign w:val="center"/>
          </w:tcPr>
          <w:p w14:paraId="3CC4F10C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2.341 (2.289 - 2.394)</w:t>
            </w:r>
          </w:p>
        </w:tc>
        <w:tc>
          <w:tcPr>
            <w:tcW w:w="1036" w:type="pct"/>
            <w:vAlign w:val="center"/>
          </w:tcPr>
          <w:p w14:paraId="6A603B37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2.258 (2.209 - 2.308)</w:t>
            </w:r>
          </w:p>
        </w:tc>
        <w:tc>
          <w:tcPr>
            <w:tcW w:w="1036" w:type="pct"/>
            <w:vAlign w:val="center"/>
          </w:tcPr>
          <w:p w14:paraId="08CC8F5D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1.97 (1.931 - 2.01)</w:t>
            </w:r>
          </w:p>
        </w:tc>
        <w:tc>
          <w:tcPr>
            <w:tcW w:w="636" w:type="pct"/>
            <w:vAlign w:val="center"/>
          </w:tcPr>
          <w:p w14:paraId="2AA4A938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&lt;0.001</w:t>
            </w:r>
          </w:p>
        </w:tc>
      </w:tr>
      <w:tr w14:paraId="3084D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tcBorders>
              <w:bottom w:val="single" w:color="auto" w:sz="4" w:space="0"/>
            </w:tcBorders>
            <w:vAlign w:val="center"/>
          </w:tcPr>
          <w:p w14:paraId="3A91A4D1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SO</w:t>
            </w:r>
            <w:r>
              <w:rPr>
                <w:rFonts w:hint="default" w:ascii="Times New Roman" w:hAnsi="Times New Roman" w:eastAsia="等线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vAlign w:val="center"/>
          </w:tcPr>
          <w:p w14:paraId="006CC636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1.894 (1.858 - 1.93)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vAlign w:val="center"/>
          </w:tcPr>
          <w:p w14:paraId="67FCC8C0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1.877 (1.844 - 1.91)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vAlign w:val="center"/>
          </w:tcPr>
          <w:p w14:paraId="67AE645C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1.977 (1.94 - 2.013)</w:t>
            </w:r>
          </w:p>
        </w:tc>
        <w:tc>
          <w:tcPr>
            <w:tcW w:w="636" w:type="pct"/>
            <w:tcBorders>
              <w:bottom w:val="single" w:color="auto" w:sz="4" w:space="0"/>
            </w:tcBorders>
            <w:vAlign w:val="center"/>
          </w:tcPr>
          <w:p w14:paraId="284D1755">
            <w:pPr>
              <w:rPr>
                <w:rFonts w:hint="default" w:ascii="Times New Roman" w:hAnsi="Times New Roman" w:eastAsia="等线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5"/>
              </w:rPr>
              <w:t>&lt;0.001</w:t>
            </w:r>
          </w:p>
        </w:tc>
      </w:tr>
    </w:tbl>
    <w:p w14:paraId="370B9297">
      <w:pPr>
        <w:rPr>
          <w:rFonts w:hint="default" w:ascii="Times New Roman" w:hAnsi="Times New Roman" w:eastAsia="黑体" w:cs="Times New Roman"/>
          <w:sz w:val="20"/>
          <w:szCs w:val="20"/>
        </w:rPr>
      </w:pPr>
      <w:r>
        <w:rPr>
          <w:rFonts w:hint="default" w:ascii="Times New Roman" w:hAnsi="Times New Roman" w:eastAsia="黑体" w:cs="Times New Roman"/>
          <w:sz w:val="20"/>
          <w:szCs w:val="20"/>
        </w:rPr>
        <w:br w:type="page"/>
      </w:r>
    </w:p>
    <w:p w14:paraId="16A91743">
      <w:pPr>
        <w:widowControl/>
        <w:jc w:val="left"/>
        <w:rPr>
          <w:rFonts w:hint="default" w:ascii="Times New Roman" w:hAnsi="Times New Roman" w:eastAsia="黑体" w:cs="Times New Roman"/>
          <w:sz w:val="20"/>
          <w:szCs w:val="20"/>
        </w:rPr>
      </w:pPr>
    </w:p>
    <w:p w14:paraId="337D7625">
      <w:pPr>
        <w:pStyle w:val="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Table S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Table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7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 xml:space="preserve"> </w:t>
      </w:r>
      <w:bookmarkStart w:id="4" w:name="_Hlk192423173"/>
      <w:r>
        <w:rPr>
          <w:rFonts w:hint="default" w:ascii="Times New Roman" w:hAnsi="Times New Roman" w:cs="Times New Roman"/>
        </w:rPr>
        <w:t xml:space="preserve">Modifying Effect of </w:t>
      </w:r>
      <w:r>
        <w:rPr>
          <w:rFonts w:hint="default" w:ascii="Times New Roman" w:hAnsi="Times New Roman" w:cs="Times New Roman"/>
        </w:rPr>
        <w:t>Greenness Exposure</w:t>
      </w:r>
      <w:r>
        <w:rPr>
          <w:rFonts w:hint="default" w:ascii="Times New Roman" w:hAnsi="Times New Roman" w:cs="Times New Roman"/>
        </w:rPr>
        <w:t xml:space="preserve"> on the Association Between Air Pollutants and CVD Mortality in Ischemic Stroke Patients</w:t>
      </w:r>
      <w:bookmarkEnd w:id="4"/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2"/>
        <w:gridCol w:w="1762"/>
        <w:gridCol w:w="1762"/>
        <w:gridCol w:w="1762"/>
        <w:gridCol w:w="1094"/>
      </w:tblGrid>
      <w:tr w14:paraId="6D16B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57" w:type="pct"/>
            <w:vMerge w:val="restart"/>
            <w:tcBorders>
              <w:top w:val="single" w:color="auto" w:sz="12" w:space="0"/>
            </w:tcBorders>
            <w:vAlign w:val="center"/>
          </w:tcPr>
          <w:p w14:paraId="0FCFD346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Subgroup</w:t>
            </w:r>
          </w:p>
        </w:tc>
        <w:tc>
          <w:tcPr>
            <w:tcW w:w="1034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2E8D8F5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34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9D7EF25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HR(95% CI)</w:t>
            </w:r>
          </w:p>
        </w:tc>
        <w:tc>
          <w:tcPr>
            <w:tcW w:w="1034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BFE247F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641" w:type="pct"/>
            <w:tcBorders>
              <w:top w:val="single" w:color="auto" w:sz="12" w:space="0"/>
            </w:tcBorders>
            <w:vAlign w:val="center"/>
          </w:tcPr>
          <w:p w14:paraId="3FCB15F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71A3E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257" w:type="pct"/>
            <w:vMerge w:val="continue"/>
            <w:tcBorders>
              <w:bottom w:val="single" w:color="auto" w:sz="6" w:space="0"/>
            </w:tcBorders>
            <w:vAlign w:val="center"/>
          </w:tcPr>
          <w:p w14:paraId="1AC1DF7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34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AA72011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Q1</w:t>
            </w:r>
          </w:p>
        </w:tc>
        <w:tc>
          <w:tcPr>
            <w:tcW w:w="1034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885F05D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Q2</w:t>
            </w:r>
          </w:p>
        </w:tc>
        <w:tc>
          <w:tcPr>
            <w:tcW w:w="1034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562DE8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Q3</w:t>
            </w:r>
          </w:p>
        </w:tc>
        <w:tc>
          <w:tcPr>
            <w:tcW w:w="641" w:type="pct"/>
            <w:tcBorders>
              <w:bottom w:val="single" w:color="auto" w:sz="6" w:space="0"/>
            </w:tcBorders>
            <w:vAlign w:val="center"/>
          </w:tcPr>
          <w:p w14:paraId="1CFEAF9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5"/>
                <w:szCs w:val="15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 xml:space="preserve"> for trend</w:t>
            </w:r>
          </w:p>
        </w:tc>
      </w:tr>
      <w:tr w14:paraId="766D7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tcBorders>
              <w:top w:val="single" w:color="auto" w:sz="6" w:space="0"/>
            </w:tcBorders>
            <w:shd w:val="clear" w:color="auto" w:fill="DAE9F7" w:themeFill="text2" w:themeFillTint="1A"/>
            <w:vAlign w:val="center"/>
          </w:tcPr>
          <w:p w14:paraId="3917B253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Contemporaneous NDVI</w:t>
            </w:r>
          </w:p>
        </w:tc>
        <w:tc>
          <w:tcPr>
            <w:tcW w:w="1034" w:type="pct"/>
            <w:tcBorders>
              <w:top w:val="single" w:color="auto" w:sz="6" w:space="0"/>
            </w:tcBorders>
            <w:shd w:val="clear" w:color="auto" w:fill="DAE9F7" w:themeFill="text2" w:themeFillTint="1A"/>
            <w:vAlign w:val="center"/>
          </w:tcPr>
          <w:p w14:paraId="5D20EEE5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34" w:type="pct"/>
            <w:tcBorders>
              <w:top w:val="single" w:color="auto" w:sz="6" w:space="0"/>
            </w:tcBorders>
            <w:shd w:val="clear" w:color="auto" w:fill="DAE9F7" w:themeFill="text2" w:themeFillTint="1A"/>
            <w:vAlign w:val="center"/>
          </w:tcPr>
          <w:p w14:paraId="5379B1BD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34" w:type="pct"/>
            <w:tcBorders>
              <w:top w:val="single" w:color="auto" w:sz="6" w:space="0"/>
            </w:tcBorders>
            <w:shd w:val="clear" w:color="auto" w:fill="DAE9F7" w:themeFill="text2" w:themeFillTint="1A"/>
            <w:vAlign w:val="center"/>
          </w:tcPr>
          <w:p w14:paraId="7EA484B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641" w:type="pct"/>
            <w:tcBorders>
              <w:top w:val="single" w:color="auto" w:sz="6" w:space="0"/>
            </w:tcBorders>
            <w:shd w:val="clear" w:color="auto" w:fill="DAE9F7" w:themeFill="text2" w:themeFillTint="1A"/>
            <w:vAlign w:val="center"/>
          </w:tcPr>
          <w:p w14:paraId="088521C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6B2F8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6186998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NO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34" w:type="pct"/>
            <w:vAlign w:val="bottom"/>
          </w:tcPr>
          <w:p w14:paraId="03BC31B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1.477 (1.412 - 1.546)</w:t>
            </w:r>
          </w:p>
        </w:tc>
        <w:tc>
          <w:tcPr>
            <w:tcW w:w="1034" w:type="pct"/>
            <w:vAlign w:val="bottom"/>
          </w:tcPr>
          <w:p w14:paraId="65CB6436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1.547 (1.447 - 1.655)</w:t>
            </w:r>
          </w:p>
        </w:tc>
        <w:tc>
          <w:tcPr>
            <w:tcW w:w="1034" w:type="pct"/>
            <w:vAlign w:val="bottom"/>
          </w:tcPr>
          <w:p w14:paraId="46D050B2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1.152 (1.113 - 1.194)</w:t>
            </w:r>
          </w:p>
        </w:tc>
        <w:tc>
          <w:tcPr>
            <w:tcW w:w="1065" w:type="dxa"/>
            <w:vAlign w:val="center"/>
          </w:tcPr>
          <w:p w14:paraId="40B497C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328B5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18A7FD4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pm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vertAlign w:val="subscript"/>
              </w:rPr>
              <w:t>2.5</w:t>
            </w:r>
          </w:p>
        </w:tc>
        <w:tc>
          <w:tcPr>
            <w:tcW w:w="1034" w:type="pct"/>
            <w:vAlign w:val="bottom"/>
          </w:tcPr>
          <w:p w14:paraId="7FAD47B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1.664 (1.621 - 1.708)</w:t>
            </w:r>
          </w:p>
        </w:tc>
        <w:tc>
          <w:tcPr>
            <w:tcW w:w="1034" w:type="pct"/>
            <w:vAlign w:val="bottom"/>
          </w:tcPr>
          <w:p w14:paraId="35A5220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1.84 (1.771 - 1.913)</w:t>
            </w:r>
          </w:p>
        </w:tc>
        <w:tc>
          <w:tcPr>
            <w:tcW w:w="1034" w:type="pct"/>
            <w:vAlign w:val="bottom"/>
          </w:tcPr>
          <w:p w14:paraId="1B174BC6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1.869 (1.823 - 1.917)</w:t>
            </w:r>
          </w:p>
        </w:tc>
        <w:tc>
          <w:tcPr>
            <w:tcW w:w="1065" w:type="dxa"/>
            <w:vAlign w:val="center"/>
          </w:tcPr>
          <w:p w14:paraId="67C2AD9D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29C43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2603AC56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SO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34" w:type="pct"/>
            <w:vAlign w:val="bottom"/>
          </w:tcPr>
          <w:p w14:paraId="75F72CC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1.612 (1.573 - 1.652)</w:t>
            </w:r>
          </w:p>
        </w:tc>
        <w:tc>
          <w:tcPr>
            <w:tcW w:w="1034" w:type="pct"/>
            <w:vAlign w:val="bottom"/>
          </w:tcPr>
          <w:p w14:paraId="267E418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1.525 (1.48 - 1.571)</w:t>
            </w:r>
          </w:p>
        </w:tc>
        <w:tc>
          <w:tcPr>
            <w:tcW w:w="1034" w:type="pct"/>
            <w:vAlign w:val="bottom"/>
          </w:tcPr>
          <w:p w14:paraId="54A40971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1.743 (1.706 - 1.782)</w:t>
            </w:r>
          </w:p>
        </w:tc>
        <w:tc>
          <w:tcPr>
            <w:tcW w:w="1065" w:type="dxa"/>
            <w:vAlign w:val="center"/>
          </w:tcPr>
          <w:p w14:paraId="340B1F8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65856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shd w:val="clear" w:color="auto" w:fill="DAE9F7" w:themeFill="text2" w:themeFillTint="1A"/>
            <w:vAlign w:val="center"/>
          </w:tcPr>
          <w:p w14:paraId="6782FD31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Cumulative NDVI</w:t>
            </w:r>
          </w:p>
        </w:tc>
        <w:tc>
          <w:tcPr>
            <w:tcW w:w="1034" w:type="pct"/>
            <w:shd w:val="clear" w:color="auto" w:fill="DAE9F7" w:themeFill="text2" w:themeFillTint="1A"/>
            <w:vAlign w:val="center"/>
          </w:tcPr>
          <w:p w14:paraId="273840B5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34" w:type="pct"/>
            <w:shd w:val="clear" w:color="auto" w:fill="DAE9F7" w:themeFill="text2" w:themeFillTint="1A"/>
            <w:vAlign w:val="center"/>
          </w:tcPr>
          <w:p w14:paraId="3417158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34" w:type="pct"/>
            <w:shd w:val="clear" w:color="auto" w:fill="DAE9F7" w:themeFill="text2" w:themeFillTint="1A"/>
            <w:vAlign w:val="center"/>
          </w:tcPr>
          <w:p w14:paraId="74A2AC1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65" w:type="dxa"/>
            <w:shd w:val="clear" w:color="auto" w:fill="DAE9F7" w:themeFill="text2" w:themeFillTint="1A"/>
            <w:vAlign w:val="center"/>
          </w:tcPr>
          <w:p w14:paraId="1FB107D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0B376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4A41D34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NO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34" w:type="pct"/>
            <w:vAlign w:val="bottom"/>
          </w:tcPr>
          <w:p w14:paraId="5A5430B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2.107 (1.999 - 2.219)</w:t>
            </w:r>
          </w:p>
        </w:tc>
        <w:tc>
          <w:tcPr>
            <w:tcW w:w="1034" w:type="pct"/>
            <w:vAlign w:val="bottom"/>
          </w:tcPr>
          <w:p w14:paraId="6ADE1DC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1.638 (1.564 - 1.715)</w:t>
            </w:r>
          </w:p>
        </w:tc>
        <w:tc>
          <w:tcPr>
            <w:tcW w:w="1034" w:type="pct"/>
            <w:vAlign w:val="bottom"/>
          </w:tcPr>
          <w:p w14:paraId="6629E6D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1.077 (1.035 - 1.12)</w:t>
            </w:r>
          </w:p>
        </w:tc>
        <w:tc>
          <w:tcPr>
            <w:tcW w:w="1065" w:type="dxa"/>
            <w:vAlign w:val="center"/>
          </w:tcPr>
          <w:p w14:paraId="708A7856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107FB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66E1604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pm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vertAlign w:val="subscript"/>
              </w:rPr>
              <w:t>2.5</w:t>
            </w:r>
          </w:p>
        </w:tc>
        <w:tc>
          <w:tcPr>
            <w:tcW w:w="1034" w:type="pct"/>
            <w:vAlign w:val="bottom"/>
          </w:tcPr>
          <w:p w14:paraId="6F36F4A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2.243 (2.185 - 2.303)</w:t>
            </w:r>
          </w:p>
        </w:tc>
        <w:tc>
          <w:tcPr>
            <w:tcW w:w="1034" w:type="pct"/>
            <w:vAlign w:val="bottom"/>
          </w:tcPr>
          <w:p w14:paraId="2A54B6B6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2.147 (2.091 - 2.205)</w:t>
            </w:r>
          </w:p>
        </w:tc>
        <w:tc>
          <w:tcPr>
            <w:tcW w:w="1034" w:type="pct"/>
            <w:vAlign w:val="bottom"/>
          </w:tcPr>
          <w:p w14:paraId="0EF22A5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1.877 (1.83 - 1.926)</w:t>
            </w:r>
          </w:p>
        </w:tc>
        <w:tc>
          <w:tcPr>
            <w:tcW w:w="1065" w:type="dxa"/>
            <w:vAlign w:val="center"/>
          </w:tcPr>
          <w:p w14:paraId="7B4E938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728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 </w:t>
            </w:r>
          </w:p>
        </w:tc>
      </w:tr>
      <w:tr w14:paraId="472A8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0E24C45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SO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34" w:type="pct"/>
            <w:vAlign w:val="bottom"/>
          </w:tcPr>
          <w:p w14:paraId="338CEBE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1.974 (1.927 - 2.022)</w:t>
            </w:r>
          </w:p>
        </w:tc>
        <w:tc>
          <w:tcPr>
            <w:tcW w:w="1034" w:type="pct"/>
            <w:vAlign w:val="bottom"/>
          </w:tcPr>
          <w:p w14:paraId="40432D3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1.838 (1.798 - 1.878)</w:t>
            </w:r>
          </w:p>
        </w:tc>
        <w:tc>
          <w:tcPr>
            <w:tcW w:w="1034" w:type="pct"/>
            <w:vAlign w:val="bottom"/>
          </w:tcPr>
          <w:p w14:paraId="6C2ACCE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1.875 (1.832 - 1.92)</w:t>
            </w:r>
          </w:p>
        </w:tc>
        <w:tc>
          <w:tcPr>
            <w:tcW w:w="1065" w:type="dxa"/>
            <w:vAlign w:val="center"/>
          </w:tcPr>
          <w:p w14:paraId="4103BB05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5BFED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shd w:val="clear" w:color="auto" w:fill="DAE9F7" w:themeFill="text2" w:themeFillTint="1A"/>
            <w:vAlign w:val="center"/>
          </w:tcPr>
          <w:p w14:paraId="459B68C6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Contemporaneous EVI</w:t>
            </w:r>
          </w:p>
        </w:tc>
        <w:tc>
          <w:tcPr>
            <w:tcW w:w="1034" w:type="pct"/>
            <w:shd w:val="clear" w:color="auto" w:fill="DAE9F7" w:themeFill="text2" w:themeFillTint="1A"/>
            <w:vAlign w:val="center"/>
          </w:tcPr>
          <w:p w14:paraId="760F428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34" w:type="pct"/>
            <w:shd w:val="clear" w:color="auto" w:fill="DAE9F7" w:themeFill="text2" w:themeFillTint="1A"/>
            <w:vAlign w:val="center"/>
          </w:tcPr>
          <w:p w14:paraId="427823A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34" w:type="pct"/>
            <w:shd w:val="clear" w:color="auto" w:fill="DAE9F7" w:themeFill="text2" w:themeFillTint="1A"/>
            <w:vAlign w:val="center"/>
          </w:tcPr>
          <w:p w14:paraId="15FC01F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65" w:type="dxa"/>
            <w:shd w:val="clear" w:color="auto" w:fill="DAE9F7" w:themeFill="text2" w:themeFillTint="1A"/>
            <w:vAlign w:val="center"/>
          </w:tcPr>
          <w:p w14:paraId="7FE3AA0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20044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5B9E6C7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NO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34" w:type="pct"/>
            <w:vAlign w:val="bottom"/>
          </w:tcPr>
          <w:p w14:paraId="67B4F92F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1.469 (1.402 - 1.539)</w:t>
            </w:r>
          </w:p>
        </w:tc>
        <w:tc>
          <w:tcPr>
            <w:tcW w:w="1034" w:type="pct"/>
            <w:vAlign w:val="bottom"/>
          </w:tcPr>
          <w:p w14:paraId="24C870F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1.666 (1.562 - 1.777)</w:t>
            </w:r>
          </w:p>
        </w:tc>
        <w:tc>
          <w:tcPr>
            <w:tcW w:w="1034" w:type="pct"/>
            <w:vAlign w:val="bottom"/>
          </w:tcPr>
          <w:p w14:paraId="38A38FD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1.131 (1.094 - 1.17)</w:t>
            </w:r>
          </w:p>
        </w:tc>
        <w:tc>
          <w:tcPr>
            <w:tcW w:w="1065" w:type="dxa"/>
            <w:vAlign w:val="center"/>
          </w:tcPr>
          <w:p w14:paraId="75D24DE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24552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5FD5FA6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pm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vertAlign w:val="subscript"/>
              </w:rPr>
              <w:t>2.5</w:t>
            </w:r>
          </w:p>
        </w:tc>
        <w:tc>
          <w:tcPr>
            <w:tcW w:w="1034" w:type="pct"/>
            <w:vAlign w:val="bottom"/>
          </w:tcPr>
          <w:p w14:paraId="2EF389D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1.69 (1.646 - 1.735)</w:t>
            </w:r>
          </w:p>
        </w:tc>
        <w:tc>
          <w:tcPr>
            <w:tcW w:w="1034" w:type="pct"/>
            <w:vAlign w:val="bottom"/>
          </w:tcPr>
          <w:p w14:paraId="4FFB1FA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2.108 (2.03 - 2.19)</w:t>
            </w:r>
          </w:p>
        </w:tc>
        <w:tc>
          <w:tcPr>
            <w:tcW w:w="1034" w:type="pct"/>
            <w:vAlign w:val="bottom"/>
          </w:tcPr>
          <w:p w14:paraId="6FFACFE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1.871 (1.825 - 1.918)</w:t>
            </w:r>
          </w:p>
        </w:tc>
        <w:tc>
          <w:tcPr>
            <w:tcW w:w="1065" w:type="dxa"/>
            <w:vAlign w:val="center"/>
          </w:tcPr>
          <w:p w14:paraId="04073A5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77E15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72E33F9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SO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34" w:type="pct"/>
            <w:vAlign w:val="bottom"/>
          </w:tcPr>
          <w:p w14:paraId="130ACFC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1.589 (1.552 - 1.628)</w:t>
            </w:r>
          </w:p>
        </w:tc>
        <w:tc>
          <w:tcPr>
            <w:tcW w:w="1034" w:type="pct"/>
            <w:vAlign w:val="bottom"/>
          </w:tcPr>
          <w:p w14:paraId="20D1FC5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1.729 (1.679 - 1.781)</w:t>
            </w:r>
          </w:p>
        </w:tc>
        <w:tc>
          <w:tcPr>
            <w:tcW w:w="1034" w:type="pct"/>
            <w:vAlign w:val="bottom"/>
          </w:tcPr>
          <w:p w14:paraId="32CAFA96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1.768 (1.73 - 1.806)</w:t>
            </w:r>
          </w:p>
        </w:tc>
        <w:tc>
          <w:tcPr>
            <w:tcW w:w="1065" w:type="dxa"/>
            <w:vAlign w:val="center"/>
          </w:tcPr>
          <w:p w14:paraId="2FFC29E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7A87B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shd w:val="clear" w:color="auto" w:fill="DAE9F7" w:themeFill="text2" w:themeFillTint="1A"/>
            <w:vAlign w:val="center"/>
          </w:tcPr>
          <w:p w14:paraId="1ABA415E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Cumulative EVI</w:t>
            </w:r>
          </w:p>
        </w:tc>
        <w:tc>
          <w:tcPr>
            <w:tcW w:w="1034" w:type="pct"/>
            <w:shd w:val="clear" w:color="auto" w:fill="DAE9F7" w:themeFill="text2" w:themeFillTint="1A"/>
            <w:vAlign w:val="center"/>
          </w:tcPr>
          <w:p w14:paraId="766A6D11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34" w:type="pct"/>
            <w:shd w:val="clear" w:color="auto" w:fill="DAE9F7" w:themeFill="text2" w:themeFillTint="1A"/>
            <w:vAlign w:val="center"/>
          </w:tcPr>
          <w:p w14:paraId="6BE70EA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34" w:type="pct"/>
            <w:shd w:val="clear" w:color="auto" w:fill="DAE9F7" w:themeFill="text2" w:themeFillTint="1A"/>
            <w:vAlign w:val="center"/>
          </w:tcPr>
          <w:p w14:paraId="1A2AD31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65" w:type="dxa"/>
            <w:shd w:val="clear" w:color="auto" w:fill="DAE9F7" w:themeFill="text2" w:themeFillTint="1A"/>
            <w:vAlign w:val="center"/>
          </w:tcPr>
          <w:p w14:paraId="77F12E3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4A711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429B5B2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NO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34" w:type="pct"/>
            <w:vAlign w:val="bottom"/>
          </w:tcPr>
          <w:p w14:paraId="5D03AB2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2.061 (1.952 - 2.175)</w:t>
            </w:r>
          </w:p>
        </w:tc>
        <w:tc>
          <w:tcPr>
            <w:tcW w:w="1034" w:type="pct"/>
            <w:vAlign w:val="bottom"/>
          </w:tcPr>
          <w:p w14:paraId="70CA9AF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1.706 (1.622 - 1.794)</w:t>
            </w:r>
          </w:p>
        </w:tc>
        <w:tc>
          <w:tcPr>
            <w:tcW w:w="1034" w:type="pct"/>
            <w:vAlign w:val="bottom"/>
          </w:tcPr>
          <w:p w14:paraId="27A6CED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1.096 (1.055 - 1.139)</w:t>
            </w:r>
          </w:p>
        </w:tc>
        <w:tc>
          <w:tcPr>
            <w:tcW w:w="1065" w:type="dxa"/>
            <w:vAlign w:val="center"/>
          </w:tcPr>
          <w:p w14:paraId="455AE0D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13E67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6EF16CA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pm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vertAlign w:val="subscript"/>
              </w:rPr>
              <w:t>2.5</w:t>
            </w:r>
          </w:p>
        </w:tc>
        <w:tc>
          <w:tcPr>
            <w:tcW w:w="1034" w:type="pct"/>
            <w:vAlign w:val="bottom"/>
          </w:tcPr>
          <w:p w14:paraId="3EE294E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2.36 (2.293 - 2.429)</w:t>
            </w:r>
          </w:p>
        </w:tc>
        <w:tc>
          <w:tcPr>
            <w:tcW w:w="1034" w:type="pct"/>
            <w:vAlign w:val="bottom"/>
          </w:tcPr>
          <w:p w14:paraId="1577C93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2.171 (2.113 - 2.231)</w:t>
            </w:r>
          </w:p>
        </w:tc>
        <w:tc>
          <w:tcPr>
            <w:tcW w:w="1034" w:type="pct"/>
            <w:vAlign w:val="bottom"/>
          </w:tcPr>
          <w:p w14:paraId="2F6F5EF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1.881 (1.835 - 1.929)</w:t>
            </w:r>
          </w:p>
        </w:tc>
        <w:tc>
          <w:tcPr>
            <w:tcW w:w="1065" w:type="dxa"/>
            <w:vAlign w:val="center"/>
          </w:tcPr>
          <w:p w14:paraId="5E9BA3C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7EABC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tcBorders>
              <w:bottom w:val="single" w:color="auto" w:sz="4" w:space="0"/>
            </w:tcBorders>
            <w:vAlign w:val="center"/>
          </w:tcPr>
          <w:p w14:paraId="0B2B7EBF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SO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34" w:type="pct"/>
            <w:tcBorders>
              <w:bottom w:val="single" w:color="auto" w:sz="4" w:space="0"/>
            </w:tcBorders>
            <w:vAlign w:val="bottom"/>
          </w:tcPr>
          <w:p w14:paraId="1EAA2EF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1.917 (1.871 - 1.965)</w:t>
            </w:r>
          </w:p>
        </w:tc>
        <w:tc>
          <w:tcPr>
            <w:tcW w:w="1034" w:type="pct"/>
            <w:tcBorders>
              <w:bottom w:val="single" w:color="auto" w:sz="4" w:space="0"/>
            </w:tcBorders>
            <w:vAlign w:val="bottom"/>
          </w:tcPr>
          <w:p w14:paraId="01D8A1CF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1.848 (1.808 - 1.888)</w:t>
            </w:r>
          </w:p>
        </w:tc>
        <w:tc>
          <w:tcPr>
            <w:tcW w:w="1034" w:type="pct"/>
            <w:tcBorders>
              <w:bottom w:val="single" w:color="auto" w:sz="4" w:space="0"/>
            </w:tcBorders>
            <w:vAlign w:val="bottom"/>
          </w:tcPr>
          <w:p w14:paraId="6EC4412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1.899 (1.856 - 1.943)</w:t>
            </w:r>
          </w:p>
        </w:tc>
        <w:tc>
          <w:tcPr>
            <w:tcW w:w="1065" w:type="dxa"/>
            <w:tcBorders>
              <w:bottom w:val="single" w:color="auto" w:sz="4" w:space="0"/>
            </w:tcBorders>
            <w:vAlign w:val="center"/>
          </w:tcPr>
          <w:p w14:paraId="7A03CBB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0.001</w:t>
            </w:r>
          </w:p>
        </w:tc>
      </w:tr>
    </w:tbl>
    <w:p w14:paraId="663D9E0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 w14:paraId="3DD8F99B">
      <w:pPr>
        <w:widowControl/>
        <w:jc w:val="left"/>
        <w:rPr>
          <w:rFonts w:hint="default" w:ascii="Times New Roman" w:hAnsi="Times New Roman" w:cs="Times New Roman"/>
        </w:rPr>
      </w:pPr>
    </w:p>
    <w:p w14:paraId="39577609">
      <w:pPr>
        <w:widowControl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Table S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SEQ Table \* ARABIC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t>8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 xml:space="preserve"> Modifying Effect of </w:t>
      </w:r>
      <w:r>
        <w:rPr>
          <w:rFonts w:hint="default" w:ascii="Times New Roman" w:hAnsi="Times New Roman" w:cs="Times New Roman"/>
        </w:rPr>
        <w:t>Greenness Exposure</w:t>
      </w:r>
      <w:r>
        <w:rPr>
          <w:rFonts w:hint="default" w:ascii="Times New Roman" w:hAnsi="Times New Roman" w:cs="Times New Roman"/>
        </w:rPr>
        <w:t xml:space="preserve"> on the Association Between Air Pollutants and Stroke Mortality in Ischemic Stroke Patients</w:t>
      </w:r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2"/>
        <w:gridCol w:w="1762"/>
        <w:gridCol w:w="1762"/>
        <w:gridCol w:w="1762"/>
        <w:gridCol w:w="1094"/>
      </w:tblGrid>
      <w:tr w14:paraId="78F49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Merge w:val="restart"/>
            <w:tcBorders>
              <w:top w:val="single" w:color="auto" w:sz="12" w:space="0"/>
            </w:tcBorders>
            <w:vAlign w:val="center"/>
          </w:tcPr>
          <w:p w14:paraId="1F64292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Subgroup</w:t>
            </w:r>
          </w:p>
        </w:tc>
        <w:tc>
          <w:tcPr>
            <w:tcW w:w="1034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08C4B4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34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131023F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HR(95% CI)</w:t>
            </w:r>
          </w:p>
        </w:tc>
        <w:tc>
          <w:tcPr>
            <w:tcW w:w="1034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02FCC61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641" w:type="pct"/>
            <w:tcBorders>
              <w:top w:val="single" w:color="auto" w:sz="12" w:space="0"/>
            </w:tcBorders>
            <w:vAlign w:val="center"/>
          </w:tcPr>
          <w:p w14:paraId="54C0867F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10095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Merge w:val="continue"/>
            <w:tcBorders>
              <w:bottom w:val="single" w:color="auto" w:sz="6" w:space="0"/>
            </w:tcBorders>
            <w:vAlign w:val="center"/>
          </w:tcPr>
          <w:p w14:paraId="59A8D6F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34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D4BA46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Q1</w:t>
            </w:r>
          </w:p>
        </w:tc>
        <w:tc>
          <w:tcPr>
            <w:tcW w:w="1034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9EF327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Q2</w:t>
            </w:r>
          </w:p>
        </w:tc>
        <w:tc>
          <w:tcPr>
            <w:tcW w:w="1034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86F4B9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Q3</w:t>
            </w:r>
          </w:p>
        </w:tc>
        <w:tc>
          <w:tcPr>
            <w:tcW w:w="641" w:type="pct"/>
            <w:tcBorders>
              <w:bottom w:val="single" w:color="auto" w:sz="6" w:space="0"/>
            </w:tcBorders>
            <w:vAlign w:val="center"/>
          </w:tcPr>
          <w:p w14:paraId="30B44D61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5"/>
                <w:szCs w:val="15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 xml:space="preserve"> for trend</w:t>
            </w:r>
          </w:p>
        </w:tc>
      </w:tr>
      <w:tr w14:paraId="703C6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tcBorders>
              <w:top w:val="single" w:color="auto" w:sz="6" w:space="0"/>
            </w:tcBorders>
            <w:shd w:val="clear" w:color="auto" w:fill="DAE9F7" w:themeFill="text2" w:themeFillTint="1A"/>
            <w:vAlign w:val="center"/>
          </w:tcPr>
          <w:p w14:paraId="50F90A21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Contemporaneous NDVI</w:t>
            </w:r>
          </w:p>
        </w:tc>
        <w:tc>
          <w:tcPr>
            <w:tcW w:w="1034" w:type="pct"/>
            <w:tcBorders>
              <w:top w:val="single" w:color="auto" w:sz="6" w:space="0"/>
            </w:tcBorders>
            <w:shd w:val="clear" w:color="auto" w:fill="DAE9F7" w:themeFill="text2" w:themeFillTint="1A"/>
            <w:vAlign w:val="center"/>
          </w:tcPr>
          <w:p w14:paraId="7D066BB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34" w:type="pct"/>
            <w:tcBorders>
              <w:top w:val="single" w:color="auto" w:sz="6" w:space="0"/>
            </w:tcBorders>
            <w:shd w:val="clear" w:color="auto" w:fill="DAE9F7" w:themeFill="text2" w:themeFillTint="1A"/>
            <w:vAlign w:val="center"/>
          </w:tcPr>
          <w:p w14:paraId="7A5FB34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34" w:type="pct"/>
            <w:tcBorders>
              <w:top w:val="single" w:color="auto" w:sz="6" w:space="0"/>
            </w:tcBorders>
            <w:shd w:val="clear" w:color="auto" w:fill="DAE9F7" w:themeFill="text2" w:themeFillTint="1A"/>
            <w:vAlign w:val="center"/>
          </w:tcPr>
          <w:p w14:paraId="446EB78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641" w:type="pct"/>
            <w:tcBorders>
              <w:top w:val="single" w:color="auto" w:sz="6" w:space="0"/>
            </w:tcBorders>
            <w:shd w:val="clear" w:color="auto" w:fill="DAE9F7" w:themeFill="text2" w:themeFillTint="1A"/>
            <w:vAlign w:val="center"/>
          </w:tcPr>
          <w:p w14:paraId="6683FAE1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39332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58BF0B2F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bookmarkStart w:id="5" w:name="_GoBack" w:colFirst="4" w:colLast="4"/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NO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34" w:type="pct"/>
            <w:vAlign w:val="bottom"/>
          </w:tcPr>
          <w:p w14:paraId="341CFCA4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1.524 (1.441 - 1.611)</w:t>
            </w:r>
          </w:p>
        </w:tc>
        <w:tc>
          <w:tcPr>
            <w:tcW w:w="1034" w:type="pct"/>
            <w:vAlign w:val="bottom"/>
          </w:tcPr>
          <w:p w14:paraId="5714EF00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1.696 (1.564 - 1.838)</w:t>
            </w:r>
          </w:p>
        </w:tc>
        <w:tc>
          <w:tcPr>
            <w:tcW w:w="1034" w:type="pct"/>
            <w:vAlign w:val="bottom"/>
          </w:tcPr>
          <w:p w14:paraId="5921C185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1.176 (1.128 - 1.226)</w:t>
            </w:r>
          </w:p>
        </w:tc>
        <w:tc>
          <w:tcPr>
            <w:tcW w:w="1065" w:type="dxa"/>
            <w:vAlign w:val="center"/>
          </w:tcPr>
          <w:p w14:paraId="7F09E21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125AE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7A590BD6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pm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vertAlign w:val="subscript"/>
              </w:rPr>
              <w:t>2.5</w:t>
            </w:r>
          </w:p>
        </w:tc>
        <w:tc>
          <w:tcPr>
            <w:tcW w:w="1034" w:type="pct"/>
            <w:vAlign w:val="bottom"/>
          </w:tcPr>
          <w:p w14:paraId="4527FCF0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1.696 (1.644 - 1.75)</w:t>
            </w:r>
          </w:p>
        </w:tc>
        <w:tc>
          <w:tcPr>
            <w:tcW w:w="1034" w:type="pct"/>
            <w:vAlign w:val="bottom"/>
          </w:tcPr>
          <w:p w14:paraId="2A1F681E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2.034 (1.943 - 2.13)</w:t>
            </w:r>
          </w:p>
        </w:tc>
        <w:tc>
          <w:tcPr>
            <w:tcW w:w="1034" w:type="pct"/>
            <w:vAlign w:val="bottom"/>
          </w:tcPr>
          <w:p w14:paraId="11EA1414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1.978 (1.921 - 2.036)</w:t>
            </w:r>
          </w:p>
        </w:tc>
        <w:tc>
          <w:tcPr>
            <w:tcW w:w="1065" w:type="dxa"/>
            <w:vAlign w:val="center"/>
          </w:tcPr>
          <w:p w14:paraId="5C10FA3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6D4A1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43B99506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SO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34" w:type="pct"/>
            <w:vAlign w:val="bottom"/>
          </w:tcPr>
          <w:p w14:paraId="4196E6A3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1.67 (1.62 - 1.721)</w:t>
            </w:r>
          </w:p>
        </w:tc>
        <w:tc>
          <w:tcPr>
            <w:tcW w:w="1034" w:type="pct"/>
            <w:vAlign w:val="bottom"/>
          </w:tcPr>
          <w:p w14:paraId="551AE4CA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1.668 (1.61 - 1.729)</w:t>
            </w:r>
          </w:p>
        </w:tc>
        <w:tc>
          <w:tcPr>
            <w:tcW w:w="1034" w:type="pct"/>
            <w:vAlign w:val="bottom"/>
          </w:tcPr>
          <w:p w14:paraId="03C7F09A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1.837 (1.791 - 1.884)</w:t>
            </w:r>
          </w:p>
        </w:tc>
        <w:tc>
          <w:tcPr>
            <w:tcW w:w="1065" w:type="dxa"/>
            <w:vAlign w:val="center"/>
          </w:tcPr>
          <w:p w14:paraId="286607E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2BC13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shd w:val="clear" w:color="auto" w:fill="DAE9F7" w:themeFill="text2" w:themeFillTint="1A"/>
            <w:vAlign w:val="center"/>
          </w:tcPr>
          <w:p w14:paraId="4FA58C9E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Cumulative NDVI</w:t>
            </w:r>
          </w:p>
        </w:tc>
        <w:tc>
          <w:tcPr>
            <w:tcW w:w="1034" w:type="pct"/>
            <w:shd w:val="clear" w:color="auto" w:fill="DAE9F7" w:themeFill="text2" w:themeFillTint="1A"/>
            <w:vAlign w:val="center"/>
          </w:tcPr>
          <w:p w14:paraId="1D105D65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34" w:type="pct"/>
            <w:shd w:val="clear" w:color="auto" w:fill="DAE9F7" w:themeFill="text2" w:themeFillTint="1A"/>
            <w:vAlign w:val="center"/>
          </w:tcPr>
          <w:p w14:paraId="17DBB6E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34" w:type="pct"/>
            <w:shd w:val="clear" w:color="auto" w:fill="DAE9F7" w:themeFill="text2" w:themeFillTint="1A"/>
            <w:vAlign w:val="center"/>
          </w:tcPr>
          <w:p w14:paraId="63053D4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65" w:type="dxa"/>
            <w:shd w:val="clear" w:color="auto" w:fill="DAE9F7" w:themeFill="text2" w:themeFillTint="1A"/>
            <w:vAlign w:val="center"/>
          </w:tcPr>
          <w:p w14:paraId="5B0D63F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48AE9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2FB63DC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NO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34" w:type="pct"/>
          </w:tcPr>
          <w:p w14:paraId="7D6CBD2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2.341 (2.187 - 2.505)</w:t>
            </w:r>
          </w:p>
        </w:tc>
        <w:tc>
          <w:tcPr>
            <w:tcW w:w="1034" w:type="pct"/>
          </w:tcPr>
          <w:p w14:paraId="4FA1746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1.766 (1.671 - 1.866)</w:t>
            </w:r>
          </w:p>
        </w:tc>
        <w:tc>
          <w:tcPr>
            <w:tcW w:w="1034" w:type="pct"/>
          </w:tcPr>
          <w:p w14:paraId="7FFBA1B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1.09 (1.039 - 1.143)</w:t>
            </w:r>
          </w:p>
        </w:tc>
        <w:tc>
          <w:tcPr>
            <w:tcW w:w="1065" w:type="dxa"/>
            <w:vAlign w:val="center"/>
          </w:tcPr>
          <w:p w14:paraId="7377741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6C7EA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6D88FBA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pm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vertAlign w:val="subscript"/>
              </w:rPr>
              <w:t>2.5</w:t>
            </w:r>
          </w:p>
        </w:tc>
        <w:tc>
          <w:tcPr>
            <w:tcW w:w="1034" w:type="pct"/>
          </w:tcPr>
          <w:p w14:paraId="3B2AA98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2.373 (2.295 - 2.454)</w:t>
            </w:r>
          </w:p>
        </w:tc>
        <w:tc>
          <w:tcPr>
            <w:tcW w:w="1034" w:type="pct"/>
          </w:tcPr>
          <w:p w14:paraId="6EB6900F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2.255 (2.186 - 2.327)</w:t>
            </w:r>
          </w:p>
        </w:tc>
        <w:tc>
          <w:tcPr>
            <w:tcW w:w="1034" w:type="pct"/>
          </w:tcPr>
          <w:p w14:paraId="6CC17E7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1.961 (1.903 - 2.021)</w:t>
            </w:r>
          </w:p>
        </w:tc>
        <w:tc>
          <w:tcPr>
            <w:tcW w:w="1065" w:type="dxa"/>
            <w:vAlign w:val="center"/>
          </w:tcPr>
          <w:p w14:paraId="561E891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356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 xml:space="preserve"> </w:t>
            </w:r>
          </w:p>
        </w:tc>
      </w:tr>
      <w:tr w14:paraId="22663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5220771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SO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34" w:type="pct"/>
          </w:tcPr>
          <w:p w14:paraId="428529F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2.115 (2.05 - 2.182)</w:t>
            </w:r>
          </w:p>
        </w:tc>
        <w:tc>
          <w:tcPr>
            <w:tcW w:w="1034" w:type="pct"/>
          </w:tcPr>
          <w:p w14:paraId="09A87BB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1.927 (1.878 - 1.976)</w:t>
            </w:r>
          </w:p>
        </w:tc>
        <w:tc>
          <w:tcPr>
            <w:tcW w:w="1034" w:type="pct"/>
          </w:tcPr>
          <w:p w14:paraId="1F9F0D26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1.964 (1.911 - 2.019)</w:t>
            </w:r>
          </w:p>
        </w:tc>
        <w:tc>
          <w:tcPr>
            <w:tcW w:w="1065" w:type="dxa"/>
            <w:vAlign w:val="center"/>
          </w:tcPr>
          <w:p w14:paraId="33C83356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6AE7B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shd w:val="clear" w:color="auto" w:fill="DAE9F7" w:themeFill="text2" w:themeFillTint="1A"/>
            <w:vAlign w:val="center"/>
          </w:tcPr>
          <w:p w14:paraId="4751B6AE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Contemporaneous EVI</w:t>
            </w:r>
          </w:p>
        </w:tc>
        <w:tc>
          <w:tcPr>
            <w:tcW w:w="1034" w:type="pct"/>
            <w:shd w:val="clear" w:color="auto" w:fill="DAE9F7" w:themeFill="text2" w:themeFillTint="1A"/>
            <w:vAlign w:val="center"/>
          </w:tcPr>
          <w:p w14:paraId="24DA1BF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34" w:type="pct"/>
            <w:shd w:val="clear" w:color="auto" w:fill="DAE9F7" w:themeFill="text2" w:themeFillTint="1A"/>
            <w:vAlign w:val="center"/>
          </w:tcPr>
          <w:p w14:paraId="5E70662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34" w:type="pct"/>
            <w:shd w:val="clear" w:color="auto" w:fill="DAE9F7" w:themeFill="text2" w:themeFillTint="1A"/>
            <w:vAlign w:val="center"/>
          </w:tcPr>
          <w:p w14:paraId="190C4E6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65" w:type="dxa"/>
            <w:shd w:val="clear" w:color="auto" w:fill="DAE9F7" w:themeFill="text2" w:themeFillTint="1A"/>
            <w:vAlign w:val="center"/>
          </w:tcPr>
          <w:p w14:paraId="082768AF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689BB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5572CCE5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NO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34" w:type="pct"/>
            <w:vAlign w:val="bottom"/>
          </w:tcPr>
          <w:p w14:paraId="302B4F6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1.525 (1.441 - 1.615)</w:t>
            </w:r>
          </w:p>
        </w:tc>
        <w:tc>
          <w:tcPr>
            <w:tcW w:w="1034" w:type="pct"/>
            <w:vAlign w:val="bottom"/>
          </w:tcPr>
          <w:p w14:paraId="0892C11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1.773 (1.642 - 1.915)</w:t>
            </w:r>
          </w:p>
        </w:tc>
        <w:tc>
          <w:tcPr>
            <w:tcW w:w="1034" w:type="pct"/>
            <w:vAlign w:val="bottom"/>
          </w:tcPr>
          <w:p w14:paraId="01068DE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1.152 (1.107 - 1.199)</w:t>
            </w:r>
          </w:p>
        </w:tc>
        <w:tc>
          <w:tcPr>
            <w:tcW w:w="1065" w:type="dxa"/>
            <w:vAlign w:val="center"/>
          </w:tcPr>
          <w:p w14:paraId="737EF57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13F17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39C3E88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pm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vertAlign w:val="subscript"/>
              </w:rPr>
              <w:t>2.5</w:t>
            </w:r>
          </w:p>
        </w:tc>
        <w:tc>
          <w:tcPr>
            <w:tcW w:w="1034" w:type="pct"/>
            <w:vAlign w:val="bottom"/>
          </w:tcPr>
          <w:p w14:paraId="2BBD154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1.724 (1.669 - 1.78)</w:t>
            </w:r>
          </w:p>
        </w:tc>
        <w:tc>
          <w:tcPr>
            <w:tcW w:w="1034" w:type="pct"/>
            <w:vAlign w:val="bottom"/>
          </w:tcPr>
          <w:p w14:paraId="0FE63D81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2.258 (2.159 - 2.362)</w:t>
            </w:r>
          </w:p>
        </w:tc>
        <w:tc>
          <w:tcPr>
            <w:tcW w:w="1034" w:type="pct"/>
            <w:vAlign w:val="bottom"/>
          </w:tcPr>
          <w:p w14:paraId="0ED2493F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1.981 (1.925 - 2.038)</w:t>
            </w:r>
          </w:p>
        </w:tc>
        <w:tc>
          <w:tcPr>
            <w:tcW w:w="1065" w:type="dxa"/>
            <w:vAlign w:val="center"/>
          </w:tcPr>
          <w:p w14:paraId="34509F06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25DE8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31A11AF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SO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34" w:type="pct"/>
            <w:vAlign w:val="bottom"/>
          </w:tcPr>
          <w:p w14:paraId="0C94F67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1.647 (1.599 - 1.697)</w:t>
            </w:r>
          </w:p>
        </w:tc>
        <w:tc>
          <w:tcPr>
            <w:tcW w:w="1034" w:type="pct"/>
            <w:vAlign w:val="bottom"/>
          </w:tcPr>
          <w:p w14:paraId="49BEE5B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1.846 (1.782 - 1.912)</w:t>
            </w:r>
          </w:p>
        </w:tc>
        <w:tc>
          <w:tcPr>
            <w:tcW w:w="1034" w:type="pct"/>
            <w:vAlign w:val="bottom"/>
          </w:tcPr>
          <w:p w14:paraId="3B7EFB0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1.869 (1.822 - 1.916)</w:t>
            </w:r>
          </w:p>
        </w:tc>
        <w:tc>
          <w:tcPr>
            <w:tcW w:w="1065" w:type="dxa"/>
            <w:vAlign w:val="center"/>
          </w:tcPr>
          <w:p w14:paraId="11708D0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6D5EC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shd w:val="clear" w:color="auto" w:fill="DAE9F7" w:themeFill="text2" w:themeFillTint="1A"/>
            <w:vAlign w:val="center"/>
          </w:tcPr>
          <w:p w14:paraId="65ECDFCF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5"/>
                <w:szCs w:val="15"/>
              </w:rPr>
              <w:t>Cumulative EVI</w:t>
            </w:r>
          </w:p>
        </w:tc>
        <w:tc>
          <w:tcPr>
            <w:tcW w:w="1034" w:type="pct"/>
            <w:shd w:val="clear" w:color="auto" w:fill="DAE9F7" w:themeFill="text2" w:themeFillTint="1A"/>
            <w:vAlign w:val="center"/>
          </w:tcPr>
          <w:p w14:paraId="4B53057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34" w:type="pct"/>
            <w:shd w:val="clear" w:color="auto" w:fill="DAE9F7" w:themeFill="text2" w:themeFillTint="1A"/>
            <w:vAlign w:val="center"/>
          </w:tcPr>
          <w:p w14:paraId="4B060E22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34" w:type="pct"/>
            <w:shd w:val="clear" w:color="auto" w:fill="DAE9F7" w:themeFill="text2" w:themeFillTint="1A"/>
            <w:vAlign w:val="center"/>
          </w:tcPr>
          <w:p w14:paraId="42590F02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065" w:type="dxa"/>
            <w:shd w:val="clear" w:color="auto" w:fill="DAE9F7" w:themeFill="text2" w:themeFillTint="1A"/>
            <w:vAlign w:val="center"/>
          </w:tcPr>
          <w:p w14:paraId="6DA1A5B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</w:tr>
      <w:tr w14:paraId="3EA1C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68D42F02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NO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34" w:type="pct"/>
            <w:vAlign w:val="bottom"/>
          </w:tcPr>
          <w:p w14:paraId="2F1C445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2.319 (2.163 - 2.486)</w:t>
            </w:r>
          </w:p>
        </w:tc>
        <w:tc>
          <w:tcPr>
            <w:tcW w:w="1034" w:type="pct"/>
            <w:vAlign w:val="bottom"/>
          </w:tcPr>
          <w:p w14:paraId="6A772EB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1.815 (1.708 - 1.93)</w:t>
            </w:r>
          </w:p>
        </w:tc>
        <w:tc>
          <w:tcPr>
            <w:tcW w:w="1034" w:type="pct"/>
            <w:vAlign w:val="bottom"/>
          </w:tcPr>
          <w:p w14:paraId="79485CF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1.122 (1.071 - 1.175)</w:t>
            </w:r>
          </w:p>
        </w:tc>
        <w:tc>
          <w:tcPr>
            <w:tcW w:w="1065" w:type="dxa"/>
            <w:vAlign w:val="center"/>
          </w:tcPr>
          <w:p w14:paraId="6823C0A1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5BD59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vAlign w:val="center"/>
          </w:tcPr>
          <w:p w14:paraId="5FD75EC5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pm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vertAlign w:val="subscript"/>
              </w:rPr>
              <w:t>2.5</w:t>
            </w:r>
          </w:p>
        </w:tc>
        <w:tc>
          <w:tcPr>
            <w:tcW w:w="1034" w:type="pct"/>
            <w:vAlign w:val="bottom"/>
          </w:tcPr>
          <w:p w14:paraId="645B8DA5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2.516 (2.425 - 2.61)</w:t>
            </w:r>
          </w:p>
        </w:tc>
        <w:tc>
          <w:tcPr>
            <w:tcW w:w="1034" w:type="pct"/>
            <w:vAlign w:val="bottom"/>
          </w:tcPr>
          <w:p w14:paraId="2755EA3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2.263 (2.192 - 2.337)</w:t>
            </w:r>
          </w:p>
        </w:tc>
        <w:tc>
          <w:tcPr>
            <w:tcW w:w="1034" w:type="pct"/>
            <w:vAlign w:val="bottom"/>
          </w:tcPr>
          <w:p w14:paraId="26079381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1.971 (1.914 - 2.029)</w:t>
            </w:r>
          </w:p>
        </w:tc>
        <w:tc>
          <w:tcPr>
            <w:tcW w:w="1065" w:type="dxa"/>
            <w:vAlign w:val="center"/>
          </w:tcPr>
          <w:p w14:paraId="0BB28CF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  <w:t>&lt;0.001</w:t>
            </w:r>
          </w:p>
        </w:tc>
      </w:tr>
      <w:tr w14:paraId="4BA1D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7" w:type="pct"/>
            <w:tcBorders>
              <w:bottom w:val="single" w:color="auto" w:sz="4" w:space="0"/>
            </w:tcBorders>
            <w:vAlign w:val="center"/>
          </w:tcPr>
          <w:p w14:paraId="2CAF95FF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SO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034" w:type="pct"/>
            <w:tcBorders>
              <w:bottom w:val="single" w:color="auto" w:sz="4" w:space="0"/>
            </w:tcBorders>
            <w:vAlign w:val="bottom"/>
          </w:tcPr>
          <w:p w14:paraId="671A206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2.055 (1.991 - 2.121)</w:t>
            </w:r>
          </w:p>
        </w:tc>
        <w:tc>
          <w:tcPr>
            <w:tcW w:w="1034" w:type="pct"/>
            <w:tcBorders>
              <w:bottom w:val="single" w:color="auto" w:sz="4" w:space="0"/>
            </w:tcBorders>
            <w:vAlign w:val="bottom"/>
          </w:tcPr>
          <w:p w14:paraId="7059847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1.924 (1.875 - 1.974)</w:t>
            </w:r>
          </w:p>
        </w:tc>
        <w:tc>
          <w:tcPr>
            <w:tcW w:w="1034" w:type="pct"/>
            <w:tcBorders>
              <w:bottom w:val="single" w:color="auto" w:sz="4" w:space="0"/>
            </w:tcBorders>
            <w:vAlign w:val="bottom"/>
          </w:tcPr>
          <w:p w14:paraId="353C289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  <w:t>1.989 (1.936 - 2.044)</w:t>
            </w:r>
          </w:p>
        </w:tc>
        <w:tc>
          <w:tcPr>
            <w:tcW w:w="1065" w:type="dxa"/>
            <w:tcBorders>
              <w:bottom w:val="single" w:color="auto" w:sz="4" w:space="0"/>
            </w:tcBorders>
            <w:vAlign w:val="center"/>
          </w:tcPr>
          <w:p w14:paraId="5FEE14D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0.066</w:t>
            </w:r>
          </w:p>
        </w:tc>
      </w:tr>
      <w:bookmarkEnd w:id="5"/>
    </w:tbl>
    <w:p w14:paraId="62974287">
      <w:pPr>
        <w:widowControl/>
        <w:jc w:val="left"/>
        <w:rPr>
          <w:rFonts w:hint="default" w:ascii="Times New Roman" w:hAnsi="Times New Roman" w:cs="Times New Roman"/>
        </w:rPr>
      </w:pPr>
    </w:p>
    <w:p w14:paraId="5A868DC2">
      <w:pPr>
        <w:widowControl/>
        <w:jc w:val="left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A5"/>
    <w:rsid w:val="00017B5D"/>
    <w:rsid w:val="00065A2B"/>
    <w:rsid w:val="000A6D6C"/>
    <w:rsid w:val="00157DA4"/>
    <w:rsid w:val="001A402B"/>
    <w:rsid w:val="001B5CB8"/>
    <w:rsid w:val="00204FD4"/>
    <w:rsid w:val="002364E2"/>
    <w:rsid w:val="002A6B7C"/>
    <w:rsid w:val="002D7A0D"/>
    <w:rsid w:val="002F0E21"/>
    <w:rsid w:val="002F3AC0"/>
    <w:rsid w:val="003067E8"/>
    <w:rsid w:val="00313983"/>
    <w:rsid w:val="00361F59"/>
    <w:rsid w:val="003B368D"/>
    <w:rsid w:val="003B4A44"/>
    <w:rsid w:val="003C42F3"/>
    <w:rsid w:val="003D13D9"/>
    <w:rsid w:val="00407213"/>
    <w:rsid w:val="004856BB"/>
    <w:rsid w:val="004A0980"/>
    <w:rsid w:val="004B62F9"/>
    <w:rsid w:val="004C793D"/>
    <w:rsid w:val="00504011"/>
    <w:rsid w:val="0052015C"/>
    <w:rsid w:val="00542805"/>
    <w:rsid w:val="005A623F"/>
    <w:rsid w:val="005E1637"/>
    <w:rsid w:val="006A5FF8"/>
    <w:rsid w:val="006B6EB9"/>
    <w:rsid w:val="006E4B3F"/>
    <w:rsid w:val="006F27C8"/>
    <w:rsid w:val="00745FF1"/>
    <w:rsid w:val="007A3552"/>
    <w:rsid w:val="007D1FDF"/>
    <w:rsid w:val="00851314"/>
    <w:rsid w:val="00877BF9"/>
    <w:rsid w:val="00980442"/>
    <w:rsid w:val="009D281D"/>
    <w:rsid w:val="00A26401"/>
    <w:rsid w:val="00A617B2"/>
    <w:rsid w:val="00A65A8F"/>
    <w:rsid w:val="00AD7014"/>
    <w:rsid w:val="00AE7E03"/>
    <w:rsid w:val="00B07C1E"/>
    <w:rsid w:val="00B277ED"/>
    <w:rsid w:val="00BC51F6"/>
    <w:rsid w:val="00C80B8E"/>
    <w:rsid w:val="00CC4915"/>
    <w:rsid w:val="00CD656A"/>
    <w:rsid w:val="00D41CF0"/>
    <w:rsid w:val="00D770AA"/>
    <w:rsid w:val="00D9296C"/>
    <w:rsid w:val="00E31DED"/>
    <w:rsid w:val="00E360DF"/>
    <w:rsid w:val="00E43476"/>
    <w:rsid w:val="00E762AC"/>
    <w:rsid w:val="00E8067D"/>
    <w:rsid w:val="00EA7F27"/>
    <w:rsid w:val="00EF3513"/>
    <w:rsid w:val="00EF5F70"/>
    <w:rsid w:val="00F0458A"/>
    <w:rsid w:val="00F22A2D"/>
    <w:rsid w:val="00F26AB4"/>
    <w:rsid w:val="00F45C43"/>
    <w:rsid w:val="00F913A5"/>
    <w:rsid w:val="0AAF20F5"/>
    <w:rsid w:val="0D910B8A"/>
    <w:rsid w:val="1E2A7DC2"/>
    <w:rsid w:val="39F72C5B"/>
    <w:rsid w:val="3B702E61"/>
    <w:rsid w:val="3C7E5011"/>
    <w:rsid w:val="3D6C29C5"/>
    <w:rsid w:val="3EA0113F"/>
    <w:rsid w:val="3F60143E"/>
    <w:rsid w:val="5E7D126D"/>
    <w:rsid w:val="60C3390E"/>
    <w:rsid w:val="621F3644"/>
    <w:rsid w:val="655A5E64"/>
    <w:rsid w:val="7950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Body Text"/>
    <w:basedOn w:val="1"/>
    <w:link w:val="14"/>
    <w:semiHidden/>
    <w:unhideWhenUsed/>
    <w:uiPriority w:val="99"/>
    <w:pPr>
      <w:spacing w:after="12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2">
    <w:name w:val="acbfdd8b-e11b-4d36-88ff-6049b138f862"/>
    <w:basedOn w:val="3"/>
    <w:link w:val="13"/>
    <w:qFormat/>
    <w:uiPriority w:val="0"/>
    <w:pPr>
      <w:adjustRightInd w:val="0"/>
      <w:spacing w:after="0" w:line="288" w:lineRule="auto"/>
      <w:ind w:firstLine="200" w:firstLineChars="200"/>
      <w:jc w:val="left"/>
    </w:pPr>
    <w:rPr>
      <w:rFonts w:ascii="微软雅黑" w:hAnsi="微软雅黑" w:eastAsia="微软雅黑" w:cs="Times New Roman"/>
      <w:bCs/>
      <w:color w:val="000000"/>
      <w:sz w:val="22"/>
      <w:szCs w:val="24"/>
    </w:rPr>
  </w:style>
  <w:style w:type="character" w:customStyle="1" w:styleId="13">
    <w:name w:val="acbfdd8b-e11b-4d36-88ff-6049b138f862 字符"/>
    <w:link w:val="12"/>
    <w:qFormat/>
    <w:uiPriority w:val="0"/>
    <w:rPr>
      <w:rFonts w:ascii="微软雅黑" w:hAnsi="微软雅黑" w:eastAsia="微软雅黑" w:cs="Times New Roman"/>
      <w:bCs/>
      <w:color w:val="000000"/>
      <w:sz w:val="22"/>
      <w:szCs w:val="24"/>
    </w:rPr>
  </w:style>
  <w:style w:type="character" w:customStyle="1" w:styleId="14">
    <w:name w:val="正文文本 字符"/>
    <w:basedOn w:val="8"/>
    <w:link w:val="3"/>
    <w:semiHidden/>
    <w:uiPriority w:val="99"/>
  </w:style>
  <w:style w:type="table" w:customStyle="1" w:styleId="15">
    <w:name w:val="网格型6"/>
    <w:basedOn w:val="6"/>
    <w:uiPriority w:val="39"/>
    <w:rPr>
      <w:rFonts w:ascii="等线" w:hAnsi="等线" w:eastAsia="等线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jpe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customXml" Target="../customXml/item1.xml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2BA298-6BA1-4442-9954-C39E4C278C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164</Words>
  <Characters>1093</Characters>
  <Lines>98</Lines>
  <Paragraphs>27</Paragraphs>
  <TotalTime>0</TotalTime>
  <ScaleCrop>false</ScaleCrop>
  <LinksUpToDate>false</LinksUpToDate>
  <CharactersWithSpaces>1209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2025-01-06T13:32:00Z</dcterms:created>
  <dc:creator>启勇 曹</dc:creator>
  <cp:lastModifiedBy>BYZ</cp:lastModifiedBy>
  <dcterms:modified xsi:type="dcterms:W3CDTF">2025-04-16T08:40:38Z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eyJoZGlkIjoiMDBmOTAyNTM2ODlhNDdiYTYyMzZmNTIyOWFkNTM5MjkiLCJ1c2VySWQiOiI0NTEwMzk4NzEifQ==</vt:lpwstr>
  </property>
  <property fmtid="{D5CDD505-2E9C-101B-9397-08002B2CF9AE}" pid="3" name="KSOProductBuildVer">
    <vt:lpwstr>2052-12.1.0.20784</vt:lpwstr>
  </property>
  <property fmtid="{D5CDD505-2E9C-101B-9397-08002B2CF9AE}" pid="4" name="ICV">
    <vt:lpwstr>59769D793AF84D58BD38328AEE169241_12</vt:lpwstr>
  </property>
</Properties>
</file>