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E90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ascii="Arial" w:hAnsi="Arial" w:eastAsia="宋体" w:cs="Arial"/>
          <w:b/>
          <w:color w:val="000000"/>
          <w:sz w:val="16"/>
          <w:szCs w:val="16"/>
          <w14:ligatures w14:val="standardContextual"/>
        </w:rPr>
      </w:pPr>
      <w:r>
        <w:rPr>
          <w:rFonts w:ascii="Arial" w:hAnsi="Arial" w:eastAsia="宋体" w:cs="Arial"/>
          <w:b/>
          <w:color w:val="000000"/>
          <w:sz w:val="16"/>
          <w:szCs w:val="16"/>
          <w14:ligatures w14:val="standardContextual"/>
        </w:rPr>
        <w:t xml:space="preserve">Supplementary Table S3. </w:t>
      </w:r>
      <w:r>
        <w:rPr>
          <w:rFonts w:ascii="Arial" w:hAnsi="Arial" w:eastAsia="宋体" w:cs="Arial"/>
          <w:b w:val="0"/>
          <w:bCs/>
          <w:color w:val="000000"/>
          <w:sz w:val="16"/>
          <w:szCs w:val="16"/>
          <w14:ligatures w14:val="standardContextual"/>
        </w:rPr>
        <w:t>Scores of built environment factors</w:t>
      </w:r>
    </w:p>
    <w:tbl>
      <w:tblPr>
        <w:tblStyle w:val="17"/>
        <w:tblW w:w="9912" w:type="dxa"/>
        <w:jc w:val="center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1040"/>
        <w:gridCol w:w="2223"/>
        <w:gridCol w:w="1592"/>
        <w:gridCol w:w="1616"/>
        <w:gridCol w:w="1407"/>
        <w:gridCol w:w="802"/>
      </w:tblGrid>
      <w:tr w14:paraId="05649069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27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F3829">
            <w:pPr>
              <w:spacing w:after="0" w:line="240" w:lineRule="auto"/>
              <w:jc w:val="both"/>
              <w:rPr>
                <w:rFonts w:hint="eastAsia" w:ascii="Arial" w:hAnsi="Arial" w:eastAsia="宋体" w:cs="Arial"/>
                <w:b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宋体" w:cs="Arial"/>
                <w:b/>
                <w:color w:val="000000"/>
                <w:sz w:val="16"/>
                <w:szCs w:val="16"/>
              </w:rPr>
              <w:t>Dimensions</w:t>
            </w:r>
          </w:p>
        </w:tc>
        <w:tc>
          <w:tcPr>
            <w:tcW w:w="222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31E9A">
            <w:pPr>
              <w:spacing w:after="0" w:line="240" w:lineRule="auto"/>
              <w:jc w:val="both"/>
              <w:rPr>
                <w:rFonts w:hint="eastAsia" w:ascii="Arial" w:hAnsi="Arial" w:eastAsia="宋体" w:cs="Arial"/>
                <w:b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宋体" w:cs="Arial"/>
                <w:b/>
                <w:color w:val="000000"/>
                <w:sz w:val="16"/>
                <w:szCs w:val="16"/>
              </w:rPr>
              <w:t>Factor</w:t>
            </w:r>
          </w:p>
        </w:tc>
        <w:tc>
          <w:tcPr>
            <w:tcW w:w="159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590E7">
            <w:pPr>
              <w:spacing w:after="0" w:line="240" w:lineRule="auto"/>
              <w:jc w:val="both"/>
              <w:rPr>
                <w:rFonts w:hint="eastAsia" w:ascii="Arial" w:hAnsi="Arial" w:eastAsia="宋体" w:cs="Arial"/>
                <w:b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宋体" w:cs="Arial"/>
                <w:b/>
                <w:color w:val="000000"/>
                <w:sz w:val="16"/>
                <w:szCs w:val="16"/>
              </w:rPr>
              <w:t>Positive score (+)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89FF5">
            <w:pPr>
              <w:spacing w:after="0" w:line="240" w:lineRule="auto"/>
              <w:jc w:val="both"/>
              <w:rPr>
                <w:rFonts w:hint="eastAsia" w:ascii="Arial" w:hAnsi="Arial" w:eastAsia="宋体" w:cs="Arial"/>
                <w:b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宋体" w:cs="Arial"/>
                <w:b/>
                <w:color w:val="000000"/>
                <w:sz w:val="16"/>
                <w:szCs w:val="16"/>
              </w:rPr>
              <w:t>Negative score (−)</w:t>
            </w:r>
          </w:p>
        </w:tc>
        <w:tc>
          <w:tcPr>
            <w:tcW w:w="140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199AE">
            <w:pPr>
              <w:spacing w:after="0" w:line="240" w:lineRule="auto"/>
              <w:jc w:val="both"/>
              <w:rPr>
                <w:rFonts w:hint="eastAsia" w:ascii="Arial" w:hAnsi="Arial" w:eastAsia="宋体" w:cs="Arial"/>
                <w:b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宋体" w:cs="Arial"/>
                <w:b/>
                <w:color w:val="000000"/>
                <w:sz w:val="16"/>
                <w:szCs w:val="16"/>
              </w:rPr>
              <w:t>Nonlinear score</w:t>
            </w:r>
          </w:p>
        </w:tc>
        <w:tc>
          <w:tcPr>
            <w:tcW w:w="80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4958A">
            <w:pPr>
              <w:spacing w:after="0" w:line="240" w:lineRule="auto"/>
              <w:jc w:val="both"/>
              <w:rPr>
                <w:rFonts w:hint="eastAsia" w:ascii="Arial" w:hAnsi="Arial" w:eastAsia="宋体" w:cs="Arial"/>
                <w:b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宋体" w:cs="Arial"/>
                <w:b/>
                <w:color w:val="000000"/>
                <w:sz w:val="16"/>
                <w:szCs w:val="16"/>
              </w:rPr>
              <w:t>Total</w:t>
            </w:r>
          </w:p>
        </w:tc>
      </w:tr>
      <w:tr w14:paraId="5756458C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1232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ED20AD1">
            <w:pPr>
              <w:spacing w:after="0" w:line="240" w:lineRule="exact"/>
              <w:jc w:val="lef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  <w:t>Physical factors</w:t>
            </w:r>
          </w:p>
        </w:tc>
        <w:tc>
          <w:tcPr>
            <w:tcW w:w="1040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E793267">
            <w:pPr>
              <w:spacing w:after="0" w:line="240" w:lineRule="exact"/>
              <w:jc w:val="lef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Density</w:t>
            </w: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659F1DC">
            <w:pPr>
              <w:spacing w:after="0" w:line="240" w:lineRule="exact"/>
              <w:jc w:val="left"/>
              <w:rPr>
                <w:rFonts w:hint="eastAsia" w:ascii="Arial" w:hAnsi="Arial" w:eastAsia="宋体" w:cs="Arial"/>
                <w:color w:val="000000"/>
                <w:sz w:val="16"/>
                <w:szCs w:val="16"/>
                <w:highlight w:val="none"/>
              </w:rPr>
            </w:pPr>
            <w:r>
              <w:rPr>
                <w:rFonts w:ascii="Arial" w:hAnsi="Arial" w:cs="Arial" w:eastAsiaTheme="minorHAnsi"/>
                <w:color w:val="000000"/>
                <w:kern w:val="0"/>
                <w:sz w:val="16"/>
                <w:szCs w:val="16"/>
                <w:highlight w:val="none"/>
                <w14:ligatures w14:val="none"/>
              </w:rPr>
              <w:t>Population density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446BA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highlight w:val="none"/>
                <w:lang w:val="en-US" w:eastAsia="zh-CN"/>
              </w:rPr>
              <w:t>57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37CC1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highlight w:val="none"/>
                <w:lang w:val="en-US" w:eastAsia="zh-CN"/>
              </w:rPr>
              <w:t>24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4DA7F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highlight w:val="none"/>
                <w:lang w:val="en-US" w:eastAsia="zh-CN"/>
              </w:rPr>
              <w:t>32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0544D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highlight w:val="none"/>
                <w:lang w:val="en-US" w:eastAsia="zh-CN"/>
              </w:rPr>
              <w:t>113</w:t>
            </w:r>
          </w:p>
        </w:tc>
      </w:tr>
      <w:tr w14:paraId="6D548CB8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59D40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6B9A8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1F6CA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  <w:highlight w:val="none"/>
              </w:rPr>
            </w:pPr>
            <w:r>
              <w:rPr>
                <w:rFonts w:ascii="Arial" w:hAnsi="Arial" w:cs="Arial" w:eastAsiaTheme="minorHAnsi"/>
                <w:color w:val="000000"/>
                <w:kern w:val="0"/>
                <w:sz w:val="16"/>
                <w:szCs w:val="16"/>
                <w:highlight w:val="none"/>
                <w14:ligatures w14:val="none"/>
              </w:rPr>
              <w:t>Residential density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2350B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highlight w:val="none"/>
                <w:lang w:val="en-US" w:eastAsia="zh-CN"/>
              </w:rPr>
              <w:t>31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86A41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highlight w:val="none"/>
                <w:lang w:val="en-US" w:eastAsia="zh-CN"/>
              </w:rPr>
              <w:t>16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401AB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highlight w:val="none"/>
                <w:lang w:val="en-US" w:eastAsia="zh-CN"/>
              </w:rPr>
              <w:t>8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F77B4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highlight w:val="none"/>
                <w:lang w:val="en-US" w:eastAsia="zh-CN"/>
              </w:rPr>
              <w:t>55</w:t>
            </w:r>
          </w:p>
        </w:tc>
      </w:tr>
      <w:tr w14:paraId="16A31FCF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3788D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4AE2F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Diversity</w:t>
            </w: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54130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  <w:highlight w:val="none"/>
              </w:rPr>
            </w:pPr>
            <w:r>
              <w:rPr>
                <w:rFonts w:ascii="Arial" w:hAnsi="Arial" w:cs="Arial" w:eastAsiaTheme="minorHAnsi"/>
                <w:color w:val="000000"/>
                <w:kern w:val="0"/>
                <w:sz w:val="16"/>
                <w:szCs w:val="16"/>
                <w:highlight w:val="none"/>
                <w14:ligatures w14:val="none"/>
              </w:rPr>
              <w:t>Land-use mix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0A4EB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highlight w:val="none"/>
                <w:lang w:val="en-US" w:eastAsia="zh-CN"/>
              </w:rPr>
              <w:t>81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8739A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highlight w:val="none"/>
                <w:lang w:val="en-US" w:eastAsia="zh-CN"/>
              </w:rPr>
              <w:t>16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B8BD0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highlight w:val="none"/>
                <w:lang w:val="en-US" w:eastAsia="zh-CN"/>
              </w:rPr>
              <w:t>40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D157F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highlight w:val="none"/>
                <w:lang w:val="en-US" w:eastAsia="zh-CN"/>
              </w:rPr>
              <w:t>137</w:t>
            </w:r>
          </w:p>
        </w:tc>
      </w:tr>
      <w:tr w14:paraId="3DC6F873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2CC34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26685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Design</w:t>
            </w: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49617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宋体" w:cs="Arial"/>
                <w:color w:val="000000"/>
                <w:sz w:val="16"/>
                <w:szCs w:val="16"/>
              </w:rPr>
              <w:t>Intersection density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42597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48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D2EB7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41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27398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16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4842E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105</w:t>
            </w:r>
          </w:p>
        </w:tc>
      </w:tr>
      <w:tr w14:paraId="76DB3E11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3E671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B076B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2FC4E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宋体" w:cs="Arial"/>
                <w:color w:val="000000"/>
                <w:sz w:val="16"/>
                <w:szCs w:val="16"/>
              </w:rPr>
              <w:t>Green view index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4E9C2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32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32C7A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86AFD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16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32959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48</w:t>
            </w:r>
          </w:p>
        </w:tc>
      </w:tr>
      <w:tr w14:paraId="75A2E745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535EB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B72D3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7E4C7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宋体" w:cs="Arial"/>
                <w:color w:val="000000"/>
                <w:sz w:val="16"/>
                <w:szCs w:val="16"/>
              </w:rPr>
              <w:t>Sidewalk density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A3EBF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24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5AF28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4416F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24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8453F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48</w:t>
            </w:r>
          </w:p>
        </w:tc>
      </w:tr>
      <w:tr w14:paraId="3FE1BFE6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A110C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01B6F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AAB99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宋体" w:cs="Arial"/>
                <w:color w:val="000000"/>
                <w:sz w:val="16"/>
                <w:szCs w:val="16"/>
              </w:rPr>
              <w:t>Slope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72577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84398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41E53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26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9641D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26</w:t>
            </w:r>
          </w:p>
        </w:tc>
      </w:tr>
      <w:tr w14:paraId="020E8688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1702A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5BDCA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BB671">
            <w:pPr>
              <w:spacing w:after="0" w:line="240" w:lineRule="exact"/>
              <w:rPr>
                <w:rFonts w:hint="default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ascii="Arial" w:hAnsi="Arial" w:eastAsia="宋体" w:cs="Arial"/>
                <w:color w:val="000000"/>
                <w:sz w:val="16"/>
                <w:szCs w:val="16"/>
              </w:rPr>
              <w:t>Normalized Difference Vegetation Index</w:t>
            </w: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 xml:space="preserve"> (NDVI)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D0201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42FE9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C1CD2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1A03A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24</w:t>
            </w:r>
          </w:p>
        </w:tc>
      </w:tr>
      <w:tr w14:paraId="0735FB68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D1D69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8E391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2B4D8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宋体" w:cs="Arial"/>
                <w:color w:val="000000"/>
                <w:sz w:val="16"/>
                <w:szCs w:val="16"/>
              </w:rPr>
              <w:t>Proportion of green space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A38B7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463BB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103B5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ACF57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16</w:t>
            </w:r>
          </w:p>
        </w:tc>
      </w:tr>
      <w:tr w14:paraId="783825E4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9300B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F36E7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52E2C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宋体" w:cs="Arial"/>
                <w:color w:val="000000"/>
                <w:sz w:val="16"/>
                <w:szCs w:val="16"/>
              </w:rPr>
              <w:t>Green space area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E33F5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43DB7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7B6F4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763CC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16</w:t>
            </w:r>
          </w:p>
        </w:tc>
      </w:tr>
      <w:tr w14:paraId="1F578A22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7866A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21471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3D43E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宋体" w:cs="Arial"/>
                <w:color w:val="000000"/>
                <w:sz w:val="16"/>
                <w:szCs w:val="16"/>
              </w:rPr>
              <w:t>Pedestrian crossing facilities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ADBEA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16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07BC9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21CEE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43D3F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16</w:t>
            </w:r>
          </w:p>
        </w:tc>
      </w:tr>
      <w:tr w14:paraId="737C8ADF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C9C3D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F4F0C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1C21C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宋体" w:cs="Arial"/>
                <w:color w:val="000000"/>
                <w:sz w:val="16"/>
                <w:szCs w:val="16"/>
              </w:rPr>
              <w:t>Street density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0BDC6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9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C13F4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06BF2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19FAD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9</w:t>
            </w:r>
          </w:p>
        </w:tc>
      </w:tr>
      <w:tr w14:paraId="52D89421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CE562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92EC0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DD7C9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宋体" w:cs="Arial"/>
                <w:color w:val="000000"/>
                <w:sz w:val="16"/>
                <w:szCs w:val="16"/>
              </w:rPr>
              <w:t>Walking path length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870F1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9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DA699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53262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F88C6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9</w:t>
            </w:r>
          </w:p>
        </w:tc>
      </w:tr>
      <w:tr w14:paraId="6A962C70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56308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A8FC6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4FECE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宋体" w:cs="Arial"/>
                <w:color w:val="000000"/>
                <w:sz w:val="16"/>
                <w:szCs w:val="16"/>
              </w:rPr>
              <w:t>Sidewalk coverage ratio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6F2C0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9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C7C2F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FC068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087D8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9</w:t>
            </w:r>
          </w:p>
        </w:tc>
      </w:tr>
      <w:tr w14:paraId="00E6FD76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FAAA9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3F5A5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C125B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宋体" w:cs="Arial"/>
                <w:color w:val="000000"/>
                <w:sz w:val="16"/>
                <w:szCs w:val="16"/>
              </w:rPr>
              <w:t>Sidewalk connectivity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A2FE2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9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FFC58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CF850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77AEB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9</w:t>
            </w:r>
          </w:p>
        </w:tc>
      </w:tr>
      <w:tr w14:paraId="4E084F45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06E26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3F2F9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BA193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宋体" w:cs="Arial"/>
                <w:color w:val="000000"/>
                <w:sz w:val="16"/>
                <w:szCs w:val="16"/>
              </w:rPr>
              <w:t>Number of bicycle lanes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AA28F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9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9787B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FC4E5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17C1C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9</w:t>
            </w:r>
          </w:p>
        </w:tc>
      </w:tr>
      <w:tr w14:paraId="157CBE8E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2B390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F847F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799BD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宋体" w:cs="Arial"/>
                <w:color w:val="000000"/>
                <w:sz w:val="16"/>
                <w:szCs w:val="16"/>
              </w:rPr>
              <w:t>Road network density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94D6F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ED028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EFDF5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BE902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</w:tr>
      <w:tr w14:paraId="59E9848D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C2E6D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5CDF1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23243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宋体" w:cs="Arial"/>
                <w:color w:val="000000"/>
                <w:sz w:val="16"/>
                <w:szCs w:val="16"/>
              </w:rPr>
              <w:t>Link–Node Ratio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E144B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5AAF1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77567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1D239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</w:tr>
      <w:tr w14:paraId="0968AC5C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32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0C23A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73A11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46804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宋体" w:cs="Arial"/>
                <w:color w:val="000000"/>
                <w:sz w:val="16"/>
                <w:szCs w:val="16"/>
              </w:rPr>
              <w:t>Building façade details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144F6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8ADBB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53DFA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5DAEB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</w:tr>
      <w:tr w14:paraId="782956CC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ADFCD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E7A8F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5D793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宋体" w:cs="Arial"/>
                <w:color w:val="000000"/>
                <w:sz w:val="16"/>
                <w:szCs w:val="16"/>
              </w:rPr>
              <w:t>Forest coverage rate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D3A26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20C67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3F1C4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531A7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</w:tr>
      <w:tr w14:paraId="02670AF5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8A9F2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0885C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98C71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宋体" w:cs="Arial"/>
                <w:color w:val="000000"/>
                <w:sz w:val="16"/>
                <w:szCs w:val="16"/>
              </w:rPr>
              <w:t>Green coverage ratio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3B546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25B0D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D5847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1A0A9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</w:tr>
      <w:tr w14:paraId="619712C9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0DF55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2EA46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709F2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宋体" w:cs="Arial"/>
                <w:color w:val="000000"/>
                <w:sz w:val="16"/>
                <w:szCs w:val="16"/>
              </w:rPr>
              <w:t>Sidewalk quality</w:t>
            </w:r>
            <w:bookmarkStart w:id="0" w:name="_GoBack"/>
            <w:bookmarkEnd w:id="0"/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BC13A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EA458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6A816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5C60B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</w:tr>
      <w:tr w14:paraId="55994D6A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2358C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D533E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Destination Accessibility</w:t>
            </w: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93D8A">
            <w:pPr>
              <w:spacing w:after="0" w:line="240" w:lineRule="exact"/>
              <w:rPr>
                <w:rFonts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宋体" w:cs="Arial"/>
                <w:color w:val="000000"/>
                <w:sz w:val="16"/>
                <w:szCs w:val="16"/>
              </w:rPr>
              <w:t>Distance to parks, green spaces, and plazas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EA815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64D68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5B319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23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6F517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39</w:t>
            </w:r>
          </w:p>
        </w:tc>
      </w:tr>
      <w:tr w14:paraId="243F23C8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4B682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CFC04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2F42C57">
            <w:pPr>
              <w:spacing w:after="0" w:line="240" w:lineRule="exact"/>
              <w:rPr>
                <w:rFonts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Arial" w:hAnsi="Arial" w:eastAsia="宋体" w:cs="Arial"/>
                <w:color w:val="000000"/>
                <w:sz w:val="16"/>
                <w:szCs w:val="16"/>
              </w:rPr>
              <w:t>Number of retail facilities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F554D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28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AE04E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21CF4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6C0AF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28</w:t>
            </w:r>
          </w:p>
        </w:tc>
      </w:tr>
      <w:tr w14:paraId="075B94DF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3F979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7C8BD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01FD9F8">
            <w:pPr>
              <w:spacing w:after="0" w:line="240" w:lineRule="exact"/>
              <w:rPr>
                <w:rFonts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Arial" w:hAnsi="Arial" w:eastAsia="宋体" w:cs="Arial"/>
                <w:color w:val="000000"/>
                <w:sz w:val="16"/>
                <w:szCs w:val="16"/>
              </w:rPr>
              <w:t>Number of educational facilities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C70A7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6CEDF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17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1E42A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21D2C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25</w:t>
            </w:r>
          </w:p>
        </w:tc>
      </w:tr>
      <w:tr w14:paraId="5531DB0E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4204A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94CCF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9192A">
            <w:pPr>
              <w:spacing w:after="0" w:line="240" w:lineRule="exact"/>
              <w:rPr>
                <w:rFonts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宋体" w:cs="Arial"/>
                <w:color w:val="000000"/>
                <w:sz w:val="16"/>
                <w:szCs w:val="16"/>
              </w:rPr>
              <w:t>Number of parks, green spaces, and plazas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4FEEA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25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1C73E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B42C1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F986A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25</w:t>
            </w:r>
          </w:p>
        </w:tc>
      </w:tr>
      <w:tr w14:paraId="6EAD3F6E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DBBA0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F33A7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B32836B">
            <w:pPr>
              <w:spacing w:after="0" w:line="240" w:lineRule="exact"/>
              <w:rPr>
                <w:rFonts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Arial" w:hAnsi="Arial" w:eastAsia="宋体" w:cs="Arial"/>
                <w:color w:val="000000"/>
                <w:sz w:val="16"/>
                <w:szCs w:val="16"/>
              </w:rPr>
              <w:t>fitness facilities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48667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24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698BF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2DD9E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709FB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24</w:t>
            </w:r>
          </w:p>
        </w:tc>
      </w:tr>
      <w:tr w14:paraId="78BACFDA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9032F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63C50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935B5F3">
            <w:pPr>
              <w:spacing w:after="0" w:line="240" w:lineRule="exact"/>
              <w:rPr>
                <w:rFonts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Arial" w:hAnsi="Arial" w:eastAsia="宋体" w:cs="Arial"/>
                <w:color w:val="000000"/>
                <w:sz w:val="16"/>
                <w:szCs w:val="16"/>
              </w:rPr>
              <w:t>Number of medical facilities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9C2AC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16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8214A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7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693D8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5432A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23</w:t>
            </w:r>
          </w:p>
        </w:tc>
      </w:tr>
      <w:tr w14:paraId="46611A04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DDAE0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12DB6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7AB806">
            <w:pPr>
              <w:spacing w:after="0" w:line="240" w:lineRule="exact"/>
              <w:rPr>
                <w:rFonts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Arial" w:hAnsi="Arial" w:eastAsia="宋体" w:cs="Arial"/>
                <w:color w:val="000000"/>
                <w:sz w:val="16"/>
                <w:szCs w:val="16"/>
              </w:rPr>
              <w:t>Density of parks, green spaces, and plazas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3A66A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17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D365F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6E851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B3FAA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17</w:t>
            </w:r>
          </w:p>
        </w:tc>
      </w:tr>
      <w:tr w14:paraId="53F6A44D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8C2E4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3C4D6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D45B840">
            <w:pPr>
              <w:spacing w:after="0" w:line="240" w:lineRule="exact"/>
              <w:rPr>
                <w:rFonts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Arial" w:hAnsi="Arial" w:eastAsia="宋体" w:cs="Arial"/>
                <w:color w:val="000000"/>
                <w:sz w:val="16"/>
                <w:szCs w:val="16"/>
              </w:rPr>
              <w:t>Accessibility to parks, green spaces, and plazas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C57BC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16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D1635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A1442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42D7F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16</w:t>
            </w:r>
          </w:p>
        </w:tc>
      </w:tr>
      <w:tr w14:paraId="2A6AAF58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5FCD5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ABA6A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1D96A75">
            <w:pPr>
              <w:spacing w:after="0" w:line="240" w:lineRule="exact"/>
              <w:rPr>
                <w:rFonts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Arial" w:hAnsi="Arial" w:eastAsia="宋体" w:cs="Arial"/>
                <w:color w:val="000000"/>
                <w:sz w:val="16"/>
                <w:szCs w:val="16"/>
              </w:rPr>
              <w:t>Density of recreational facilities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6D486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70F40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45506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D182A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16</w:t>
            </w:r>
          </w:p>
        </w:tc>
      </w:tr>
      <w:tr w14:paraId="7A9DAD85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E11DE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890AF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EBA5C85">
            <w:pPr>
              <w:spacing w:after="0" w:line="240" w:lineRule="exact"/>
              <w:rPr>
                <w:rFonts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Arial" w:hAnsi="Arial" w:eastAsia="宋体" w:cs="Arial"/>
                <w:color w:val="000000"/>
                <w:sz w:val="16"/>
                <w:szCs w:val="16"/>
              </w:rPr>
              <w:t>Accessibility to public service facilities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68339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16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358DE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D9CE9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C5368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16</w:t>
            </w:r>
          </w:p>
        </w:tc>
      </w:tr>
      <w:tr w14:paraId="3547D6FE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80A39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E0F81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BD93EEB">
            <w:pPr>
              <w:spacing w:after="0" w:line="240" w:lineRule="exact"/>
              <w:rPr>
                <w:rFonts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Arial" w:hAnsi="Arial" w:eastAsia="宋体" w:cs="Arial"/>
                <w:color w:val="000000"/>
                <w:sz w:val="16"/>
                <w:szCs w:val="16"/>
              </w:rPr>
              <w:t>Number of food service facilities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0F863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16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41205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3986F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C6491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16</w:t>
            </w:r>
          </w:p>
        </w:tc>
      </w:tr>
      <w:tr w14:paraId="5567B9CA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E47AF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43AB7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0BC6BE2">
            <w:pPr>
              <w:spacing w:after="0" w:line="240" w:lineRule="exact"/>
              <w:rPr>
                <w:rFonts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Arial" w:hAnsi="Arial" w:eastAsia="宋体" w:cs="Arial"/>
                <w:color w:val="000000"/>
                <w:sz w:val="16"/>
                <w:szCs w:val="16"/>
              </w:rPr>
              <w:t>Accessibility to commercial facilities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B1F4F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16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BB310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1B446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69A14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16</w:t>
            </w:r>
          </w:p>
        </w:tc>
      </w:tr>
      <w:tr w14:paraId="788CA634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46AA9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4DFCD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63AFF6D">
            <w:pPr>
              <w:spacing w:after="0" w:line="240" w:lineRule="exact"/>
              <w:rPr>
                <w:rFonts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Arial" w:hAnsi="Arial" w:eastAsia="宋体" w:cs="Arial"/>
                <w:color w:val="000000"/>
                <w:sz w:val="16"/>
                <w:szCs w:val="16"/>
              </w:rPr>
              <w:t>Distance to the nearest chess &amp; card room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0CF74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16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85655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7A630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CA76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16</w:t>
            </w:r>
          </w:p>
        </w:tc>
      </w:tr>
      <w:tr w14:paraId="47ABB0BA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7B9B3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55F08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15201D">
            <w:pPr>
              <w:spacing w:after="0" w:line="240" w:lineRule="exact"/>
              <w:rPr>
                <w:rFonts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Arial" w:hAnsi="Arial" w:eastAsia="宋体" w:cs="Arial"/>
                <w:color w:val="000000"/>
                <w:sz w:val="16"/>
                <w:szCs w:val="16"/>
              </w:rPr>
              <w:t>Number of recreational facilities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C74FB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2AC48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06BB9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8FB85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</w:tr>
      <w:tr w14:paraId="795F5ABB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81578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D1590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718CEB4">
            <w:pPr>
              <w:spacing w:after="0" w:line="240" w:lineRule="exact"/>
              <w:rPr>
                <w:rFonts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Arial" w:hAnsi="Arial" w:eastAsia="宋体" w:cs="Arial"/>
                <w:color w:val="000000"/>
                <w:sz w:val="16"/>
                <w:szCs w:val="16"/>
              </w:rPr>
              <w:t>Accessibility to retail facilities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E397B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B8D97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65536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12960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</w:tr>
      <w:tr w14:paraId="2303F8D4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67AC1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BFC4F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775474E">
            <w:pPr>
              <w:spacing w:after="0" w:line="240" w:lineRule="exact"/>
              <w:rPr>
                <w:rFonts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Arial" w:hAnsi="Arial" w:eastAsia="宋体" w:cs="Arial"/>
                <w:color w:val="000000"/>
                <w:sz w:val="16"/>
                <w:szCs w:val="16"/>
              </w:rPr>
              <w:t>Distance to the nearest commercial center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9E0A1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ECC6E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89674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A9C8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</w:tr>
      <w:tr w14:paraId="6D819211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785CE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7603B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Distance to Transit</w:t>
            </w: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6E460">
            <w:pPr>
              <w:spacing w:after="0" w:line="240" w:lineRule="exact"/>
              <w:rPr>
                <w:rFonts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宋体" w:cs="Arial"/>
                <w:color w:val="000000"/>
                <w:sz w:val="16"/>
                <w:szCs w:val="16"/>
              </w:rPr>
              <w:t>Bus stop density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0B33B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40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D5180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A90BA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16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46A0B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64</w:t>
            </w:r>
          </w:p>
        </w:tc>
      </w:tr>
      <w:tr w14:paraId="15C03E58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95860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9CB31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05236">
            <w:pPr>
              <w:spacing w:after="0" w:line="240" w:lineRule="exact"/>
              <w:rPr>
                <w:rFonts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宋体" w:cs="Arial"/>
                <w:color w:val="000000"/>
                <w:sz w:val="16"/>
                <w:szCs w:val="16"/>
              </w:rPr>
              <w:t>Number of bus stops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C644D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4D29D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B8D68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07C6B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24</w:t>
            </w:r>
          </w:p>
        </w:tc>
      </w:tr>
      <w:tr w14:paraId="29F27BBC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67166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9318F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4FF24">
            <w:pPr>
              <w:spacing w:after="0" w:line="240" w:lineRule="exact"/>
              <w:rPr>
                <w:rFonts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宋体" w:cs="Arial"/>
                <w:color w:val="000000"/>
                <w:sz w:val="16"/>
                <w:szCs w:val="16"/>
              </w:rPr>
              <w:t>Accessibility to bus stops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F9598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E2755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7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E935F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A7E24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23</w:t>
            </w:r>
          </w:p>
        </w:tc>
      </w:tr>
      <w:tr w14:paraId="1AC5D352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3A9C2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2D098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12F5D31">
            <w:pPr>
              <w:spacing w:after="0" w:line="240" w:lineRule="exact"/>
              <w:rPr>
                <w:rFonts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Arial" w:hAnsi="Arial" w:eastAsia="宋体" w:cs="Arial"/>
                <w:color w:val="000000"/>
                <w:sz w:val="16"/>
                <w:szCs w:val="16"/>
              </w:rPr>
              <w:t>Distance to the nearest bus stop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C1630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26E63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592C3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CCF82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16</w:t>
            </w:r>
          </w:p>
        </w:tc>
      </w:tr>
      <w:tr w14:paraId="407C5DE7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31C12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E6BB4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763BF8F">
            <w:pPr>
              <w:spacing w:after="0" w:line="240" w:lineRule="exact"/>
              <w:rPr>
                <w:rFonts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ascii="Arial" w:hAnsi="Arial" w:eastAsia="宋体" w:cs="Arial"/>
                <w:color w:val="000000"/>
                <w:sz w:val="16"/>
                <w:szCs w:val="16"/>
              </w:rPr>
              <w:t>Number of bike-sharing stations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4539B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BBE92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3D097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02D87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16</w:t>
            </w:r>
          </w:p>
        </w:tc>
      </w:tr>
      <w:tr w14:paraId="29714A13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C0D10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5D6DA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37200">
            <w:pPr>
              <w:spacing w:after="0" w:line="240" w:lineRule="exact"/>
              <w:rPr>
                <w:rFonts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宋体" w:cs="Arial"/>
                <w:color w:val="000000"/>
                <w:sz w:val="16"/>
                <w:szCs w:val="16"/>
              </w:rPr>
              <w:t>Bus line density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E8394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DCE92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D4BF1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D9125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</w:tr>
      <w:tr w14:paraId="233FE09E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0C0F1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54586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08A94">
            <w:pPr>
              <w:spacing w:after="0" w:line="240" w:lineRule="exact"/>
              <w:rPr>
                <w:rFonts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宋体" w:cs="Arial"/>
                <w:color w:val="000000"/>
                <w:sz w:val="16"/>
                <w:szCs w:val="16"/>
              </w:rPr>
              <w:t>Distance to the nearest railway station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471C3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88743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9A45A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AF5E3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</w:tr>
      <w:tr w14:paraId="722056DD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3DFB6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1040" w:type="dxa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71A49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DCE47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Distance to the nearest subway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C2931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23CAF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87F29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DBC2A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</w:tr>
      <w:tr w14:paraId="4BE0ADAC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2" w:type="dxa"/>
            <w:gridSpan w:val="2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F3D10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cs="Arial"/>
                <w:color w:val="000000"/>
                <w:sz w:val="16"/>
                <w:szCs w:val="16"/>
              </w:rPr>
              <w:t>Perceived factors</w:t>
            </w: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A1E79">
            <w:pPr>
              <w:spacing w:after="0" w:line="240" w:lineRule="exact"/>
              <w:jc w:val="left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Safety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614D1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63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D7715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42256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8A08B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71</w:t>
            </w:r>
          </w:p>
        </w:tc>
      </w:tr>
      <w:tr w14:paraId="156AD42F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2" w:type="dxa"/>
            <w:gridSpan w:val="2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165F7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5E31D">
            <w:pPr>
              <w:spacing w:after="0" w:line="240" w:lineRule="exact"/>
              <w:jc w:val="left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Aesthetics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88901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47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901FC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718AD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AF3C6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47</w:t>
            </w:r>
          </w:p>
        </w:tc>
      </w:tr>
      <w:tr w14:paraId="096E79CC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2" w:type="dxa"/>
            <w:gridSpan w:val="2"/>
            <w:vMerge w:val="continue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6F6F9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E5EF6">
            <w:pPr>
              <w:spacing w:after="0" w:line="240" w:lineRule="exact"/>
              <w:jc w:val="left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Nighttime lighting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90DAA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15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374BD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3F65A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758D4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15</w:t>
            </w:r>
          </w:p>
        </w:tc>
      </w:tr>
      <w:tr w14:paraId="31E7B4FA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2" w:type="dxa"/>
            <w:gridSpan w:val="2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A0D60">
            <w:pPr>
              <w:spacing w:after="0" w:line="240" w:lineRule="exact"/>
              <w:rPr>
                <w:rFonts w:hint="eastAsia" w:ascii="Arial" w:hAnsi="Arial" w:eastAsia="宋体" w:cs="Arial"/>
                <w:color w:val="000000"/>
                <w:sz w:val="16"/>
                <w:szCs w:val="16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412A1">
            <w:pPr>
              <w:spacing w:after="0" w:line="240" w:lineRule="exact"/>
              <w:jc w:val="left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Natural landscape comfort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EC095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C6E2C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D0B7E">
            <w:pPr>
              <w:spacing w:after="0" w:line="240" w:lineRule="exact"/>
              <w:jc w:val="center"/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E171F">
            <w:pPr>
              <w:spacing w:after="0" w:line="240" w:lineRule="exact"/>
              <w:jc w:val="center"/>
              <w:rPr>
                <w:rFonts w:hint="default" w:ascii="Arial" w:hAnsi="Arial" w:eastAsia="宋体" w:cs="Arial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z w:val="16"/>
                <w:szCs w:val="16"/>
                <w:lang w:val="en-US" w:eastAsia="zh-CN"/>
              </w:rPr>
              <w:t>8</w:t>
            </w:r>
          </w:p>
        </w:tc>
      </w:tr>
    </w:tbl>
    <w:p w14:paraId="40D48B6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A99"/>
    <w:rsid w:val="0071288E"/>
    <w:rsid w:val="00C02A99"/>
    <w:rsid w:val="00F16E3D"/>
    <w:rsid w:val="073D5B06"/>
    <w:rsid w:val="2DCB66B1"/>
    <w:rsid w:val="6D5C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Subtitle"/>
    <w:basedOn w:val="1"/>
    <w:next w:val="1"/>
    <w:link w:val="30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9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uiPriority w:val="22"/>
    <w:rPr>
      <w:b/>
    </w:rPr>
  </w:style>
  <w:style w:type="character" w:customStyle="1" w:styleId="20">
    <w:name w:val="标题 1 字符"/>
    <w:basedOn w:val="18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1">
    <w:name w:val="标题 2 字符"/>
    <w:basedOn w:val="18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2">
    <w:name w:val="标题 3 字符"/>
    <w:basedOn w:val="18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3">
    <w:name w:val="标题 4 字符"/>
    <w:basedOn w:val="18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4">
    <w:name w:val="标题 5 字符"/>
    <w:basedOn w:val="18"/>
    <w:link w:val="6"/>
    <w:semiHidden/>
    <w:uiPriority w:val="9"/>
    <w:rPr>
      <w:rFonts w:cstheme="majorBidi"/>
      <w:color w:val="2F5597" w:themeColor="accent1" w:themeShade="BF"/>
      <w:sz w:val="24"/>
    </w:rPr>
  </w:style>
  <w:style w:type="character" w:customStyle="1" w:styleId="25">
    <w:name w:val="标题 6 字符"/>
    <w:basedOn w:val="18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6">
    <w:name w:val="标题 7 字符"/>
    <w:basedOn w:val="18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8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8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8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8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8"/>
    <w:link w:val="31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8"/>
    <w:qFormat/>
    <w:uiPriority w:val="21"/>
    <w:rPr>
      <w:i/>
      <w:iCs/>
      <w:color w:val="2F5597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6">
    <w:name w:val="明显引用 字符"/>
    <w:basedOn w:val="18"/>
    <w:link w:val="35"/>
    <w:uiPriority w:val="30"/>
    <w:rPr>
      <w:i/>
      <w:iCs/>
      <w:color w:val="2F5597" w:themeColor="accent1" w:themeShade="BF"/>
    </w:rPr>
  </w:style>
  <w:style w:type="character" w:customStyle="1" w:styleId="37">
    <w:name w:val="Intense Reference"/>
    <w:basedOn w:val="18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400</Words>
  <Characters>1653</Characters>
  <Lines>561</Lines>
  <Paragraphs>582</Paragraphs>
  <TotalTime>0</TotalTime>
  <ScaleCrop>false</ScaleCrop>
  <LinksUpToDate>false</LinksUpToDate>
  <CharactersWithSpaces>1790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2025-09-15T05:26:00Z</dcterms:created>
  <dc:creator>浚航 樊</dc:creator>
  <cp:lastModifiedBy>大木</cp:lastModifiedBy>
  <dcterms:modified xsi:type="dcterms:W3CDTF">2025-09-26T16:15:01Z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eyJoZGlkIjoiNmRmYjBiNjc3OGJhZTVkZDA2MmJjZjcyODk1MzAzZmQiLCJ1c2VySWQiOiIzNjQwODY4MzcifQ==</vt:lpwstr>
  </property>
  <property fmtid="{D5CDD505-2E9C-101B-9397-08002B2CF9AE}" pid="3" name="KSOProductBuildVer">
    <vt:lpwstr>2052-12.1.0.21915</vt:lpwstr>
  </property>
  <property fmtid="{D5CDD505-2E9C-101B-9397-08002B2CF9AE}" pid="4" name="ICV">
    <vt:lpwstr>273DE5AF139A4D23903090D525339FA6_13</vt:lpwstr>
  </property>
</Properties>
</file>