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C9C35">
      <w:pPr>
        <w:pStyle w:val="2"/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Title page</w:t>
      </w:r>
    </w:p>
    <w:p w14:paraId="07ECB26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HPV vaccine knowledge gaps and vaccination intent: A cross-sectional study of vocational students in Southern Xinjiang of China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in 2023</w:t>
      </w:r>
    </w:p>
    <w:p w14:paraId="1E8439E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51AD7C9A">
      <w:pPr>
        <w:spacing w:line="36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Guligeina Abudurexiti</w:t>
      </w:r>
      <w:r>
        <w:rPr>
          <w:rFonts w:ascii="Times New Roman" w:hAnsi="Times New Roman" w:cs="Times New Roman"/>
          <w:bCs/>
          <w:sz w:val="24"/>
          <w:vertAlign w:val="superscript"/>
        </w:rPr>
        <w:t>1,2#</w:t>
      </w:r>
      <w:r>
        <w:rPr>
          <w:rFonts w:ascii="Times New Roman" w:hAnsi="Times New Roman" w:cs="Times New Roman"/>
          <w:bCs/>
          <w:sz w:val="24"/>
        </w:rPr>
        <w:t>, Kadeliya Muhetaer</w:t>
      </w:r>
      <w:r>
        <w:rPr>
          <w:rFonts w:ascii="Times New Roman" w:hAnsi="Times New Roman" w:cs="Times New Roman"/>
          <w:bCs/>
          <w:sz w:val="24"/>
          <w:vertAlign w:val="superscript"/>
        </w:rPr>
        <w:t>1,2#</w:t>
      </w:r>
      <w:r>
        <w:rPr>
          <w:rFonts w:ascii="Times New Roman" w:hAnsi="Times New Roman" w:cs="Times New Roman"/>
          <w:bCs/>
          <w:sz w:val="24"/>
        </w:rPr>
        <w:t>, Jing Yang</w:t>
      </w:r>
      <w:r>
        <w:rPr>
          <w:rFonts w:ascii="Times New Roman" w:hAnsi="Times New Roman" w:cs="Times New Roman"/>
          <w:bCs/>
          <w:sz w:val="24"/>
          <w:vertAlign w:val="superscript"/>
        </w:rPr>
        <w:t>1,2</w:t>
      </w:r>
      <w:r>
        <w:rPr>
          <w:rFonts w:ascii="Times New Roman" w:hAnsi="Times New Roman" w:cs="Times New Roman"/>
          <w:bCs/>
          <w:sz w:val="24"/>
        </w:rPr>
        <w:t>, Qian Zhuo</w:t>
      </w:r>
      <w:r>
        <w:rPr>
          <w:rFonts w:ascii="Times New Roman" w:hAnsi="Times New Roman" w:cs="Times New Roman"/>
          <w:bCs/>
          <w:sz w:val="24"/>
          <w:vertAlign w:val="superscript"/>
        </w:rPr>
        <w:t>1,2</w:t>
      </w:r>
      <w:r>
        <w:rPr>
          <w:rFonts w:ascii="Times New Roman" w:hAnsi="Times New Roman" w:cs="Times New Roman"/>
          <w:bCs/>
          <w:sz w:val="24"/>
        </w:rPr>
        <w:t>, Tingting Qi</w:t>
      </w:r>
      <w:r>
        <w:rPr>
          <w:rFonts w:ascii="Times New Roman" w:hAnsi="Times New Roman" w:cs="Times New Roman"/>
          <w:bCs/>
          <w:sz w:val="24"/>
          <w:vertAlign w:val="superscript"/>
        </w:rPr>
        <w:t>1,2</w:t>
      </w:r>
      <w:r>
        <w:rPr>
          <w:rFonts w:ascii="Times New Roman" w:hAnsi="Times New Roman" w:cs="Times New Roman"/>
          <w:bCs/>
          <w:sz w:val="24"/>
        </w:rPr>
        <w:t>, Zikereya Saimi</w:t>
      </w:r>
      <w:r>
        <w:rPr>
          <w:rFonts w:ascii="Times New Roman" w:hAnsi="Times New Roman" w:cs="Times New Roman"/>
          <w:bCs/>
          <w:sz w:val="24"/>
          <w:vertAlign w:val="superscript"/>
        </w:rPr>
        <w:t>3</w:t>
      </w:r>
      <w:r>
        <w:rPr>
          <w:rFonts w:ascii="Times New Roman" w:hAnsi="Times New Roman" w:cs="Times New Roman"/>
          <w:bCs/>
          <w:sz w:val="24"/>
        </w:rPr>
        <w:t>, Yumei Ouyang</w:t>
      </w:r>
      <w:r>
        <w:rPr>
          <w:rFonts w:ascii="Times New Roman" w:hAnsi="Times New Roman" w:cs="Times New Roman"/>
          <w:bCs/>
          <w:sz w:val="24"/>
          <w:vertAlign w:val="superscript"/>
        </w:rPr>
        <w:t>1</w:t>
      </w:r>
      <w:r>
        <w:rPr>
          <w:rFonts w:ascii="Times New Roman" w:hAnsi="Times New Roman" w:cs="Times New Roman"/>
          <w:bCs/>
          <w:sz w:val="24"/>
        </w:rPr>
        <w:t>, Huilin Yu</w:t>
      </w:r>
      <w:r>
        <w:rPr>
          <w:rFonts w:ascii="Times New Roman" w:hAnsi="Times New Roman" w:cs="Times New Roman"/>
          <w:bCs/>
          <w:sz w:val="24"/>
          <w:vertAlign w:val="superscript"/>
        </w:rPr>
        <w:t>1</w:t>
      </w:r>
      <w:r>
        <w:rPr>
          <w:rFonts w:ascii="Times New Roman" w:hAnsi="Times New Roman" w:cs="Times New Roman"/>
          <w:bCs/>
          <w:sz w:val="24"/>
        </w:rPr>
        <w:t>, Paizilaiti Yilamujiang</w:t>
      </w:r>
      <w:r>
        <w:rPr>
          <w:rFonts w:ascii="Times New Roman" w:hAnsi="Times New Roman" w:cs="Times New Roman"/>
          <w:bCs/>
          <w:sz w:val="24"/>
          <w:vertAlign w:val="superscript"/>
        </w:rPr>
        <w:t>1</w:t>
      </w:r>
      <w:r>
        <w:rPr>
          <w:rFonts w:ascii="Times New Roman" w:hAnsi="Times New Roman" w:cs="Times New Roman"/>
          <w:bCs/>
          <w:sz w:val="24"/>
        </w:rPr>
        <w:t>, Nafeisha Adili</w:t>
      </w:r>
      <w:r>
        <w:rPr>
          <w:rFonts w:ascii="Times New Roman" w:hAnsi="Times New Roman" w:cs="Times New Roman"/>
          <w:bCs/>
          <w:sz w:val="24"/>
          <w:vertAlign w:val="superscript"/>
        </w:rPr>
        <w:t>1</w:t>
      </w:r>
      <w:r>
        <w:rPr>
          <w:rFonts w:ascii="Times New Roman" w:hAnsi="Times New Roman" w:cs="Times New Roman"/>
          <w:bCs/>
          <w:sz w:val="24"/>
        </w:rPr>
        <w:t>, Nigeerayi Nuermaimaiti</w:t>
      </w:r>
      <w:r>
        <w:rPr>
          <w:rFonts w:ascii="Times New Roman" w:hAnsi="Times New Roman" w:cs="Times New Roman"/>
          <w:bCs/>
          <w:sz w:val="24"/>
          <w:vertAlign w:val="superscript"/>
        </w:rPr>
        <w:t>1</w:t>
      </w:r>
      <w:r>
        <w:rPr>
          <w:rFonts w:ascii="Times New Roman" w:hAnsi="Times New Roman" w:cs="Times New Roman"/>
          <w:bCs/>
          <w:sz w:val="24"/>
        </w:rPr>
        <w:t xml:space="preserve">, and Guzhalinuer Abulizi </w:t>
      </w:r>
      <w:r>
        <w:rPr>
          <w:rFonts w:ascii="Times New Roman" w:hAnsi="Times New Roman" w:cs="Times New Roman"/>
          <w:bCs/>
          <w:sz w:val="24"/>
          <w:vertAlign w:val="superscript"/>
        </w:rPr>
        <w:t>1,2</w:t>
      </w:r>
      <w:r>
        <w:rPr>
          <w:rFonts w:ascii="Times New Roman" w:hAnsi="Times New Roman" w:cs="Times New Roman"/>
          <w:bCs/>
          <w:sz w:val="24"/>
        </w:rPr>
        <w:t>*, Remila Rezhake</w:t>
      </w:r>
      <w:r>
        <w:rPr>
          <w:rFonts w:ascii="Times New Roman" w:hAnsi="Times New Roman" w:cs="Times New Roman"/>
          <w:bCs/>
          <w:sz w:val="24"/>
          <w:vertAlign w:val="superscript"/>
        </w:rPr>
        <w:t>1,4</w:t>
      </w:r>
      <w:r>
        <w:rPr>
          <w:rFonts w:ascii="Times New Roman" w:hAnsi="Times New Roman" w:cs="Times New Roman"/>
          <w:bCs/>
          <w:sz w:val="24"/>
        </w:rPr>
        <w:t>*</w:t>
      </w:r>
    </w:p>
    <w:p w14:paraId="0791F033">
      <w:pPr>
        <w:spacing w:line="360" w:lineRule="auto"/>
        <w:rPr>
          <w:rFonts w:ascii="Times New Roman" w:hAnsi="Times New Roman" w:cs="Times New Roman"/>
          <w:bCs/>
          <w:sz w:val="24"/>
        </w:rPr>
      </w:pPr>
    </w:p>
    <w:p w14:paraId="04B8764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Gynecological oncology center, Affiliated Cancer Hospital of Xinjiang Medical University, Urumqi, 830000, China</w:t>
      </w:r>
    </w:p>
    <w:p w14:paraId="339D1EB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Xinjiang Key Laboratory of Oncology, Affiliated Cancer Hospital of Xinjiang Medical University, Urumqi, 830000, China</w:t>
      </w:r>
    </w:p>
    <w:p w14:paraId="2DAF0A93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School of Public Health, Xinjiang Medical University, Urumqi, 830000, China</w:t>
      </w:r>
    </w:p>
    <w:p w14:paraId="2F356B91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Key Laboratory of Medical Innovation Research and biomedical Transformation, Affiliated Cancer Hospital of Xinjiang Medical University, Urumqi, 830000, China</w:t>
      </w:r>
    </w:p>
    <w:p w14:paraId="2F6C5C10">
      <w:pPr>
        <w:spacing w:line="36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# Co-first authors</w:t>
      </w:r>
    </w:p>
    <w:p w14:paraId="6B14A91A">
      <w:pPr>
        <w:spacing w:line="36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*Co-corresponding authors</w:t>
      </w:r>
    </w:p>
    <w:p w14:paraId="12A83BBD">
      <w:pPr>
        <w:spacing w:line="360" w:lineRule="auto"/>
        <w:rPr>
          <w:rFonts w:ascii="Times New Roman" w:hAnsi="Times New Roman" w:cs="Times New Roman"/>
          <w:bCs/>
          <w:sz w:val="24"/>
        </w:rPr>
      </w:pPr>
    </w:p>
    <w:p w14:paraId="5B088DB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Corresponding authors:</w:t>
      </w:r>
    </w:p>
    <w:p w14:paraId="723166F7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Prof. </w:t>
      </w:r>
      <w:r>
        <w:rPr>
          <w:rFonts w:ascii="Times New Roman" w:hAnsi="Times New Roman" w:cs="Times New Roman"/>
          <w:bCs/>
          <w:sz w:val="24"/>
        </w:rPr>
        <w:t>Guzhalinuer Abulizi</w:t>
      </w:r>
      <w:r>
        <w:rPr>
          <w:rFonts w:ascii="Times New Roman" w:hAnsi="Times New Roman" w:cs="Times New Roman"/>
          <w:sz w:val="24"/>
        </w:rPr>
        <w:t xml:space="preserve">, Affiliated Cancer Hospital of Xinjiang Medical University 789 Suzhou East Street, Xinshiqu District, Urumqi, 830000, China; Phone: +86-0991-7819262; Fax: +86-0991-7819262; Email: </w:t>
      </w:r>
      <w:r>
        <w:fldChar w:fldCharType="begin"/>
      </w:r>
      <w:r>
        <w:instrText xml:space="preserve"> HYPERLINK "mailto:ramila513@126.com" </w:instrText>
      </w:r>
      <w:r>
        <w:fldChar w:fldCharType="separate"/>
      </w:r>
      <w:r>
        <w:rPr>
          <w:rStyle w:val="7"/>
          <w:rFonts w:ascii="Times New Roman" w:hAnsi="Times New Roman" w:cs="Times New Roman"/>
          <w:color w:val="auto"/>
          <w:sz w:val="24"/>
        </w:rPr>
        <w:t>gzlnr@qq.com</w:t>
      </w:r>
      <w:r>
        <w:rPr>
          <w:rStyle w:val="7"/>
          <w:rFonts w:ascii="Times New Roman" w:hAnsi="Times New Roman" w:cs="Times New Roman"/>
          <w:color w:val="auto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 xml:space="preserve">; </w:t>
      </w:r>
      <w:r>
        <w:fldChar w:fldCharType="begin"/>
      </w:r>
      <w:r>
        <w:instrText xml:space="preserve"> HYPERLINK "mailto:%20Remila@xjmu.edu.cn" </w:instrText>
      </w:r>
      <w:r>
        <w:fldChar w:fldCharType="separate"/>
      </w:r>
      <w:r>
        <w:rPr>
          <w:rStyle w:val="7"/>
          <w:rFonts w:ascii="Times New Roman" w:hAnsi="Times New Roman" w:cs="Times New Roman"/>
          <w:color w:val="auto"/>
          <w:sz w:val="24"/>
        </w:rPr>
        <w:t>00157@xjmu.edu.cn</w:t>
      </w:r>
      <w:r>
        <w:rPr>
          <w:rStyle w:val="7"/>
          <w:rFonts w:ascii="Times New Roman" w:hAnsi="Times New Roman" w:cs="Times New Roman"/>
          <w:color w:val="auto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 xml:space="preserve"> </w:t>
      </w:r>
    </w:p>
    <w:p w14:paraId="6C48087D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Prof. Remila Rezhake, Affiliated Cancer Hospital of Xinjiang Medical University 789 Suzhou East Street, Xinshiqu District, Urumqi, 830000, China; Phone: +86-0991-7589491; Fax: +86-0991-7589491; Email: </w:t>
      </w:r>
      <w:r>
        <w:fldChar w:fldCharType="begin"/>
      </w:r>
      <w:r>
        <w:instrText xml:space="preserve"> HYPERLINK "mailto:ramila513@126.com" </w:instrText>
      </w:r>
      <w:r>
        <w:fldChar w:fldCharType="separate"/>
      </w:r>
      <w:r>
        <w:rPr>
          <w:rStyle w:val="7"/>
          <w:rFonts w:ascii="Times New Roman" w:hAnsi="Times New Roman" w:cs="Times New Roman"/>
          <w:color w:val="auto"/>
          <w:sz w:val="24"/>
        </w:rPr>
        <w:t>ramila513@126.com</w:t>
      </w:r>
      <w:r>
        <w:rPr>
          <w:rStyle w:val="7"/>
          <w:rFonts w:ascii="Times New Roman" w:hAnsi="Times New Roman" w:cs="Times New Roman"/>
          <w:color w:val="auto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 xml:space="preserve">; </w:t>
      </w:r>
      <w:r>
        <w:fldChar w:fldCharType="begin"/>
      </w:r>
      <w:r>
        <w:instrText xml:space="preserve"> HYPERLINK "mailto:%20Remila@xjmu.edu.cn" </w:instrText>
      </w:r>
      <w:r>
        <w:fldChar w:fldCharType="separate"/>
      </w:r>
      <w:r>
        <w:rPr>
          <w:rStyle w:val="7"/>
          <w:rFonts w:ascii="Times New Roman" w:hAnsi="Times New Roman" w:cs="Times New Roman"/>
          <w:color w:val="auto"/>
          <w:sz w:val="24"/>
        </w:rPr>
        <w:t>Remila@xjmu.edu.cn</w:t>
      </w:r>
      <w:r>
        <w:rPr>
          <w:rStyle w:val="7"/>
          <w:rFonts w:ascii="Times New Roman" w:hAnsi="Times New Roman" w:cs="Times New Roman"/>
          <w:color w:val="auto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 xml:space="preserve"> </w:t>
      </w:r>
    </w:p>
    <w:p w14:paraId="281A13F3">
      <w:pPr>
        <w:jc w:val="center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bookmarkStart w:id="0" w:name="_GoBack"/>
      <w:bookmarkEnd w:id="0"/>
    </w:p>
    <w:p w14:paraId="39430E61">
      <w:pPr>
        <w:jc w:val="center"/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Sup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Table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. Attitudes Toward HPV Vaccination Among Medical and Non-Medical Students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i/>
          <w:iCs/>
          <w:sz w:val="20"/>
          <w:szCs w:val="20"/>
          <w:lang w:eastAsia="zh-CN"/>
        </w:rPr>
        <w:t>(Results compare YES responses for each attitude question)</w:t>
      </w:r>
    </w:p>
    <w:tbl>
      <w:tblPr>
        <w:tblStyle w:val="3"/>
        <w:tblpPr w:leftFromText="180" w:rightFromText="180" w:vertAnchor="page" w:horzAnchor="page" w:tblpX="1070" w:tblpY="2257"/>
        <w:tblOverlap w:val="never"/>
        <w:tblW w:w="1020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2"/>
        <w:gridCol w:w="1090"/>
        <w:gridCol w:w="1138"/>
        <w:gridCol w:w="1176"/>
        <w:gridCol w:w="1212"/>
        <w:gridCol w:w="1065"/>
        <w:gridCol w:w="1041"/>
        <w:gridCol w:w="662"/>
        <w:gridCol w:w="510"/>
      </w:tblGrid>
      <w:tr w14:paraId="0E06E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2312" w:type="dxa"/>
            <w:vMerge w:val="restart"/>
            <w:tcBorders>
              <w:top w:val="single" w:color="4874CB" w:themeColor="accent1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2BC65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i w:val="0"/>
                <w:iCs w:val="0"/>
                <w:color w:val="4874CB" w:themeColor="accent1"/>
                <w:sz w:val="16"/>
                <w:szCs w:val="16"/>
                <w:u w:val="none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Question-Attitude</w:t>
            </w:r>
          </w:p>
        </w:tc>
        <w:tc>
          <w:tcPr>
            <w:tcW w:w="3404" w:type="dxa"/>
            <w:gridSpan w:val="3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340A9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i w:val="0"/>
                <w:iCs w:val="0"/>
                <w:color w:val="4874CB" w:themeColor="accent1"/>
                <w:sz w:val="16"/>
                <w:szCs w:val="16"/>
                <w:u w:val="none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Medical Group</w:t>
            </w:r>
          </w:p>
        </w:tc>
        <w:tc>
          <w:tcPr>
            <w:tcW w:w="3318" w:type="dxa"/>
            <w:gridSpan w:val="3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3F991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Non-Medical Group</w:t>
            </w:r>
          </w:p>
        </w:tc>
        <w:tc>
          <w:tcPr>
            <w:tcW w:w="1172" w:type="dxa"/>
            <w:gridSpan w:val="2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51789F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Result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s</w:t>
            </w:r>
          </w:p>
        </w:tc>
      </w:tr>
      <w:tr w14:paraId="65763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2312" w:type="dxa"/>
            <w:vMerge w:val="continue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49313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9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6249B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Yes</w:t>
            </w:r>
          </w:p>
        </w:tc>
        <w:tc>
          <w:tcPr>
            <w:tcW w:w="113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2F5F3B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Not_Sure</w:t>
            </w:r>
          </w:p>
        </w:tc>
        <w:tc>
          <w:tcPr>
            <w:tcW w:w="117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00C15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No</w:t>
            </w:r>
          </w:p>
        </w:tc>
        <w:tc>
          <w:tcPr>
            <w:tcW w:w="121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71029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Yes</w:t>
            </w:r>
          </w:p>
        </w:tc>
        <w:tc>
          <w:tcPr>
            <w:tcW w:w="1065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01B21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Not_Sure</w:t>
            </w:r>
          </w:p>
        </w:tc>
        <w:tc>
          <w:tcPr>
            <w:tcW w:w="104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66EF9A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No</w:t>
            </w:r>
          </w:p>
        </w:tc>
        <w:tc>
          <w:tcPr>
            <w:tcW w:w="66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2FACF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χ²</w:t>
            </w:r>
          </w:p>
        </w:tc>
        <w:tc>
          <w:tcPr>
            <w:tcW w:w="51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noWrap/>
            <w:vAlign w:val="center"/>
          </w:tcPr>
          <w:p w14:paraId="3A288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4874CB" w:themeColor="accen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p</w:t>
            </w:r>
          </w:p>
        </w:tc>
      </w:tr>
      <w:tr w14:paraId="78292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2312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04797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Worried about getting HPV without vaccine</w:t>
            </w:r>
          </w:p>
        </w:tc>
        <w:tc>
          <w:tcPr>
            <w:tcW w:w="109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221D14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96 (16.7%)</w:t>
            </w:r>
          </w:p>
        </w:tc>
        <w:tc>
          <w:tcPr>
            <w:tcW w:w="113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67C34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342 (59.6%)</w:t>
            </w:r>
          </w:p>
        </w:tc>
        <w:tc>
          <w:tcPr>
            <w:tcW w:w="117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64E36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136 (23.7%)</w:t>
            </w:r>
          </w:p>
        </w:tc>
        <w:tc>
          <w:tcPr>
            <w:tcW w:w="121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1B6AE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84 (14.4%)</w:t>
            </w:r>
          </w:p>
        </w:tc>
        <w:tc>
          <w:tcPr>
            <w:tcW w:w="1065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1D1BF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370 (63.5%)</w:t>
            </w:r>
          </w:p>
        </w:tc>
        <w:tc>
          <w:tcPr>
            <w:tcW w:w="104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56A3CD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129 (22.1%)</w:t>
            </w:r>
          </w:p>
        </w:tc>
        <w:tc>
          <w:tcPr>
            <w:tcW w:w="66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011800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2.02 </w:t>
            </w:r>
          </w:p>
        </w:tc>
        <w:tc>
          <w:tcPr>
            <w:tcW w:w="51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EDF1F9" w:themeFill="accent1" w:themeFillTint="19"/>
            <w:noWrap/>
            <w:vAlign w:val="center"/>
          </w:tcPr>
          <w:p w14:paraId="0E4F9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0.36 </w:t>
            </w:r>
          </w:p>
        </w:tc>
      </w:tr>
      <w:tr w14:paraId="37BD8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2312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7DE48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Believe vaccine prevents cancer</w:t>
            </w:r>
          </w:p>
        </w:tc>
        <w:tc>
          <w:tcPr>
            <w:tcW w:w="109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0D139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155 (27%)</w:t>
            </w:r>
          </w:p>
        </w:tc>
        <w:tc>
          <w:tcPr>
            <w:tcW w:w="113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14D234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335 (58.4%)</w:t>
            </w:r>
          </w:p>
        </w:tc>
        <w:tc>
          <w:tcPr>
            <w:tcW w:w="117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11AFD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84 (14.6%)</w:t>
            </w:r>
          </w:p>
        </w:tc>
        <w:tc>
          <w:tcPr>
            <w:tcW w:w="121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73672B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 (21.6%)</w:t>
            </w:r>
          </w:p>
        </w:tc>
        <w:tc>
          <w:tcPr>
            <w:tcW w:w="1065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7D96D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354 (60.7%)</w:t>
            </w:r>
          </w:p>
        </w:tc>
        <w:tc>
          <w:tcPr>
            <w:tcW w:w="104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54B3E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103 (17.7%)</w:t>
            </w:r>
          </w:p>
        </w:tc>
        <w:tc>
          <w:tcPr>
            <w:tcW w:w="66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4FD11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5.38 </w:t>
            </w:r>
          </w:p>
        </w:tc>
        <w:tc>
          <w:tcPr>
            <w:tcW w:w="51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noWrap/>
            <w:vAlign w:val="center"/>
          </w:tcPr>
          <w:p w14:paraId="57A1C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0.07 </w:t>
            </w:r>
          </w:p>
        </w:tc>
      </w:tr>
      <w:tr w14:paraId="4CBBA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2312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11D43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Think vaccine benefits me</w:t>
            </w:r>
          </w:p>
        </w:tc>
        <w:tc>
          <w:tcPr>
            <w:tcW w:w="109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13173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136 (23.7%)</w:t>
            </w:r>
          </w:p>
        </w:tc>
        <w:tc>
          <w:tcPr>
            <w:tcW w:w="113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6F841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332 (57.8%)</w:t>
            </w:r>
          </w:p>
        </w:tc>
        <w:tc>
          <w:tcPr>
            <w:tcW w:w="117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3D852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106 (18.5%)</w:t>
            </w:r>
          </w:p>
        </w:tc>
        <w:tc>
          <w:tcPr>
            <w:tcW w:w="121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097E4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150 (25.7%)</w:t>
            </w:r>
          </w:p>
        </w:tc>
        <w:tc>
          <w:tcPr>
            <w:tcW w:w="1065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675A25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315 (54%)</w:t>
            </w:r>
          </w:p>
        </w:tc>
        <w:tc>
          <w:tcPr>
            <w:tcW w:w="104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35D9B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118 (20.2%)</w:t>
            </w:r>
          </w:p>
        </w:tc>
        <w:tc>
          <w:tcPr>
            <w:tcW w:w="66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3CE30A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1.71 </w:t>
            </w:r>
          </w:p>
        </w:tc>
        <w:tc>
          <w:tcPr>
            <w:tcW w:w="51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EDF1F9" w:themeFill="accent1" w:themeFillTint="19"/>
            <w:noWrap/>
            <w:vAlign w:val="center"/>
          </w:tcPr>
          <w:p w14:paraId="18344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0.43 </w:t>
            </w:r>
          </w:p>
        </w:tc>
      </w:tr>
      <w:tr w14:paraId="13046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2312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62240A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Can afford vaccine</w:t>
            </w:r>
          </w:p>
        </w:tc>
        <w:tc>
          <w:tcPr>
            <w:tcW w:w="109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6A80F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 (12.5%)</w:t>
            </w:r>
          </w:p>
        </w:tc>
        <w:tc>
          <w:tcPr>
            <w:tcW w:w="113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0266AC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324 (56.4%)</w:t>
            </w:r>
          </w:p>
        </w:tc>
        <w:tc>
          <w:tcPr>
            <w:tcW w:w="117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7CF87F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178 (31%)</w:t>
            </w:r>
          </w:p>
        </w:tc>
        <w:tc>
          <w:tcPr>
            <w:tcW w:w="121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3A36D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 (15.3%)</w:t>
            </w:r>
          </w:p>
        </w:tc>
        <w:tc>
          <w:tcPr>
            <w:tcW w:w="1065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1563D1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348 (59.7%)</w:t>
            </w:r>
          </w:p>
        </w:tc>
        <w:tc>
          <w:tcPr>
            <w:tcW w:w="104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48A1A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146 (25%)</w:t>
            </w:r>
          </w:p>
        </w:tc>
        <w:tc>
          <w:tcPr>
            <w:tcW w:w="66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517CD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5.74 </w:t>
            </w:r>
          </w:p>
        </w:tc>
        <w:tc>
          <w:tcPr>
            <w:tcW w:w="51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noWrap/>
            <w:vAlign w:val="center"/>
          </w:tcPr>
          <w:p w14:paraId="047B5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0.06 </w:t>
            </w:r>
          </w:p>
        </w:tc>
      </w:tr>
      <w:tr w14:paraId="03FCC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2312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6A505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Can find how to get vaccine</w:t>
            </w:r>
          </w:p>
        </w:tc>
        <w:tc>
          <w:tcPr>
            <w:tcW w:w="109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5BA3A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108 (18.8%)</w:t>
            </w:r>
          </w:p>
        </w:tc>
        <w:tc>
          <w:tcPr>
            <w:tcW w:w="113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4F0C01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319 (55.6%)</w:t>
            </w:r>
          </w:p>
        </w:tc>
        <w:tc>
          <w:tcPr>
            <w:tcW w:w="117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3FAEA8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147 (25.6%)</w:t>
            </w:r>
          </w:p>
        </w:tc>
        <w:tc>
          <w:tcPr>
            <w:tcW w:w="121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059D6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133 (22.8%)</w:t>
            </w:r>
          </w:p>
        </w:tc>
        <w:tc>
          <w:tcPr>
            <w:tcW w:w="1065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3A22B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329 (56.4%)</w:t>
            </w:r>
          </w:p>
        </w:tc>
        <w:tc>
          <w:tcPr>
            <w:tcW w:w="104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5760B5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121 (20.8%)</w:t>
            </w:r>
          </w:p>
        </w:tc>
        <w:tc>
          <w:tcPr>
            <w:tcW w:w="66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56DAEE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51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EDF1F9" w:themeFill="accent1" w:themeFillTint="19"/>
            <w:noWrap/>
            <w:vAlign w:val="center"/>
          </w:tcPr>
          <w:p w14:paraId="54857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0.07 </w:t>
            </w:r>
          </w:p>
        </w:tc>
      </w:tr>
      <w:tr w14:paraId="42793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2312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516BB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Parents would agree</w:t>
            </w:r>
          </w:p>
        </w:tc>
        <w:tc>
          <w:tcPr>
            <w:tcW w:w="109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0C0CC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166 (28.9%)</w:t>
            </w:r>
          </w:p>
        </w:tc>
        <w:tc>
          <w:tcPr>
            <w:tcW w:w="113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467AE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318 (55.4%)</w:t>
            </w:r>
          </w:p>
        </w:tc>
        <w:tc>
          <w:tcPr>
            <w:tcW w:w="117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5F078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 (15.7%)</w:t>
            </w:r>
          </w:p>
        </w:tc>
        <w:tc>
          <w:tcPr>
            <w:tcW w:w="121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66703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148 (25.4%)</w:t>
            </w:r>
          </w:p>
        </w:tc>
        <w:tc>
          <w:tcPr>
            <w:tcW w:w="1065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50203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323 (55.4%)</w:t>
            </w:r>
          </w:p>
        </w:tc>
        <w:tc>
          <w:tcPr>
            <w:tcW w:w="104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6747D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112 (19.2%)</w:t>
            </w:r>
          </w:p>
        </w:tc>
        <w:tc>
          <w:tcPr>
            <w:tcW w:w="66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37C91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3.40 </w:t>
            </w:r>
          </w:p>
        </w:tc>
        <w:tc>
          <w:tcPr>
            <w:tcW w:w="51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noWrap/>
            <w:vAlign w:val="center"/>
          </w:tcPr>
          <w:p w14:paraId="7E082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0.18 </w:t>
            </w:r>
          </w:p>
        </w:tc>
      </w:tr>
      <w:tr w14:paraId="1711D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2312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3CC7B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Believe in safety/effectiveness</w:t>
            </w:r>
          </w:p>
        </w:tc>
        <w:tc>
          <w:tcPr>
            <w:tcW w:w="109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62A8A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203 (35.4%)</w:t>
            </w:r>
          </w:p>
        </w:tc>
        <w:tc>
          <w:tcPr>
            <w:tcW w:w="113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37799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290 (50.5%)</w:t>
            </w:r>
          </w:p>
        </w:tc>
        <w:tc>
          <w:tcPr>
            <w:tcW w:w="117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5D087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 (14.1%)</w:t>
            </w:r>
          </w:p>
        </w:tc>
        <w:tc>
          <w:tcPr>
            <w:tcW w:w="121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22B3A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166 (28.5%)</w:t>
            </w:r>
          </w:p>
        </w:tc>
        <w:tc>
          <w:tcPr>
            <w:tcW w:w="1065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71BDD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318 (54.5%)</w:t>
            </w:r>
          </w:p>
        </w:tc>
        <w:tc>
          <w:tcPr>
            <w:tcW w:w="104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70851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99 (17%)</w:t>
            </w:r>
          </w:p>
        </w:tc>
        <w:tc>
          <w:tcPr>
            <w:tcW w:w="66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2E967A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6.73 </w:t>
            </w:r>
          </w:p>
        </w:tc>
        <w:tc>
          <w:tcPr>
            <w:tcW w:w="51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EDF1F9" w:themeFill="accent1" w:themeFillTint="19"/>
            <w:noWrap/>
            <w:vAlign w:val="center"/>
          </w:tcPr>
          <w:p w14:paraId="45A0D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</w:tr>
      <w:tr w14:paraId="694BA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2312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1E4CC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Worried about infection after vaccine</w:t>
            </w:r>
          </w:p>
        </w:tc>
        <w:tc>
          <w:tcPr>
            <w:tcW w:w="109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321219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57 (9.9%)</w:t>
            </w:r>
          </w:p>
        </w:tc>
        <w:tc>
          <w:tcPr>
            <w:tcW w:w="113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2847B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371 (64.6%)</w:t>
            </w:r>
          </w:p>
        </w:tc>
        <w:tc>
          <w:tcPr>
            <w:tcW w:w="117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5CE72F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146 (25.4%)</w:t>
            </w:r>
          </w:p>
        </w:tc>
        <w:tc>
          <w:tcPr>
            <w:tcW w:w="121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2E6A4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73 (12.5%)</w:t>
            </w:r>
          </w:p>
        </w:tc>
        <w:tc>
          <w:tcPr>
            <w:tcW w:w="1065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41A2D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373 (64%)</w:t>
            </w:r>
          </w:p>
        </w:tc>
        <w:tc>
          <w:tcPr>
            <w:tcW w:w="104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714A1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137 (23.5%)</w:t>
            </w:r>
          </w:p>
        </w:tc>
        <w:tc>
          <w:tcPr>
            <w:tcW w:w="66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6F76A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2.19 </w:t>
            </w:r>
          </w:p>
        </w:tc>
        <w:tc>
          <w:tcPr>
            <w:tcW w:w="51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noWrap/>
            <w:vAlign w:val="center"/>
          </w:tcPr>
          <w:p w14:paraId="1BD49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0.33 </w:t>
            </w:r>
          </w:p>
        </w:tc>
      </w:tr>
      <w:tr w14:paraId="3942A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2312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32ACC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Worried about side effects</w:t>
            </w:r>
          </w:p>
        </w:tc>
        <w:tc>
          <w:tcPr>
            <w:tcW w:w="109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5FA4D2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 (14.1%)</w:t>
            </w:r>
          </w:p>
        </w:tc>
        <w:tc>
          <w:tcPr>
            <w:tcW w:w="113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34612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352 (61.3%)</w:t>
            </w:r>
          </w:p>
        </w:tc>
        <w:tc>
          <w:tcPr>
            <w:tcW w:w="117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5CB0D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141 (24.6%)</w:t>
            </w:r>
          </w:p>
        </w:tc>
        <w:tc>
          <w:tcPr>
            <w:tcW w:w="121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1F406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99 (17%)</w:t>
            </w:r>
          </w:p>
        </w:tc>
        <w:tc>
          <w:tcPr>
            <w:tcW w:w="1065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28786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368 (63.1%)</w:t>
            </w:r>
          </w:p>
        </w:tc>
        <w:tc>
          <w:tcPr>
            <w:tcW w:w="104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2E897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116 (19.9%)</w:t>
            </w:r>
          </w:p>
        </w:tc>
        <w:tc>
          <w:tcPr>
            <w:tcW w:w="66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noWrap/>
            <w:vAlign w:val="center"/>
          </w:tcPr>
          <w:p w14:paraId="5D0F7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4.52 </w:t>
            </w:r>
          </w:p>
        </w:tc>
        <w:tc>
          <w:tcPr>
            <w:tcW w:w="51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EDF1F9" w:themeFill="accent1" w:themeFillTint="19"/>
            <w:noWrap/>
            <w:vAlign w:val="center"/>
          </w:tcPr>
          <w:p w14:paraId="614ED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0.10 </w:t>
            </w:r>
          </w:p>
        </w:tc>
      </w:tr>
      <w:tr w14:paraId="1F1E6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2312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0C861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Think vaccination takes long time</w:t>
            </w:r>
          </w:p>
        </w:tc>
        <w:tc>
          <w:tcPr>
            <w:tcW w:w="109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1093E1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86 (15%)</w:t>
            </w:r>
          </w:p>
        </w:tc>
        <w:tc>
          <w:tcPr>
            <w:tcW w:w="1138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7215DB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381 (66.4%)</w:t>
            </w:r>
          </w:p>
        </w:tc>
        <w:tc>
          <w:tcPr>
            <w:tcW w:w="1176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4C033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107 (18.6%)</w:t>
            </w:r>
          </w:p>
        </w:tc>
        <w:tc>
          <w:tcPr>
            <w:tcW w:w="121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7D4E8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68 (11.7%)</w:t>
            </w:r>
          </w:p>
        </w:tc>
        <w:tc>
          <w:tcPr>
            <w:tcW w:w="1065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7882F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388 (66.6%)</w:t>
            </w:r>
          </w:p>
        </w:tc>
        <w:tc>
          <w:tcPr>
            <w:tcW w:w="104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6AD1C1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127 (21.8%)</w:t>
            </w:r>
          </w:p>
        </w:tc>
        <w:tc>
          <w:tcPr>
            <w:tcW w:w="66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noWrap/>
            <w:vAlign w:val="center"/>
          </w:tcPr>
          <w:p w14:paraId="5A252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3.81 </w:t>
            </w:r>
          </w:p>
        </w:tc>
        <w:tc>
          <w:tcPr>
            <w:tcW w:w="51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4874CB" w:themeColor="accent1" w:sz="6" w:space="0"/>
            </w:tcBorders>
            <w:shd w:val="clear" w:color="auto" w:fill="FFFFFF"/>
            <w:noWrap/>
            <w:vAlign w:val="center"/>
          </w:tcPr>
          <w:p w14:paraId="1D2FF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0.15 </w:t>
            </w:r>
          </w:p>
        </w:tc>
      </w:tr>
    </w:tbl>
    <w:p w14:paraId="4413EF1B">
      <w:pPr>
        <w:jc w:val="center"/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133A12"/>
    <w:multiLevelType w:val="multilevel"/>
    <w:tmpl w:val="36133A12"/>
    <w:lvl w:ilvl="0" w:tentative="0">
      <w:start w:val="1"/>
      <w:numFmt w:val="decimal"/>
      <w:lvlText w:val="%1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CA72B7"/>
    <w:rsid w:val="05D617A2"/>
    <w:rsid w:val="08896D66"/>
    <w:rsid w:val="0CAC4948"/>
    <w:rsid w:val="37CA72B7"/>
    <w:rsid w:val="6EFF39FC"/>
    <w:rsid w:val="6FEF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  <w:style w:type="character" w:styleId="7">
    <w:name w:val="Hyperlink"/>
    <w:basedOn w:val="4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381</Words>
  <Characters>2344</Characters>
  <Lines>0</Lines>
  <Paragraphs>0</Paragraphs>
  <TotalTime>0</TotalTime>
  <ScaleCrop>false</ScaleCrop>
  <LinksUpToDate>false</LinksUpToDate>
  <CharactersWithSpaces>2633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2025-09-15T16:29:00Z</dcterms:created>
  <dc:creator>Kadirya</dc:creator>
  <cp:lastModifiedBy>Kadirya</cp:lastModifiedBy>
  <dcterms:modified xsi:type="dcterms:W3CDTF">2025-09-19T14:56:21Z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86A4DCB605404EB09D8939265D2E3513_11</vt:lpwstr>
  </property>
  <property fmtid="{D5CDD505-2E9C-101B-9397-08002B2CF9AE}" pid="4" name="KSOTemplateDocerSaveRecord">
    <vt:lpwstr>eyJoZGlkIjoiMWRjMTNlNTdkNmJhNTJkNWVkYTQ3NTc2YWZlM2Q0NTAiLCJ1c2VySWQiOiI0MTcwNzQ3MzgifQ==</vt:lpwstr>
  </property>
</Properties>
</file>