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5C601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Supplementary Table 2a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.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Official and Normalized PEDro Scores with Sensitivity Analysis Results</w:t>
      </w:r>
    </w:p>
    <w:tbl>
      <w:tblPr>
        <w:tblStyle w:val="3"/>
        <w:tblW w:w="130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0"/>
        <w:gridCol w:w="2090"/>
        <w:gridCol w:w="2420"/>
        <w:gridCol w:w="2160"/>
        <w:gridCol w:w="2290"/>
        <w:gridCol w:w="1729"/>
      </w:tblGrid>
      <w:tr w14:paraId="54E6C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360" w:type="dxa"/>
            <w:vMerge w:val="restart"/>
            <w:shd w:val="clear" w:color="auto" w:fill="auto"/>
            <w:vAlign w:val="center"/>
          </w:tcPr>
          <w:p w14:paraId="0BBFB76B"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>References</w:t>
            </w:r>
          </w:p>
        </w:tc>
        <w:tc>
          <w:tcPr>
            <w:tcW w:w="4510" w:type="dxa"/>
            <w:gridSpan w:val="2"/>
            <w:vAlign w:val="center"/>
          </w:tcPr>
          <w:p w14:paraId="70E6424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</w:rPr>
              <w:t>Official</w:t>
            </w:r>
          </w:p>
        </w:tc>
        <w:tc>
          <w:tcPr>
            <w:tcW w:w="4450" w:type="dxa"/>
            <w:gridSpan w:val="2"/>
            <w:vAlign w:val="center"/>
          </w:tcPr>
          <w:p w14:paraId="2DC9975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</w:rPr>
              <w:t>Normalized</w:t>
            </w:r>
          </w:p>
        </w:tc>
        <w:tc>
          <w:tcPr>
            <w:tcW w:w="1729" w:type="dxa"/>
            <w:vMerge w:val="restart"/>
            <w:vAlign w:val="center"/>
          </w:tcPr>
          <w:p w14:paraId="3F494A2E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Consistency After Sensitivity Analysis</w:t>
            </w:r>
          </w:p>
        </w:tc>
      </w:tr>
      <w:tr w14:paraId="236CB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360" w:type="dxa"/>
            <w:vMerge w:val="continue"/>
            <w:shd w:val="clear" w:color="auto" w:fill="auto"/>
            <w:vAlign w:val="center"/>
          </w:tcPr>
          <w:p w14:paraId="39FC7032"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</w:p>
        </w:tc>
        <w:tc>
          <w:tcPr>
            <w:tcW w:w="2090" w:type="dxa"/>
            <w:vAlign w:val="center"/>
          </w:tcPr>
          <w:p w14:paraId="2034743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</w:rPr>
              <w:t>PEDro score (0–10)</w:t>
            </w:r>
          </w:p>
        </w:tc>
        <w:tc>
          <w:tcPr>
            <w:tcW w:w="2420" w:type="dxa"/>
            <w:vAlign w:val="center"/>
          </w:tcPr>
          <w:p w14:paraId="5FF45AB1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Methodological quality</w:t>
            </w:r>
          </w:p>
        </w:tc>
        <w:tc>
          <w:tcPr>
            <w:tcW w:w="2160" w:type="dxa"/>
            <w:vAlign w:val="center"/>
          </w:tcPr>
          <w:p w14:paraId="2B180F4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</w:rPr>
              <w:t>PEDro score (0–10)</w:t>
            </w:r>
          </w:p>
        </w:tc>
        <w:tc>
          <w:tcPr>
            <w:tcW w:w="2290" w:type="dxa"/>
            <w:vAlign w:val="center"/>
          </w:tcPr>
          <w:p w14:paraId="3978933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</w:rPr>
              <w:t>Methodological quality</w:t>
            </w:r>
          </w:p>
        </w:tc>
        <w:tc>
          <w:tcPr>
            <w:tcW w:w="1729" w:type="dxa"/>
            <w:vMerge w:val="continue"/>
            <w:vAlign w:val="center"/>
          </w:tcPr>
          <w:p w14:paraId="2E58ED8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 w14:paraId="23474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6315542B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color w:val="404040"/>
                <w:sz w:val="28"/>
                <w:szCs w:val="28"/>
                <w:highlight w:val="none"/>
              </w:rPr>
              <w:t xml:space="preserve">Russell &amp; Newton </w:t>
            </w:r>
            <w:r>
              <w:rPr>
                <w:rFonts w:hint="default" w:ascii="Times New Roman" w:hAnsi="Times New Roman" w:eastAsia="宋体" w:cs="Times New Roman"/>
                <w:color w:val="404040"/>
                <w:sz w:val="28"/>
                <w:szCs w:val="28"/>
                <w:highlight w:val="none"/>
              </w:rPr>
              <w:t>(</w:t>
            </w:r>
            <w:r>
              <w:rPr>
                <w:rFonts w:hint="default" w:ascii="Times New Roman" w:hAnsi="Times New Roman" w:eastAsia="Segoe UI" w:cs="Times New Roman"/>
                <w:color w:val="404040"/>
                <w:sz w:val="28"/>
                <w:szCs w:val="28"/>
                <w:highlight w:val="none"/>
              </w:rPr>
              <w:t>2008</w:t>
            </w:r>
            <w:r>
              <w:rPr>
                <w:rFonts w:hint="default" w:ascii="Times New Roman" w:hAnsi="Times New Roman" w:eastAsia="宋体" w:cs="Times New Roman"/>
                <w:color w:val="404040"/>
                <w:sz w:val="28"/>
                <w:szCs w:val="28"/>
                <w:highlight w:val="none"/>
              </w:rPr>
              <w:t>)</w:t>
            </w:r>
          </w:p>
        </w:tc>
        <w:tc>
          <w:tcPr>
            <w:tcW w:w="2090" w:type="dxa"/>
            <w:vAlign w:val="center"/>
          </w:tcPr>
          <w:p w14:paraId="58DD052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20" w:type="dxa"/>
            <w:vAlign w:val="center"/>
          </w:tcPr>
          <w:p w14:paraId="75A153EA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High</w:t>
            </w:r>
          </w:p>
        </w:tc>
        <w:tc>
          <w:tcPr>
            <w:tcW w:w="2160" w:type="dxa"/>
            <w:vAlign w:val="center"/>
          </w:tcPr>
          <w:p w14:paraId="269B1C5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6.0</w:t>
            </w:r>
          </w:p>
        </w:tc>
        <w:tc>
          <w:tcPr>
            <w:tcW w:w="2290" w:type="dxa"/>
            <w:vAlign w:val="center"/>
          </w:tcPr>
          <w:p w14:paraId="54CA1FE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High</w:t>
            </w:r>
          </w:p>
        </w:tc>
        <w:tc>
          <w:tcPr>
            <w:tcW w:w="1729" w:type="dxa"/>
            <w:vAlign w:val="center"/>
          </w:tcPr>
          <w:p w14:paraId="3FB1A902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4CF70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16766F2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color w:val="404040"/>
                <w:sz w:val="28"/>
                <w:szCs w:val="28"/>
                <w:highlight w:val="none"/>
              </w:rPr>
              <w:t>Rhodes et al. (2009)</w:t>
            </w:r>
          </w:p>
        </w:tc>
        <w:tc>
          <w:tcPr>
            <w:tcW w:w="2090" w:type="dxa"/>
            <w:vAlign w:val="center"/>
          </w:tcPr>
          <w:p w14:paraId="5B21E5D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0" w:type="dxa"/>
            <w:vAlign w:val="center"/>
          </w:tcPr>
          <w:p w14:paraId="7235B252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2160" w:type="dxa"/>
            <w:vAlign w:val="center"/>
          </w:tcPr>
          <w:p w14:paraId="5013CF3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5.0</w:t>
            </w:r>
          </w:p>
        </w:tc>
        <w:tc>
          <w:tcPr>
            <w:tcW w:w="2290" w:type="dxa"/>
            <w:vAlign w:val="center"/>
          </w:tcPr>
          <w:p w14:paraId="019A08C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1729" w:type="dxa"/>
            <w:vAlign w:val="center"/>
          </w:tcPr>
          <w:p w14:paraId="1A2249A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65BFA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45AC1F4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color w:val="404040"/>
                <w:sz w:val="28"/>
                <w:szCs w:val="28"/>
                <w:highlight w:val="none"/>
              </w:rPr>
              <w:t xml:space="preserve">Douris et al. </w:t>
            </w:r>
            <w:r>
              <w:rPr>
                <w:rFonts w:hint="default" w:ascii="Times New Roman" w:hAnsi="Times New Roman" w:eastAsia="宋体" w:cs="Times New Roman"/>
                <w:color w:val="404040"/>
                <w:sz w:val="28"/>
                <w:szCs w:val="28"/>
                <w:highlight w:val="none"/>
              </w:rPr>
              <w:t>(</w:t>
            </w:r>
            <w:r>
              <w:rPr>
                <w:rFonts w:hint="default" w:ascii="Times New Roman" w:hAnsi="Times New Roman" w:eastAsia="Segoe UI" w:cs="Times New Roman"/>
                <w:color w:val="404040"/>
                <w:sz w:val="28"/>
                <w:szCs w:val="28"/>
                <w:highlight w:val="none"/>
              </w:rPr>
              <w:t>2012</w:t>
            </w:r>
            <w:r>
              <w:rPr>
                <w:rFonts w:hint="default" w:ascii="Times New Roman" w:hAnsi="Times New Roman" w:eastAsia="宋体" w:cs="Times New Roman"/>
                <w:color w:val="404040"/>
                <w:sz w:val="28"/>
                <w:szCs w:val="28"/>
                <w:highlight w:val="none"/>
              </w:rPr>
              <w:t>)</w:t>
            </w:r>
          </w:p>
        </w:tc>
        <w:tc>
          <w:tcPr>
            <w:tcW w:w="2090" w:type="dxa"/>
            <w:vAlign w:val="center"/>
          </w:tcPr>
          <w:p w14:paraId="52B9E1D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0" w:type="dxa"/>
            <w:vAlign w:val="center"/>
          </w:tcPr>
          <w:p w14:paraId="55A09F7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2160" w:type="dxa"/>
            <w:vAlign w:val="center"/>
          </w:tcPr>
          <w:p w14:paraId="18430E0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2290" w:type="dxa"/>
            <w:vAlign w:val="center"/>
          </w:tcPr>
          <w:p w14:paraId="240E0B4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1729" w:type="dxa"/>
            <w:vAlign w:val="center"/>
          </w:tcPr>
          <w:p w14:paraId="64CF4D3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25C88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0D2E370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color w:val="404040"/>
                <w:sz w:val="28"/>
                <w:szCs w:val="28"/>
                <w:highlight w:val="none"/>
              </w:rPr>
              <w:t xml:space="preserve">Naugle </w:t>
            </w:r>
            <w:r>
              <w:rPr>
                <w:rFonts w:hint="default" w:ascii="Times New Roman" w:hAnsi="Times New Roman" w:eastAsia="宋体" w:cs="Times New Roman"/>
                <w:color w:val="404040"/>
                <w:sz w:val="28"/>
                <w:szCs w:val="28"/>
                <w:highlight w:val="none"/>
              </w:rPr>
              <w:t xml:space="preserve">et al. </w:t>
            </w:r>
            <w:r>
              <w:rPr>
                <w:rFonts w:hint="default" w:ascii="Times New Roman" w:hAnsi="Times New Roman" w:eastAsia="Segoe UI" w:cs="Times New Roman"/>
                <w:color w:val="404040"/>
                <w:sz w:val="28"/>
                <w:szCs w:val="28"/>
                <w:highlight w:val="none"/>
              </w:rPr>
              <w:t>(2014)</w:t>
            </w:r>
          </w:p>
        </w:tc>
        <w:tc>
          <w:tcPr>
            <w:tcW w:w="2090" w:type="dxa"/>
            <w:vAlign w:val="center"/>
          </w:tcPr>
          <w:p w14:paraId="28A1439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20" w:type="dxa"/>
            <w:vAlign w:val="center"/>
          </w:tcPr>
          <w:p w14:paraId="2CD482B6">
            <w:pPr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2160" w:type="dxa"/>
            <w:vAlign w:val="center"/>
          </w:tcPr>
          <w:p w14:paraId="30940EE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2290" w:type="dxa"/>
            <w:vAlign w:val="center"/>
          </w:tcPr>
          <w:p w14:paraId="5379BDE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1729" w:type="dxa"/>
            <w:vAlign w:val="center"/>
          </w:tcPr>
          <w:p w14:paraId="19BDC73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1EB21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18F71EA4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color w:val="404040"/>
                <w:sz w:val="28"/>
                <w:szCs w:val="28"/>
                <w:highlight w:val="none"/>
              </w:rPr>
              <w:t xml:space="preserve">Monedero </w:t>
            </w:r>
            <w:r>
              <w:rPr>
                <w:rFonts w:hint="default" w:ascii="Times New Roman" w:hAnsi="Times New Roman" w:eastAsia="宋体" w:cs="Times New Roman"/>
                <w:color w:val="404040"/>
                <w:sz w:val="28"/>
                <w:szCs w:val="28"/>
                <w:highlight w:val="none"/>
              </w:rPr>
              <w:t xml:space="preserve">et al. </w:t>
            </w:r>
            <w:r>
              <w:rPr>
                <w:rFonts w:hint="default" w:ascii="Times New Roman" w:hAnsi="Times New Roman" w:eastAsia="Segoe UI" w:cs="Times New Roman"/>
                <w:color w:val="404040"/>
                <w:sz w:val="28"/>
                <w:szCs w:val="28"/>
                <w:highlight w:val="none"/>
              </w:rPr>
              <w:t>(2017)</w:t>
            </w:r>
          </w:p>
        </w:tc>
        <w:tc>
          <w:tcPr>
            <w:tcW w:w="2090" w:type="dxa"/>
            <w:vAlign w:val="center"/>
          </w:tcPr>
          <w:p w14:paraId="02667D8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0" w:type="dxa"/>
            <w:vAlign w:val="center"/>
          </w:tcPr>
          <w:p w14:paraId="3FC73E9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2160" w:type="dxa"/>
            <w:vAlign w:val="center"/>
          </w:tcPr>
          <w:p w14:paraId="3DE0FF0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2290" w:type="dxa"/>
            <w:vAlign w:val="center"/>
          </w:tcPr>
          <w:p w14:paraId="7032B4F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1729" w:type="dxa"/>
            <w:vAlign w:val="center"/>
          </w:tcPr>
          <w:p w14:paraId="33027B8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45199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5552E48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Zeng et al. (2017)</w:t>
            </w:r>
          </w:p>
        </w:tc>
        <w:tc>
          <w:tcPr>
            <w:tcW w:w="2090" w:type="dxa"/>
            <w:vAlign w:val="center"/>
          </w:tcPr>
          <w:p w14:paraId="4B15B54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0" w:type="dxa"/>
            <w:vAlign w:val="center"/>
          </w:tcPr>
          <w:p w14:paraId="26FAAE1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2160" w:type="dxa"/>
            <w:vAlign w:val="center"/>
          </w:tcPr>
          <w:p w14:paraId="5ECBF80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2290" w:type="dxa"/>
            <w:vAlign w:val="center"/>
          </w:tcPr>
          <w:p w14:paraId="78406EE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1729" w:type="dxa"/>
            <w:vAlign w:val="center"/>
          </w:tcPr>
          <w:p w14:paraId="77C60E7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2B5DE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34A6E127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Huang et al. (2018)</w:t>
            </w:r>
          </w:p>
        </w:tc>
        <w:tc>
          <w:tcPr>
            <w:tcW w:w="2090" w:type="dxa"/>
            <w:vAlign w:val="center"/>
          </w:tcPr>
          <w:p w14:paraId="706C7BE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20" w:type="dxa"/>
            <w:vAlign w:val="center"/>
          </w:tcPr>
          <w:p w14:paraId="665CFD9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High</w:t>
            </w:r>
          </w:p>
        </w:tc>
        <w:tc>
          <w:tcPr>
            <w:tcW w:w="2160" w:type="dxa"/>
            <w:vAlign w:val="center"/>
          </w:tcPr>
          <w:p w14:paraId="34EE0CE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8.0</w:t>
            </w:r>
          </w:p>
        </w:tc>
        <w:tc>
          <w:tcPr>
            <w:tcW w:w="2290" w:type="dxa"/>
            <w:vAlign w:val="center"/>
          </w:tcPr>
          <w:p w14:paraId="79B772D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High</w:t>
            </w:r>
          </w:p>
        </w:tc>
        <w:tc>
          <w:tcPr>
            <w:tcW w:w="1729" w:type="dxa"/>
            <w:vAlign w:val="center"/>
          </w:tcPr>
          <w:p w14:paraId="42FF18D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39C99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1B5A93D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Nani et al. (2018)</w:t>
            </w:r>
          </w:p>
        </w:tc>
        <w:tc>
          <w:tcPr>
            <w:tcW w:w="2090" w:type="dxa"/>
            <w:vAlign w:val="center"/>
          </w:tcPr>
          <w:p w14:paraId="2A94050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0" w:type="dxa"/>
            <w:vAlign w:val="center"/>
          </w:tcPr>
          <w:p w14:paraId="7ACCC7F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2160" w:type="dxa"/>
            <w:vAlign w:val="center"/>
          </w:tcPr>
          <w:p w14:paraId="4CA2EA9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4.0</w:t>
            </w:r>
          </w:p>
        </w:tc>
        <w:tc>
          <w:tcPr>
            <w:tcW w:w="2290" w:type="dxa"/>
            <w:vAlign w:val="center"/>
          </w:tcPr>
          <w:p w14:paraId="750861F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1729" w:type="dxa"/>
            <w:vAlign w:val="center"/>
          </w:tcPr>
          <w:p w14:paraId="0A550FA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6BB5C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12A2A85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Nguyen et al. (2018)</w:t>
            </w:r>
          </w:p>
        </w:tc>
        <w:tc>
          <w:tcPr>
            <w:tcW w:w="2090" w:type="dxa"/>
            <w:vAlign w:val="center"/>
          </w:tcPr>
          <w:p w14:paraId="7F55D77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20" w:type="dxa"/>
            <w:vAlign w:val="center"/>
          </w:tcPr>
          <w:p w14:paraId="0BFC949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High</w:t>
            </w:r>
          </w:p>
        </w:tc>
        <w:tc>
          <w:tcPr>
            <w:tcW w:w="2160" w:type="dxa"/>
            <w:vAlign w:val="center"/>
          </w:tcPr>
          <w:p w14:paraId="66D14C0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6.0</w:t>
            </w:r>
          </w:p>
        </w:tc>
        <w:tc>
          <w:tcPr>
            <w:tcW w:w="2290" w:type="dxa"/>
            <w:vAlign w:val="center"/>
          </w:tcPr>
          <w:p w14:paraId="7228606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High</w:t>
            </w:r>
          </w:p>
        </w:tc>
        <w:tc>
          <w:tcPr>
            <w:tcW w:w="1729" w:type="dxa"/>
            <w:vAlign w:val="center"/>
          </w:tcPr>
          <w:p w14:paraId="7788398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6A70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43F6102B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Alkahtani et al. (2019)</w:t>
            </w:r>
          </w:p>
        </w:tc>
        <w:tc>
          <w:tcPr>
            <w:tcW w:w="2090" w:type="dxa"/>
            <w:vAlign w:val="center"/>
          </w:tcPr>
          <w:p w14:paraId="33195F3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0" w:type="dxa"/>
            <w:vAlign w:val="center"/>
          </w:tcPr>
          <w:p w14:paraId="7CF2936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2160" w:type="dxa"/>
            <w:vAlign w:val="center"/>
          </w:tcPr>
          <w:p w14:paraId="5442B7A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2290" w:type="dxa"/>
            <w:vAlign w:val="center"/>
          </w:tcPr>
          <w:p w14:paraId="2F163AE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1729" w:type="dxa"/>
            <w:vAlign w:val="center"/>
          </w:tcPr>
          <w:p w14:paraId="23B20E2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406D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504627A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Roure et al. (2019)</w:t>
            </w:r>
          </w:p>
        </w:tc>
        <w:tc>
          <w:tcPr>
            <w:tcW w:w="2090" w:type="dxa"/>
            <w:vAlign w:val="center"/>
          </w:tcPr>
          <w:p w14:paraId="6877AFB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0" w:type="dxa"/>
            <w:vAlign w:val="center"/>
          </w:tcPr>
          <w:p w14:paraId="462FCAC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2160" w:type="dxa"/>
            <w:vAlign w:val="center"/>
          </w:tcPr>
          <w:p w14:paraId="0393A54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5.0</w:t>
            </w:r>
          </w:p>
        </w:tc>
        <w:tc>
          <w:tcPr>
            <w:tcW w:w="2290" w:type="dxa"/>
            <w:vAlign w:val="center"/>
          </w:tcPr>
          <w:p w14:paraId="608A74F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1729" w:type="dxa"/>
            <w:vAlign w:val="center"/>
          </w:tcPr>
          <w:p w14:paraId="52AA640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3719A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5C974A1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McDonough et al. (2020)</w:t>
            </w:r>
          </w:p>
        </w:tc>
        <w:tc>
          <w:tcPr>
            <w:tcW w:w="2090" w:type="dxa"/>
            <w:vAlign w:val="center"/>
          </w:tcPr>
          <w:p w14:paraId="4D3C9A9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0" w:type="dxa"/>
            <w:vAlign w:val="center"/>
          </w:tcPr>
          <w:p w14:paraId="0DD274F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2160" w:type="dxa"/>
            <w:vAlign w:val="center"/>
          </w:tcPr>
          <w:p w14:paraId="65D2FCE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2290" w:type="dxa"/>
            <w:vAlign w:val="center"/>
          </w:tcPr>
          <w:p w14:paraId="71FCCAC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1729" w:type="dxa"/>
            <w:vAlign w:val="center"/>
          </w:tcPr>
          <w:p w14:paraId="34CBA6B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1A526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4BAC4BF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Yunus et al. (2020)</w:t>
            </w:r>
          </w:p>
        </w:tc>
        <w:tc>
          <w:tcPr>
            <w:tcW w:w="2090" w:type="dxa"/>
            <w:vAlign w:val="center"/>
          </w:tcPr>
          <w:p w14:paraId="12CCDBE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20" w:type="dxa"/>
            <w:vAlign w:val="center"/>
          </w:tcPr>
          <w:p w14:paraId="28BCCAF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High</w:t>
            </w:r>
          </w:p>
        </w:tc>
        <w:tc>
          <w:tcPr>
            <w:tcW w:w="2160" w:type="dxa"/>
            <w:vAlign w:val="center"/>
          </w:tcPr>
          <w:p w14:paraId="4AD6475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6.0</w:t>
            </w:r>
          </w:p>
        </w:tc>
        <w:tc>
          <w:tcPr>
            <w:tcW w:w="2290" w:type="dxa"/>
            <w:vAlign w:val="center"/>
          </w:tcPr>
          <w:p w14:paraId="6439E07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High</w:t>
            </w:r>
          </w:p>
        </w:tc>
        <w:tc>
          <w:tcPr>
            <w:tcW w:w="1729" w:type="dxa"/>
            <w:vAlign w:val="center"/>
          </w:tcPr>
          <w:p w14:paraId="77351F5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48FB1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0CCC951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Wu et al. (2021)</w:t>
            </w:r>
          </w:p>
        </w:tc>
        <w:tc>
          <w:tcPr>
            <w:tcW w:w="2090" w:type="dxa"/>
            <w:vAlign w:val="center"/>
          </w:tcPr>
          <w:p w14:paraId="180092C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0" w:type="dxa"/>
            <w:vAlign w:val="center"/>
          </w:tcPr>
          <w:p w14:paraId="25ED8B4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2160" w:type="dxa"/>
            <w:vAlign w:val="center"/>
          </w:tcPr>
          <w:p w14:paraId="5F7B158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4.0</w:t>
            </w:r>
          </w:p>
        </w:tc>
        <w:tc>
          <w:tcPr>
            <w:tcW w:w="2290" w:type="dxa"/>
            <w:vAlign w:val="center"/>
          </w:tcPr>
          <w:p w14:paraId="5B5E323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1729" w:type="dxa"/>
            <w:vAlign w:val="center"/>
          </w:tcPr>
          <w:p w14:paraId="38DF37F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4579D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1286633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Lawrence et al. (2022)</w:t>
            </w:r>
          </w:p>
        </w:tc>
        <w:tc>
          <w:tcPr>
            <w:tcW w:w="2090" w:type="dxa"/>
            <w:vAlign w:val="center"/>
          </w:tcPr>
          <w:p w14:paraId="07EC498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0" w:type="dxa"/>
            <w:vAlign w:val="center"/>
          </w:tcPr>
          <w:p w14:paraId="77433F4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2160" w:type="dxa"/>
            <w:vAlign w:val="center"/>
          </w:tcPr>
          <w:p w14:paraId="589C426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2290" w:type="dxa"/>
            <w:vAlign w:val="center"/>
          </w:tcPr>
          <w:p w14:paraId="44E6DC7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1729" w:type="dxa"/>
            <w:vAlign w:val="center"/>
          </w:tcPr>
          <w:p w14:paraId="53647F2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45413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153B4099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Maden et al. (2022)</w:t>
            </w:r>
          </w:p>
        </w:tc>
        <w:tc>
          <w:tcPr>
            <w:tcW w:w="2090" w:type="dxa"/>
            <w:vAlign w:val="center"/>
          </w:tcPr>
          <w:p w14:paraId="187AA84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0" w:type="dxa"/>
            <w:vAlign w:val="center"/>
          </w:tcPr>
          <w:p w14:paraId="68A52BD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2160" w:type="dxa"/>
            <w:vAlign w:val="center"/>
          </w:tcPr>
          <w:p w14:paraId="54F490E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4.0</w:t>
            </w:r>
          </w:p>
        </w:tc>
        <w:tc>
          <w:tcPr>
            <w:tcW w:w="2290" w:type="dxa"/>
            <w:vAlign w:val="center"/>
          </w:tcPr>
          <w:p w14:paraId="39998C7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1729" w:type="dxa"/>
            <w:vAlign w:val="center"/>
          </w:tcPr>
          <w:p w14:paraId="63DB108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6EFCA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2BAB673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Silva et al. (2022)</w:t>
            </w:r>
          </w:p>
        </w:tc>
        <w:tc>
          <w:tcPr>
            <w:tcW w:w="2090" w:type="dxa"/>
            <w:vAlign w:val="center"/>
          </w:tcPr>
          <w:p w14:paraId="7754C7D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0" w:type="dxa"/>
            <w:vAlign w:val="center"/>
          </w:tcPr>
          <w:p w14:paraId="2C6DC7D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2160" w:type="dxa"/>
            <w:vAlign w:val="center"/>
          </w:tcPr>
          <w:p w14:paraId="27D74F1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2290" w:type="dxa"/>
            <w:vAlign w:val="center"/>
          </w:tcPr>
          <w:p w14:paraId="39AB7C6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1729" w:type="dxa"/>
            <w:vAlign w:val="center"/>
          </w:tcPr>
          <w:p w14:paraId="3A09938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7CC51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61E91C4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Gu et al. (2023)</w:t>
            </w:r>
          </w:p>
        </w:tc>
        <w:tc>
          <w:tcPr>
            <w:tcW w:w="2090" w:type="dxa"/>
            <w:vAlign w:val="center"/>
          </w:tcPr>
          <w:p w14:paraId="79E9188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20" w:type="dxa"/>
            <w:vAlign w:val="center"/>
          </w:tcPr>
          <w:p w14:paraId="1380A44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2160" w:type="dxa"/>
            <w:vAlign w:val="center"/>
          </w:tcPr>
          <w:p w14:paraId="1255019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2290" w:type="dxa"/>
            <w:vAlign w:val="center"/>
          </w:tcPr>
          <w:p w14:paraId="62C0D66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1729" w:type="dxa"/>
            <w:vAlign w:val="center"/>
          </w:tcPr>
          <w:p w14:paraId="06FCCD0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180A2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0A0A350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>Hassan et al. (2023)</w:t>
            </w:r>
          </w:p>
        </w:tc>
        <w:tc>
          <w:tcPr>
            <w:tcW w:w="2090" w:type="dxa"/>
            <w:vAlign w:val="center"/>
          </w:tcPr>
          <w:p w14:paraId="12CC6E0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0" w:type="dxa"/>
            <w:vAlign w:val="center"/>
          </w:tcPr>
          <w:p w14:paraId="2D5ECD8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2160" w:type="dxa"/>
            <w:vAlign w:val="center"/>
          </w:tcPr>
          <w:p w14:paraId="5459620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2290" w:type="dxa"/>
            <w:vAlign w:val="center"/>
          </w:tcPr>
          <w:p w14:paraId="0E84985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Low</w:t>
            </w:r>
          </w:p>
        </w:tc>
        <w:tc>
          <w:tcPr>
            <w:tcW w:w="1729" w:type="dxa"/>
            <w:vAlign w:val="center"/>
          </w:tcPr>
          <w:p w14:paraId="041DB30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  <w:tr w14:paraId="4D71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60" w:type="dxa"/>
            <w:shd w:val="clear" w:color="auto" w:fill="auto"/>
            <w:vAlign w:val="top"/>
          </w:tcPr>
          <w:p w14:paraId="112F462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highlight w:val="none"/>
                <w:lang w:val="en-GB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en-US" w:eastAsia="zh-CN"/>
              </w:rPr>
              <w:t>Tan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 xml:space="preserve"> et al. (202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</w:rPr>
              <w:t xml:space="preserve">) </w:t>
            </w:r>
          </w:p>
        </w:tc>
        <w:tc>
          <w:tcPr>
            <w:tcW w:w="2090" w:type="dxa"/>
            <w:vAlign w:val="center"/>
          </w:tcPr>
          <w:p w14:paraId="2F745272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2420" w:type="dxa"/>
            <w:vAlign w:val="center"/>
          </w:tcPr>
          <w:p w14:paraId="25D825A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2160" w:type="dxa"/>
            <w:vAlign w:val="center"/>
          </w:tcPr>
          <w:p w14:paraId="6D96170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val="en-US" w:eastAsia="zh-CN"/>
              </w:rPr>
              <w:t>5.6</w:t>
            </w:r>
          </w:p>
        </w:tc>
        <w:tc>
          <w:tcPr>
            <w:tcW w:w="2290" w:type="dxa"/>
            <w:vAlign w:val="center"/>
          </w:tcPr>
          <w:p w14:paraId="790CFBB3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Moderate</w:t>
            </w:r>
          </w:p>
        </w:tc>
        <w:tc>
          <w:tcPr>
            <w:tcW w:w="1729" w:type="dxa"/>
            <w:vAlign w:val="center"/>
          </w:tcPr>
          <w:p w14:paraId="5FB805D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Yes</w:t>
            </w:r>
          </w:p>
        </w:tc>
      </w:tr>
    </w:tbl>
    <w:p w14:paraId="2580CB18">
      <w:pPr>
        <w:jc w:val="left"/>
        <w:rPr>
          <w:rFonts w:hint="default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High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quality: score≥6; Moderate quality: score between 5-5.9; Low quality: score＜5.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B6905"/>
    <w:rsid w:val="2AA154F8"/>
    <w:rsid w:val="31E669AB"/>
    <w:rsid w:val="482B6905"/>
    <w:rsid w:val="4921663F"/>
    <w:rsid w:val="68A1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224</Words>
  <Characters>983</Characters>
  <Lines>0</Lines>
  <Paragraphs>0</Paragraphs>
  <TotalTime>3</TotalTime>
  <ScaleCrop>false</ScaleCrop>
  <LinksUpToDate>false</LinksUpToDate>
  <CharactersWithSpaces>1074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2025-08-08T11:10:00Z</dcterms:created>
  <dc:creator>文锋</dc:creator>
  <cp:lastModifiedBy>文锋</cp:lastModifiedBy>
  <dcterms:modified xsi:type="dcterms:W3CDTF">2025-08-14T03:37:26Z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0A665F458E7D48469D3EC97C8D8636B2_11</vt:lpwstr>
  </property>
  <property fmtid="{D5CDD505-2E9C-101B-9397-08002B2CF9AE}" pid="4" name="KSOTemplateDocerSaveRecord">
    <vt:lpwstr>eyJoZGlkIjoiNDI2MzZmZDlkY2E1ZjZjMTNkMDAyMzZiOGI4ZDQ3ODUiLCJ1c2VySWQiOiIyMzk1MjY1OTYifQ==</vt:lpwstr>
  </property>
</Properties>
</file>