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E0924">
      <w:pPr>
        <w:pStyle w:val="3"/>
        <w:numPr>
          <w:ilvl w:val="1"/>
          <w:numId w:val="0"/>
        </w:numPr>
        <w:spacing w:line="480" w:lineRule="auto"/>
        <w:ind w:leftChars="0"/>
        <w:contextualSpacing/>
        <w:jc w:val="left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</w:rPr>
        <w:t xml:space="preserve">Supplementary </w:t>
      </w:r>
      <w:r>
        <w:rPr>
          <w:b/>
          <w:bCs/>
          <w:sz w:val="40"/>
          <w:szCs w:val="40"/>
        </w:rPr>
        <w:t>m</w:t>
      </w:r>
      <w:r>
        <w:rPr>
          <w:rFonts w:hint="eastAsia"/>
          <w:b/>
          <w:bCs/>
          <w:sz w:val="40"/>
          <w:szCs w:val="40"/>
        </w:rPr>
        <w:t>aterials</w:t>
      </w:r>
      <w:r>
        <w:rPr>
          <w:rFonts w:hint="eastAsia"/>
          <w:b/>
          <w:bCs/>
          <w:sz w:val="40"/>
          <w:szCs w:val="40"/>
          <w:lang w:val="en-US" w:eastAsia="zh-CN"/>
        </w:rPr>
        <w:t xml:space="preserve"> legends</w:t>
      </w:r>
    </w:p>
    <w:p w14:paraId="52142CE9">
      <w:pPr>
        <w:rPr>
          <w:rFonts w:hint="eastAsia"/>
          <w:b/>
          <w:bCs/>
          <w:sz w:val="40"/>
          <w:szCs w:val="40"/>
          <w:lang w:val="en-US" w:eastAsia="zh-CN"/>
        </w:rPr>
      </w:pPr>
    </w:p>
    <w:p w14:paraId="5BDB85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left"/>
        <w:textAlignment w:val="auto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Table S1</w:t>
      </w: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Spearman’s correlations between the studied variables (N = 468).</w:t>
      </w:r>
    </w:p>
    <w:p w14:paraId="20AAED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left"/>
        <w:textAlignment w:val="auto"/>
        <w:rPr>
          <w:sz w:val="24"/>
          <w:szCs w:val="24"/>
        </w:rPr>
      </w:pPr>
      <w:r>
        <w:rPr>
          <w:rFonts w:cs="Times New Roman"/>
          <w:sz w:val="24"/>
          <w:szCs w:val="24"/>
        </w:rPr>
        <w:t>Abbreviations: IC: intrinsic capacity</w:t>
      </w:r>
    </w:p>
    <w:p w14:paraId="0C888E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Style w:val="10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</w:rPr>
        <w:t>Table S2</w:t>
      </w:r>
      <w:r>
        <w:rPr>
          <w:b/>
          <w:bCs/>
          <w:sz w:val="24"/>
          <w:szCs w:val="24"/>
          <w:highlight w:val="none"/>
        </w:rPr>
        <w:t>.</w:t>
      </w:r>
      <w:r>
        <w:rPr>
          <w:rStyle w:val="10"/>
          <w:rFonts w:ascii="Segoe UI" w:hAnsi="Segoe UI" w:eastAsia="Segoe UI" w:cs="Segoe UI"/>
          <w:b/>
          <w:bCs/>
          <w:i w:val="0"/>
          <w:iCs w:val="0"/>
          <w:caps w:val="0"/>
          <w:spacing w:val="0"/>
          <w:sz w:val="16"/>
          <w:szCs w:val="16"/>
          <w:shd w:val="clear" w:fill="FCFCFC"/>
          <w:vertAlign w:val="baseline"/>
        </w:rPr>
        <w:t> 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Linear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r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egression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a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nalysis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p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redicting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i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ntrinsic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c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>apacity</w:t>
      </w:r>
      <w:r>
        <w:rPr>
          <w:rStyle w:val="10"/>
          <w:rFonts w:hint="eastAsia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 xml:space="preserve"> decline</w:t>
      </w:r>
      <w:r>
        <w:rPr>
          <w:rStyle w:val="10"/>
          <w:rFonts w:hint="eastAsia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.</w:t>
      </w:r>
    </w:p>
    <w:p w14:paraId="0B8939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16"/>
          <w:szCs w:val="16"/>
          <w:shd w:val="clear" w:fill="FCFCFC"/>
          <w:vertAlign w:val="baseline"/>
        </w:rPr>
      </w:pPr>
      <w:r>
        <w:rPr>
          <w:rFonts w:cs="Times New Roman"/>
          <w:sz w:val="24"/>
          <w:szCs w:val="24"/>
        </w:rPr>
        <w:t>Abbreviations: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CFCFC"/>
          <w:vertAlign w:val="baseline"/>
          <w:lang w:val="en-US" w:eastAsia="zh-CN"/>
        </w:rPr>
        <w:t>VIF</w:t>
      </w:r>
      <w:r>
        <w:rPr>
          <w:rStyle w:val="10"/>
          <w:rFonts w:hint="eastAsia" w:eastAsia="Segoe UI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CFCFC"/>
          <w:vertAlign w:val="baseline"/>
          <w:lang w:val="en-US" w:eastAsia="zh-CN"/>
        </w:rPr>
        <w:t xml:space="preserve">, variance inflation factor </w:t>
      </w:r>
    </w:p>
    <w:p w14:paraId="06D0E8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left"/>
        <w:textAlignment w:val="auto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highlight w:val="none"/>
        </w:rPr>
        <w:t>Table S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3</w:t>
      </w:r>
      <w:r>
        <w:rPr>
          <w:b/>
          <w:bCs/>
          <w:sz w:val="24"/>
          <w:szCs w:val="24"/>
          <w:highlight w:val="none"/>
        </w:rPr>
        <w:t>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>Mediated effects of frailty in the association of multimorbidity with IC</w:t>
      </w:r>
      <w:r>
        <w:rPr>
          <w:rFonts w:hint="eastAsia"/>
          <w:sz w:val="24"/>
          <w:szCs w:val="24"/>
          <w:lang w:val="en-US" w:eastAsia="zh-CN"/>
        </w:rPr>
        <w:t xml:space="preserve"> decline</w:t>
      </w:r>
      <w:r>
        <w:rPr>
          <w:sz w:val="24"/>
          <w:szCs w:val="24"/>
        </w:rPr>
        <w:t>.</w:t>
      </w:r>
    </w:p>
    <w:p w14:paraId="7B9EF3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left"/>
        <w:textAlignment w:val="auto"/>
        <w:rPr>
          <w:sz w:val="24"/>
          <w:szCs w:val="24"/>
        </w:rPr>
      </w:pPr>
      <w:r>
        <w:rPr>
          <w:rFonts w:cs="Times New Roman"/>
          <w:sz w:val="24"/>
          <w:szCs w:val="24"/>
        </w:rPr>
        <w:t>Abbreviations: IC: intrinsic capacity</w:t>
      </w:r>
    </w:p>
    <w:p w14:paraId="3844F2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left"/>
        <w:textAlignment w:val="auto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highlight w:val="none"/>
        </w:rPr>
        <w:t>Table S</w:t>
      </w:r>
      <w:r>
        <w:rPr>
          <w:rFonts w:hint="eastAsia" w:cs="Times New Roman"/>
          <w:b/>
          <w:bCs/>
          <w:sz w:val="24"/>
          <w:szCs w:val="24"/>
          <w:highlight w:val="none"/>
          <w:lang w:val="en-US" w:eastAsia="zh-CN"/>
        </w:rPr>
        <w:t>4</w:t>
      </w:r>
      <w:r>
        <w:rPr>
          <w:rFonts w:cs="Times New Roman"/>
          <w:b/>
          <w:bCs/>
          <w:sz w:val="24"/>
          <w:szCs w:val="24"/>
          <w:highlight w:val="none"/>
        </w:rPr>
        <w:t>.</w:t>
      </w:r>
      <w:r>
        <w:rPr>
          <w:rFonts w:cs="Times New Roman"/>
          <w:sz w:val="24"/>
          <w:szCs w:val="24"/>
        </w:rPr>
        <w:t xml:space="preserve"> The mediation analyses between multimorbidity and IC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decline</w:t>
      </w:r>
      <w:r>
        <w:rPr>
          <w:rFonts w:cs="Times New Roman"/>
          <w:sz w:val="24"/>
          <w:szCs w:val="24"/>
        </w:rPr>
        <w:t>.</w:t>
      </w:r>
    </w:p>
    <w:p w14:paraId="336AF1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left"/>
        <w:textAlignment w:val="auto"/>
        <w:rPr>
          <w:sz w:val="24"/>
          <w:szCs w:val="24"/>
        </w:rPr>
      </w:pPr>
      <w:r>
        <w:rPr>
          <w:rFonts w:cs="Times New Roman"/>
          <w:sz w:val="24"/>
          <w:szCs w:val="24"/>
        </w:rPr>
        <w:t>Abbreviations: IC: intrinsic capacity</w:t>
      </w:r>
    </w:p>
    <w:p w14:paraId="7781E9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left"/>
        <w:textAlignment w:val="auto"/>
        <w:rPr>
          <w:sz w:val="24"/>
          <w:szCs w:val="24"/>
        </w:rPr>
      </w:pPr>
      <w:r>
        <w:rPr>
          <w:b/>
          <w:bCs/>
          <w:sz w:val="24"/>
          <w:szCs w:val="24"/>
        </w:rPr>
        <w:t>Fig.</w:t>
      </w:r>
      <w:r>
        <w:rPr>
          <w:rFonts w:hint="eastAsia"/>
          <w:b/>
          <w:bCs/>
          <w:sz w:val="24"/>
          <w:szCs w:val="24"/>
        </w:rPr>
        <w:t xml:space="preserve"> S1</w:t>
      </w: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Weighted restricted cubic spline curve describing the relationship between multimorbidity and IC</w:t>
      </w:r>
      <w:r>
        <w:rPr>
          <w:rFonts w:hint="eastAsia"/>
          <w:sz w:val="24"/>
          <w:szCs w:val="24"/>
          <w:lang w:val="en-US" w:eastAsia="zh-CN"/>
        </w:rPr>
        <w:t xml:space="preserve"> decline</w:t>
      </w:r>
      <w:r>
        <w:rPr>
          <w:sz w:val="24"/>
          <w:szCs w:val="24"/>
        </w:rPr>
        <w:t>.</w:t>
      </w:r>
    </w:p>
    <w:p w14:paraId="34F3D6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left"/>
        <w:textAlignment w:val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Abbreviations: IC: intrinsic capacity</w:t>
      </w:r>
    </w:p>
    <w:p w14:paraId="0419BFF2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t xml:space="preserve">Supplementary 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instrText xml:space="preserve"> HYPERLINK "https://static-content.springer.com/esm/art:10.1186/s12916-023-02760-7/MediaObjects/12916_2023_2760_MOESM1_ESM.pdf" </w:instrTex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fldChar w:fldCharType="separate"/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t>file 1.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fldChar w:fldCharType="end"/>
      </w:r>
      <w:r>
        <w:rPr>
          <w:rFonts w:hint="eastAsia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Disease names included in “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multimorbidity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”</w:t>
      </w:r>
    </w:p>
    <w:p w14:paraId="6A4856EE">
      <w:pP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 w:bidi="ar-SA"/>
        </w:rPr>
      </w:pPr>
    </w:p>
    <w:p w14:paraId="56BAD22D">
      <w:pP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 w:bidi="ar-SA"/>
        </w:rPr>
      </w:pPr>
    </w:p>
    <w:p w14:paraId="7FD413B9">
      <w:pPr>
        <w:rPr>
          <w:rFonts w:hint="eastAsia"/>
          <w:b/>
          <w:bCs/>
          <w:sz w:val="40"/>
          <w:szCs w:val="40"/>
          <w:lang w:val="en-US" w:eastAsia="zh-CN"/>
        </w:rPr>
      </w:pPr>
    </w:p>
    <w:p w14:paraId="5D43E750">
      <w:pPr>
        <w:rPr>
          <w:rFonts w:hint="eastAsia"/>
          <w:b/>
          <w:bCs/>
          <w:sz w:val="40"/>
          <w:szCs w:val="40"/>
          <w:lang w:val="en-US" w:eastAsia="zh-CN"/>
        </w:rPr>
      </w:pPr>
    </w:p>
    <w:p w14:paraId="47FD3677">
      <w:pPr>
        <w:rPr>
          <w:rFonts w:hint="eastAsia"/>
          <w:b/>
          <w:bCs/>
          <w:sz w:val="40"/>
          <w:szCs w:val="40"/>
          <w:lang w:val="en-US" w:eastAsia="zh-CN"/>
        </w:rPr>
      </w:pPr>
    </w:p>
    <w:p w14:paraId="6992690F">
      <w:pPr>
        <w:spacing w:line="480" w:lineRule="auto"/>
        <w:contextualSpacing/>
        <w:jc w:val="left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Table S1</w:t>
      </w: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Spearman’s correlations between the studied variables (N = 468).</w:t>
      </w:r>
    </w:p>
    <w:tbl>
      <w:tblPr>
        <w:tblStyle w:val="8"/>
        <w:tblW w:w="8278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2069"/>
        <w:gridCol w:w="2069"/>
        <w:gridCol w:w="2071"/>
      </w:tblGrid>
      <w:tr w14:paraId="244F2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06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0D553F2"/>
        </w:tc>
        <w:tc>
          <w:tcPr>
            <w:tcW w:w="206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02292F">
            <w:pPr>
              <w:rPr>
                <w:rFonts w:hint="default" w:eastAsia="宋体"/>
                <w:lang w:val="en-US" w:eastAsia="zh-CN"/>
              </w:rPr>
            </w:pPr>
            <w:r>
              <w:t>IC</w:t>
            </w:r>
            <w:r>
              <w:rPr>
                <w:rFonts w:hint="eastAsia"/>
                <w:lang w:val="en-US" w:eastAsia="zh-CN"/>
              </w:rPr>
              <w:t xml:space="preserve"> decline</w:t>
            </w:r>
          </w:p>
        </w:tc>
        <w:tc>
          <w:tcPr>
            <w:tcW w:w="206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F2A162">
            <w:r>
              <w:t>Multimorbidity</w:t>
            </w:r>
          </w:p>
        </w:tc>
        <w:tc>
          <w:tcPr>
            <w:tcW w:w="207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25CDA5">
            <w:r>
              <w:t>Frailty</w:t>
            </w:r>
          </w:p>
        </w:tc>
      </w:tr>
      <w:tr w14:paraId="0AC37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06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B49BD6">
            <w:pPr>
              <w:rPr>
                <w:rFonts w:hint="eastAsia" w:eastAsia="宋体"/>
                <w:lang w:val="en-US" w:eastAsia="zh-CN"/>
              </w:rPr>
            </w:pPr>
            <w:r>
              <w:t>IC</w:t>
            </w:r>
            <w:r>
              <w:rPr>
                <w:rFonts w:hint="eastAsia"/>
                <w:lang w:val="en-US" w:eastAsia="zh-CN"/>
              </w:rPr>
              <w:t xml:space="preserve"> decline</w:t>
            </w:r>
          </w:p>
        </w:tc>
        <w:tc>
          <w:tcPr>
            <w:tcW w:w="206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CB253A">
            <w:r>
              <w:t>--</w:t>
            </w:r>
          </w:p>
        </w:tc>
        <w:tc>
          <w:tcPr>
            <w:tcW w:w="206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5FFCA8"/>
        </w:tc>
        <w:tc>
          <w:tcPr>
            <w:tcW w:w="207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6CAA06"/>
        </w:tc>
      </w:tr>
      <w:tr w14:paraId="1AA97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E1512F">
            <w:r>
              <w:t>Multimorbidity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F4209C">
            <w:r>
              <w:t>0.223**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93E4C7">
            <w:r>
              <w:t>--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BC738C"/>
        </w:tc>
      </w:tr>
      <w:tr w14:paraId="6465F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0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396C3EF">
            <w:r>
              <w:t>Frailty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9E7AA32">
            <w:r>
              <w:t>0.299**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7794277">
            <w:r>
              <w:t>0.194**</w:t>
            </w:r>
          </w:p>
        </w:tc>
        <w:tc>
          <w:tcPr>
            <w:tcW w:w="207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1F7A447">
            <w:r>
              <w:t>--</w:t>
            </w:r>
          </w:p>
        </w:tc>
      </w:tr>
    </w:tbl>
    <w:p w14:paraId="35EE1D01">
      <w:pPr>
        <w:spacing w:line="480" w:lineRule="auto"/>
        <w:contextualSpacing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>Abbreviations: IC: intrinsic capacity</w:t>
      </w:r>
    </w:p>
    <w:p w14:paraId="4D5BC78C">
      <w:pPr>
        <w:spacing w:line="480" w:lineRule="auto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Note: **P＜0.01</w:t>
      </w:r>
    </w:p>
    <w:p w14:paraId="267DE34A">
      <w:pPr>
        <w:spacing w:line="480" w:lineRule="auto"/>
        <w:contextualSpacing/>
        <w:jc w:val="left"/>
        <w:rPr>
          <w:sz w:val="24"/>
          <w:szCs w:val="24"/>
        </w:rPr>
      </w:pPr>
    </w:p>
    <w:p w14:paraId="7526C928">
      <w:pPr>
        <w:spacing w:line="480" w:lineRule="auto"/>
        <w:contextualSpacing/>
        <w:jc w:val="left"/>
        <w:rPr>
          <w:sz w:val="24"/>
          <w:szCs w:val="24"/>
        </w:rPr>
      </w:pPr>
    </w:p>
    <w:p w14:paraId="5621B9E7">
      <w:pPr>
        <w:spacing w:line="480" w:lineRule="auto"/>
        <w:contextualSpacing/>
        <w:jc w:val="left"/>
        <w:rPr>
          <w:sz w:val="24"/>
          <w:szCs w:val="24"/>
        </w:rPr>
      </w:pPr>
    </w:p>
    <w:p w14:paraId="5AE10C51">
      <w:pPr>
        <w:spacing w:line="480" w:lineRule="auto"/>
        <w:contextualSpacing/>
        <w:jc w:val="left"/>
        <w:rPr>
          <w:sz w:val="24"/>
          <w:szCs w:val="24"/>
        </w:rPr>
      </w:pPr>
    </w:p>
    <w:p w14:paraId="56BF8B68">
      <w:pPr>
        <w:spacing w:line="480" w:lineRule="auto"/>
        <w:contextualSpacing/>
        <w:jc w:val="left"/>
        <w:rPr>
          <w:sz w:val="24"/>
          <w:szCs w:val="24"/>
        </w:rPr>
      </w:pPr>
    </w:p>
    <w:p w14:paraId="15CAFED2">
      <w:pPr>
        <w:spacing w:line="480" w:lineRule="auto"/>
        <w:contextualSpacing/>
        <w:jc w:val="left"/>
        <w:rPr>
          <w:sz w:val="24"/>
          <w:szCs w:val="24"/>
        </w:rPr>
      </w:pPr>
    </w:p>
    <w:p w14:paraId="1C01932C">
      <w:pPr>
        <w:spacing w:line="480" w:lineRule="auto"/>
        <w:contextualSpacing/>
        <w:jc w:val="left"/>
        <w:rPr>
          <w:sz w:val="24"/>
          <w:szCs w:val="24"/>
        </w:rPr>
      </w:pPr>
    </w:p>
    <w:p w14:paraId="495A6A4C">
      <w:pPr>
        <w:spacing w:line="480" w:lineRule="auto"/>
        <w:contextualSpacing/>
        <w:jc w:val="left"/>
        <w:rPr>
          <w:sz w:val="24"/>
          <w:szCs w:val="24"/>
        </w:rPr>
      </w:pPr>
    </w:p>
    <w:p w14:paraId="6CEEE5E3">
      <w:pPr>
        <w:spacing w:line="480" w:lineRule="auto"/>
        <w:contextualSpacing/>
        <w:jc w:val="left"/>
        <w:rPr>
          <w:sz w:val="24"/>
          <w:szCs w:val="24"/>
        </w:rPr>
      </w:pPr>
    </w:p>
    <w:p w14:paraId="377EACFA">
      <w:pPr>
        <w:rPr>
          <w:rStyle w:val="10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</w:rPr>
        <w:t>Table S2</w:t>
      </w:r>
      <w:r>
        <w:rPr>
          <w:b/>
          <w:bCs/>
          <w:sz w:val="24"/>
          <w:szCs w:val="24"/>
          <w:highlight w:val="none"/>
        </w:rPr>
        <w:t>.</w:t>
      </w:r>
      <w:r>
        <w:rPr>
          <w:rStyle w:val="10"/>
          <w:rFonts w:ascii="Segoe UI" w:hAnsi="Segoe UI" w:eastAsia="Segoe UI" w:cs="Segoe UI"/>
          <w:b/>
          <w:bCs/>
          <w:i w:val="0"/>
          <w:iCs w:val="0"/>
          <w:caps w:val="0"/>
          <w:spacing w:val="0"/>
          <w:sz w:val="16"/>
          <w:szCs w:val="16"/>
          <w:shd w:val="clear" w:fill="FCFCFC"/>
          <w:vertAlign w:val="baseline"/>
        </w:rPr>
        <w:t> 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Linear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r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egression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a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nalysis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p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redicting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i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 xml:space="preserve">ntrinsic </w:t>
      </w:r>
      <w:r>
        <w:rPr>
          <w:rStyle w:val="10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c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</w:rPr>
        <w:t>apacity</w:t>
      </w:r>
      <w:r>
        <w:rPr>
          <w:rStyle w:val="10"/>
          <w:rFonts w:hint="eastAsia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 xml:space="preserve"> decline</w:t>
      </w:r>
      <w:r>
        <w:rPr>
          <w:rStyle w:val="10"/>
          <w:rFonts w:hint="eastAsia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CFCFC"/>
          <w:vertAlign w:val="baseline"/>
          <w:lang w:val="en-US" w:eastAsia="zh-CN"/>
        </w:rPr>
        <w:t>.</w:t>
      </w:r>
      <w:bookmarkStart w:id="0" w:name="_GoBack"/>
      <w:bookmarkEnd w:id="0"/>
    </w:p>
    <w:tbl>
      <w:tblPr>
        <w:tblStyle w:val="8"/>
        <w:tblW w:w="78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793"/>
        <w:gridCol w:w="757"/>
        <w:gridCol w:w="757"/>
        <w:gridCol w:w="886"/>
        <w:gridCol w:w="914"/>
        <w:gridCol w:w="1236"/>
        <w:gridCol w:w="757"/>
      </w:tblGrid>
      <w:tr w14:paraId="4D158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7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AA94B76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  <w:t>Model</w:t>
            </w:r>
          </w:p>
        </w:tc>
        <w:tc>
          <w:tcPr>
            <w:tcW w:w="79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EF5FA1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B</w:t>
            </w:r>
          </w:p>
        </w:tc>
        <w:tc>
          <w:tcPr>
            <w:tcW w:w="7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10BEA4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2"/>
                <w:rFonts w:hint="default" w:ascii="Times New Roman" w:hAnsi="Times New Roman" w:eastAsia="Segoe UI" w:cs="Times New Roman"/>
                <w:b w:val="0"/>
                <w:bCs w:val="0"/>
                <w:i/>
                <w:iCs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SE</w:t>
            </w:r>
          </w:p>
        </w:tc>
        <w:tc>
          <w:tcPr>
            <w:tcW w:w="7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E77B74C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β</w:t>
            </w:r>
          </w:p>
        </w:tc>
        <w:tc>
          <w:tcPr>
            <w:tcW w:w="88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D27B6A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t</w:t>
            </w:r>
          </w:p>
        </w:tc>
        <w:tc>
          <w:tcPr>
            <w:tcW w:w="9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FECDF60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</w:pPr>
            <w:r>
              <w:rPr>
                <w:rStyle w:val="10"/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p</w:t>
            </w:r>
          </w:p>
        </w:tc>
        <w:tc>
          <w:tcPr>
            <w:tcW w:w="12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353B3F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  <w:t>Tolerance</w:t>
            </w:r>
          </w:p>
        </w:tc>
        <w:tc>
          <w:tcPr>
            <w:tcW w:w="7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A3134E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VIF</w:t>
            </w:r>
          </w:p>
        </w:tc>
      </w:tr>
      <w:tr w14:paraId="3EF98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7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AD1D5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  <w:t>(Constant)</w:t>
            </w:r>
          </w:p>
        </w:tc>
        <w:tc>
          <w:tcPr>
            <w:tcW w:w="79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D6E75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2.036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064942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0.112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DDD109">
            <w:pPr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CACD19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18.205</w:t>
            </w:r>
          </w:p>
        </w:tc>
        <w:tc>
          <w:tcPr>
            <w:tcW w:w="9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CDCA86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2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DA418C">
            <w:pPr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FC245">
            <w:pPr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</w:p>
        </w:tc>
      </w:tr>
      <w:tr w14:paraId="0F850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D7FE26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Multimorbidity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DD200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0.117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F0465B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0.035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46768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0.154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DF587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3.377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479C9F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68A912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0.939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8FFA4E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1.065</w:t>
            </w:r>
          </w:p>
        </w:tc>
      </w:tr>
      <w:tr w14:paraId="564CD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7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5FCF23A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Frailty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7291DD7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0.294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E2CD7B2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0.057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BB3F552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0.234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DBF56A7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5.14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9290B8C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8076C33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0.939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197AC50">
            <w:pPr>
              <w:ind w:left="0" w:leftChars="0" w:firstLine="0" w:firstLineChars="0"/>
              <w:jc w:val="left"/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</w:rPr>
            </w:pPr>
            <w:r>
              <w:rPr>
                <w:rStyle w:val="10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CFCFC"/>
                <w:vertAlign w:val="baseline"/>
                <w:lang w:val="en-US" w:eastAsia="zh-CN"/>
              </w:rPr>
              <w:t>1.065</w:t>
            </w:r>
          </w:p>
        </w:tc>
      </w:tr>
    </w:tbl>
    <w:p w14:paraId="6316B821">
      <w:pPr>
        <w:ind w:left="0" w:leftChars="0" w:firstLine="0" w:firstLineChars="0"/>
        <w:rPr>
          <w:rStyle w:val="10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16"/>
          <w:szCs w:val="16"/>
          <w:shd w:val="clear" w:fill="FCFCFC"/>
          <w:vertAlign w:val="baseline"/>
        </w:rPr>
      </w:pPr>
      <w:r>
        <w:rPr>
          <w:rFonts w:cs="Times New Roman"/>
          <w:sz w:val="24"/>
          <w:szCs w:val="24"/>
        </w:rPr>
        <w:t>Abbreviations:</w:t>
      </w:r>
      <w:r>
        <w:rPr>
          <w:rStyle w:val="10"/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CFCFC"/>
          <w:vertAlign w:val="baseline"/>
          <w:lang w:val="en-US" w:eastAsia="zh-CN"/>
        </w:rPr>
        <w:t>VIF</w:t>
      </w:r>
      <w:r>
        <w:rPr>
          <w:rStyle w:val="10"/>
          <w:rFonts w:hint="eastAsia" w:eastAsia="Segoe UI" w:cs="Times New Roman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CFCFC"/>
          <w:vertAlign w:val="baseline"/>
          <w:lang w:val="en-US" w:eastAsia="zh-CN"/>
        </w:rPr>
        <w:t xml:space="preserve">, variance inflation factor </w:t>
      </w:r>
    </w:p>
    <w:p w14:paraId="012C3538">
      <w:pPr>
        <w:spacing w:line="480" w:lineRule="auto"/>
        <w:contextualSpacing/>
        <w:jc w:val="left"/>
        <w:rPr>
          <w:sz w:val="24"/>
          <w:szCs w:val="24"/>
        </w:rPr>
      </w:pPr>
    </w:p>
    <w:p w14:paraId="40B4BFDD">
      <w:pPr>
        <w:spacing w:line="480" w:lineRule="auto"/>
        <w:contextualSpacing/>
        <w:jc w:val="left"/>
      </w:pPr>
      <w:r>
        <w:br w:type="page"/>
      </w:r>
    </w:p>
    <w:p w14:paraId="1CC1740B">
      <w:pPr>
        <w:spacing w:line="480" w:lineRule="auto"/>
        <w:contextualSpacing/>
        <w:jc w:val="left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highlight w:val="none"/>
        </w:rPr>
        <w:t>Table S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3</w:t>
      </w:r>
      <w:r>
        <w:rPr>
          <w:b/>
          <w:bCs/>
          <w:sz w:val="24"/>
          <w:szCs w:val="24"/>
          <w:highlight w:val="none"/>
        </w:rPr>
        <w:t>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>Mediated effects of frailty in the association of multimorbidity with IC</w:t>
      </w:r>
      <w:r>
        <w:rPr>
          <w:rFonts w:hint="eastAsia"/>
          <w:sz w:val="24"/>
          <w:szCs w:val="24"/>
          <w:lang w:val="en-US" w:eastAsia="zh-CN"/>
        </w:rPr>
        <w:t xml:space="preserve"> decline</w:t>
      </w:r>
      <w:r>
        <w:rPr>
          <w:sz w:val="24"/>
          <w:szCs w:val="24"/>
        </w:rPr>
        <w:t>.</w:t>
      </w:r>
    </w:p>
    <w:tbl>
      <w:tblPr>
        <w:tblStyle w:val="8"/>
        <w:tblW w:w="4914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1"/>
        <w:gridCol w:w="2236"/>
        <w:gridCol w:w="1793"/>
        <w:gridCol w:w="1793"/>
        <w:gridCol w:w="1899"/>
        <w:gridCol w:w="1692"/>
        <w:gridCol w:w="1796"/>
      </w:tblGrid>
      <w:tr w14:paraId="09355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448D78D4">
            <w:r>
              <w:t>Outcome variable</w:t>
            </w:r>
          </w:p>
        </w:tc>
        <w:tc>
          <w:tcPr>
            <w:tcW w:w="80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6124A7">
            <w:r>
              <w:t>Predictor</w:t>
            </w:r>
          </w:p>
        </w:tc>
        <w:tc>
          <w:tcPr>
            <w:tcW w:w="6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C7C0A8">
            <w:r>
              <w:t>R</w:t>
            </w:r>
          </w:p>
        </w:tc>
        <w:tc>
          <w:tcPr>
            <w:tcW w:w="6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36CA66">
            <w:r>
              <w:t>R²</w:t>
            </w:r>
          </w:p>
        </w:tc>
        <w:tc>
          <w:tcPr>
            <w:tcW w:w="68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FF5B9C">
            <w:r>
              <w:t>F</w:t>
            </w:r>
          </w:p>
        </w:tc>
        <w:tc>
          <w:tcPr>
            <w:tcW w:w="60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6A3E20">
            <w:r>
              <w:t>β</w:t>
            </w:r>
          </w:p>
        </w:tc>
        <w:tc>
          <w:tcPr>
            <w:tcW w:w="64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DE176B">
            <w:r>
              <w:t>t</w:t>
            </w:r>
          </w:p>
        </w:tc>
      </w:tr>
      <w:tr w14:paraId="0AB10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8F729E">
            <w:r>
              <w:t>Frailty</w:t>
            </w:r>
          </w:p>
        </w:tc>
        <w:tc>
          <w:tcPr>
            <w:tcW w:w="80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2D09BD"/>
        </w:tc>
        <w:tc>
          <w:tcPr>
            <w:tcW w:w="64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DB788C">
            <w:r>
              <w:t>0.248</w:t>
            </w:r>
          </w:p>
        </w:tc>
        <w:tc>
          <w:tcPr>
            <w:tcW w:w="64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AC4103">
            <w:r>
              <w:t>0.061</w:t>
            </w:r>
          </w:p>
        </w:tc>
        <w:tc>
          <w:tcPr>
            <w:tcW w:w="6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470C19">
            <w:r>
              <w:t>30.412***</w:t>
            </w:r>
          </w:p>
        </w:tc>
        <w:tc>
          <w:tcPr>
            <w:tcW w:w="60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A7E63D"/>
        </w:tc>
        <w:tc>
          <w:tcPr>
            <w:tcW w:w="6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386CC1"/>
        </w:tc>
      </w:tr>
      <w:tr w14:paraId="52D29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E3FC78"/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59530D">
            <w:r>
              <w:t>Multimorbidity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3C9D4"/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F29505"/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BB3D6"/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3EFC7A">
            <w:r>
              <w:t>0.247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687EBA">
            <w:r>
              <w:t>5.515***</w:t>
            </w:r>
          </w:p>
        </w:tc>
      </w:tr>
      <w:tr w14:paraId="51106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14BB46">
            <w:pPr>
              <w:rPr>
                <w:rFonts w:hint="eastAsia" w:eastAsia="宋体"/>
                <w:lang w:val="en-US" w:eastAsia="zh-CN"/>
              </w:rPr>
            </w:pPr>
            <w:r>
              <w:t>IC</w:t>
            </w:r>
            <w:r>
              <w:rPr>
                <w:rFonts w:hint="eastAsia"/>
                <w:lang w:val="en-US" w:eastAsia="zh-CN"/>
              </w:rPr>
              <w:t xml:space="preserve"> decline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615A0D"/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C874AC">
            <w:r>
              <w:t>0.310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30BD0F">
            <w:r>
              <w:t>0.096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D1A25E">
            <w:r>
              <w:t>24.720***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4ED9A6"/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00858E"/>
        </w:tc>
      </w:tr>
      <w:tr w14:paraId="36D2F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594FEB"/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5BD55F">
            <w:r>
              <w:t>Multimorbidity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155FAD"/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04323D"/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07FF16"/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1E048">
            <w:r>
              <w:t>0.154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61C92">
            <w:r>
              <w:t>3.377***</w:t>
            </w:r>
          </w:p>
        </w:tc>
      </w:tr>
      <w:tr w14:paraId="1F729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7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6099F3A"/>
        </w:tc>
        <w:tc>
          <w:tcPr>
            <w:tcW w:w="8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A2E4A16">
            <w:r>
              <w:t>Frailty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CDD1BE9"/>
        </w:tc>
        <w:tc>
          <w:tcPr>
            <w:tcW w:w="6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984A563"/>
        </w:tc>
        <w:tc>
          <w:tcPr>
            <w:tcW w:w="68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0C9CEF5"/>
        </w:tc>
        <w:tc>
          <w:tcPr>
            <w:tcW w:w="60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91580EC">
            <w:r>
              <w:t>0.235</w:t>
            </w:r>
          </w:p>
        </w:tc>
        <w:tc>
          <w:tcPr>
            <w:tcW w:w="64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8FF9136">
            <w:r>
              <w:t>5.140***</w:t>
            </w:r>
          </w:p>
        </w:tc>
      </w:tr>
    </w:tbl>
    <w:p w14:paraId="09FC6E47">
      <w:pPr>
        <w:spacing w:line="480" w:lineRule="auto"/>
        <w:contextualSpacing/>
        <w:jc w:val="left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</w:rPr>
        <w:t>Abbreviations: IC: intrinsic capacity</w:t>
      </w:r>
    </w:p>
    <w:p w14:paraId="2810EEBC">
      <w:pPr>
        <w:widowControl/>
        <w:spacing w:line="480" w:lineRule="auto"/>
        <w:contextualSpacing/>
        <w:jc w:val="left"/>
        <w:rPr>
          <w:rFonts w:cs="Times New Roman"/>
        </w:rPr>
      </w:pPr>
      <w:r>
        <w:rPr>
          <w:rFonts w:cs="Times New Roman"/>
          <w:sz w:val="24"/>
          <w:szCs w:val="24"/>
          <w:lang w:val="pt-BR"/>
        </w:rPr>
        <w:t>Note: ***P＜0.001</w:t>
      </w:r>
      <w:r>
        <w:rPr>
          <w:rFonts w:cs="Times New Roman"/>
        </w:rPr>
        <w:br w:type="page"/>
      </w:r>
    </w:p>
    <w:p w14:paraId="194D0C00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highlight w:val="none"/>
        </w:rPr>
        <w:t>Table S</w:t>
      </w:r>
      <w:r>
        <w:rPr>
          <w:rFonts w:hint="eastAsia" w:cs="Times New Roman"/>
          <w:b/>
          <w:bCs/>
          <w:sz w:val="24"/>
          <w:szCs w:val="24"/>
          <w:highlight w:val="none"/>
          <w:lang w:val="en-US" w:eastAsia="zh-CN"/>
        </w:rPr>
        <w:t>4</w:t>
      </w:r>
      <w:r>
        <w:rPr>
          <w:rFonts w:cs="Times New Roman"/>
          <w:b/>
          <w:bCs/>
          <w:sz w:val="24"/>
          <w:szCs w:val="24"/>
          <w:highlight w:val="none"/>
        </w:rPr>
        <w:t>.</w:t>
      </w:r>
      <w:r>
        <w:rPr>
          <w:rFonts w:cs="Times New Roman"/>
          <w:sz w:val="24"/>
          <w:szCs w:val="24"/>
        </w:rPr>
        <w:t xml:space="preserve"> The mediation analyses between multimorbidity and IC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decline</w:t>
      </w:r>
      <w:r>
        <w:rPr>
          <w:rFonts w:cs="Times New Roman"/>
          <w:sz w:val="24"/>
          <w:szCs w:val="24"/>
        </w:rPr>
        <w:t>.</w:t>
      </w:r>
    </w:p>
    <w:tbl>
      <w:tblPr>
        <w:tblStyle w:val="8"/>
        <w:tblW w:w="10700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3535"/>
        <w:gridCol w:w="1136"/>
        <w:gridCol w:w="1655"/>
        <w:gridCol w:w="1607"/>
        <w:gridCol w:w="959"/>
      </w:tblGrid>
      <w:tr w14:paraId="23EA3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80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BD21685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Effect Type</w:t>
            </w:r>
          </w:p>
        </w:tc>
        <w:tc>
          <w:tcPr>
            <w:tcW w:w="353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5B6C0D7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Path</w:t>
            </w:r>
          </w:p>
        </w:tc>
        <w:tc>
          <w:tcPr>
            <w:tcW w:w="113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F10A762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Estimate</w:t>
            </w:r>
          </w:p>
        </w:tc>
        <w:tc>
          <w:tcPr>
            <w:tcW w:w="165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CF24C0B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95%CI Lower</w:t>
            </w:r>
          </w:p>
        </w:tc>
        <w:tc>
          <w:tcPr>
            <w:tcW w:w="160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65C1BFD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95%CI Upper</w:t>
            </w:r>
          </w:p>
        </w:tc>
        <w:tc>
          <w:tcPr>
            <w:tcW w:w="95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16AA7229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P-value</w:t>
            </w:r>
          </w:p>
        </w:tc>
      </w:tr>
      <w:tr w14:paraId="00A96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3972F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Direct effect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BD125">
            <w:pPr>
              <w:widowControl/>
              <w:textAlignment w:val="center"/>
              <w:rPr>
                <w:rFonts w:hint="eastAsia" w:eastAsia="宋体" w:cs="Times New Roman"/>
                <w:color w:val="000000"/>
                <w:lang w:val="en-US" w:eastAsia="zh-CN"/>
              </w:rPr>
            </w:pPr>
            <w:r>
              <w:rPr>
                <w:rFonts w:cs="Times New Roman"/>
                <w:color w:val="000000"/>
                <w:lang w:bidi="ar"/>
              </w:rPr>
              <w:t>Multimorbidity→IC</w:t>
            </w:r>
            <w:r>
              <w:rPr>
                <w:rFonts w:hint="eastAsia" w:cs="Times New Roman"/>
                <w:color w:val="000000"/>
                <w:lang w:val="en-US" w:eastAsia="zh-CN" w:bidi="ar"/>
              </w:rPr>
              <w:t xml:space="preserve"> decline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36803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0.154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CA0054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0.064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B43B4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0.243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0F1CE">
            <w:pPr>
              <w:widowControl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lang w:bidi="ar"/>
              </w:rPr>
              <w:t>＜</w:t>
            </w:r>
            <w:r>
              <w:rPr>
                <w:rFonts w:cs="Times New Roman"/>
                <w:color w:val="000000"/>
                <w:lang w:bidi="ar"/>
              </w:rPr>
              <w:t>0.001</w:t>
            </w:r>
          </w:p>
        </w:tc>
      </w:tr>
      <w:tr w14:paraId="13DFF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3D824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Indirect effect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7CA06">
            <w:pPr>
              <w:widowControl/>
              <w:textAlignment w:val="center"/>
              <w:rPr>
                <w:rFonts w:hint="eastAsia" w:eastAsia="宋体" w:cs="Times New Roman"/>
                <w:color w:val="000000"/>
                <w:lang w:val="en-US" w:eastAsia="zh-CN"/>
              </w:rPr>
            </w:pPr>
            <w:r>
              <w:rPr>
                <w:rFonts w:cs="Times New Roman"/>
                <w:color w:val="000000"/>
                <w:lang w:bidi="ar"/>
              </w:rPr>
              <w:t>Multimorbidity→Frailty→IC</w:t>
            </w:r>
            <w:r>
              <w:rPr>
                <w:rFonts w:hint="eastAsia" w:cs="Times New Roman"/>
                <w:color w:val="000000"/>
                <w:lang w:val="en-US" w:eastAsia="zh-CN" w:bidi="ar"/>
              </w:rPr>
              <w:t xml:space="preserve"> decline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8E319B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0.058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1D096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0.029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BFD0E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0.092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7F7F3">
            <w:pPr>
              <w:widowControl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lang w:bidi="ar"/>
              </w:rPr>
              <w:t>＜</w:t>
            </w:r>
            <w:r>
              <w:rPr>
                <w:rFonts w:cs="Times New Roman"/>
                <w:color w:val="000000"/>
                <w:lang w:bidi="ar"/>
              </w:rPr>
              <w:t>0.001</w:t>
            </w:r>
          </w:p>
        </w:tc>
      </w:tr>
      <w:tr w14:paraId="0A48C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8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1AFE611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Total Effect</w:t>
            </w:r>
          </w:p>
        </w:tc>
        <w:tc>
          <w:tcPr>
            <w:tcW w:w="35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419DB11">
            <w:pPr>
              <w:rPr>
                <w:rFonts w:ascii="宋体" w:hAnsi="宋体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EF5DA32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0.211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8C05A6D">
            <w:pPr>
              <w:widowControl/>
              <w:textAlignment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bidi="ar"/>
              </w:rPr>
              <w:t>0.123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659CC28">
            <w:pPr>
              <w:widowControl/>
              <w:textAlignment w:val="center"/>
              <w:rPr>
                <w:rFonts w:hint="default" w:eastAsia="宋体" w:cs="Times New Roman"/>
                <w:color w:val="000000"/>
                <w:lang w:val="en-US" w:eastAsia="zh-CN"/>
              </w:rPr>
            </w:pPr>
            <w:r>
              <w:rPr>
                <w:rFonts w:cs="Times New Roman"/>
                <w:color w:val="000000"/>
                <w:lang w:bidi="ar"/>
              </w:rPr>
              <w:t>0.3</w:t>
            </w:r>
            <w:r>
              <w:rPr>
                <w:rFonts w:hint="eastAsia" w:cs="Times New Roman"/>
                <w:color w:val="000000"/>
                <w:lang w:val="en-US" w:eastAsia="zh-CN" w:bidi="ar"/>
              </w:rPr>
              <w:t>00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DF9FC16">
            <w:pPr>
              <w:widowControl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lang w:bidi="ar"/>
              </w:rPr>
              <w:t>＜</w:t>
            </w:r>
            <w:r>
              <w:rPr>
                <w:rFonts w:cs="Times New Roman"/>
                <w:color w:val="000000"/>
                <w:lang w:bidi="ar"/>
              </w:rPr>
              <w:t>0.001</w:t>
            </w:r>
          </w:p>
        </w:tc>
      </w:tr>
    </w:tbl>
    <w:p w14:paraId="636644B6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Abbreviations: IC: intrinsic capacity</w:t>
      </w:r>
    </w:p>
    <w:p w14:paraId="55F99FE9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327DCD5A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5AB5A467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144610A3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3C825238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46880F87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2858F822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5F9A8417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3B9F2806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2015164F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21D12233">
      <w:pPr>
        <w:spacing w:line="480" w:lineRule="auto"/>
        <w:contextualSpacing/>
        <w:jc w:val="left"/>
      </w:pPr>
      <w:r>
        <w:br w:type="page"/>
      </w:r>
    </w:p>
    <w:p w14:paraId="177C21F5">
      <w:pPr>
        <w:spacing w:line="480" w:lineRule="auto"/>
        <w:contextualSpacing/>
        <w:jc w:val="left"/>
        <w:sectPr>
          <w:endnotePr>
            <w:numFmt w:val="decimal"/>
          </w:endnotePr>
          <w:pgSz w:w="16838" w:h="11906" w:orient="landscape"/>
          <w:pgMar w:top="1440" w:right="1440" w:bottom="1440" w:left="1440" w:header="720" w:footer="720" w:gutter="0"/>
          <w:lnNumType w:countBy="1" w:restart="continuous"/>
          <w:cols w:space="425" w:num="1"/>
          <w:docGrid w:type="lines" w:linePitch="312" w:charSpace="0"/>
        </w:sectPr>
      </w:pPr>
    </w:p>
    <w:p w14:paraId="2CD9D802">
      <w:pPr>
        <w:spacing w:line="480" w:lineRule="auto"/>
        <w:contextualSpacing/>
        <w:jc w:val="left"/>
      </w:pPr>
      <w:r>
        <w:drawing>
          <wp:inline distT="0" distB="0" distL="114300" distR="114300">
            <wp:extent cx="3599180" cy="3599815"/>
            <wp:effectExtent l="0" t="0" r="7620" b="6985"/>
            <wp:docPr id="3" name="图片 3" descr="Logistic_plot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ogistic_plot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918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081CB">
      <w:pPr>
        <w:spacing w:line="480" w:lineRule="auto"/>
        <w:contextualSpacing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Fig.</w:t>
      </w:r>
      <w:r>
        <w:rPr>
          <w:rFonts w:hint="eastAsia"/>
          <w:b/>
          <w:bCs/>
          <w:sz w:val="24"/>
          <w:szCs w:val="24"/>
        </w:rPr>
        <w:t xml:space="preserve"> S1</w:t>
      </w: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Weighted restricted cubic spline curve describing the relationship between multimorbidity and IC</w:t>
      </w:r>
      <w:r>
        <w:rPr>
          <w:rFonts w:hint="eastAsia"/>
          <w:sz w:val="24"/>
          <w:szCs w:val="24"/>
          <w:lang w:val="en-US" w:eastAsia="zh-CN"/>
        </w:rPr>
        <w:t xml:space="preserve"> decline</w:t>
      </w:r>
      <w:r>
        <w:rPr>
          <w:sz w:val="24"/>
          <w:szCs w:val="24"/>
        </w:rPr>
        <w:t>.</w:t>
      </w:r>
    </w:p>
    <w:p w14:paraId="57EF452C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Abbreviations: IC: intrinsic capacity</w:t>
      </w:r>
    </w:p>
    <w:p w14:paraId="3349D7E4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725C4003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57D91ED6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14CEA176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095D7FE7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17621639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500A9B07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5320C183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488E1E71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6B494B52">
      <w:pPr>
        <w:spacing w:line="480" w:lineRule="auto"/>
        <w:contextualSpacing/>
        <w:jc w:val="left"/>
        <w:rPr>
          <w:rFonts w:cs="Times New Roman"/>
          <w:sz w:val="24"/>
          <w:szCs w:val="24"/>
        </w:rPr>
      </w:pPr>
    </w:p>
    <w:p w14:paraId="40DA9C50">
      <w:pP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t xml:space="preserve">Supplementary 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instrText xml:space="preserve"> HYPERLINK "https://static-content.springer.com/esm/art:10.1186/s12916-023-02760-7/MediaObjects/12916_2023_2760_MOESM1_ESM.pdf" </w:instrTex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fldChar w:fldCharType="separate"/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t>file 1.</w:t>
      </w:r>
      <w:r>
        <w:rPr>
          <w:rFonts w:hint="default" w:ascii="Times New Roman" w:hAnsi="Times New Roman" w:eastAsia="宋体" w:cs="宋体"/>
          <w:b/>
          <w:bCs/>
          <w:kern w:val="0"/>
          <w:sz w:val="24"/>
          <w:szCs w:val="24"/>
          <w:lang w:val="en-US" w:eastAsia="zh-CN" w:bidi="ar-SA"/>
        </w:rPr>
        <w:fldChar w:fldCharType="end"/>
      </w:r>
      <w:r>
        <w:rPr>
          <w:rFonts w:hint="eastAsia" w:ascii="Times New Roman" w:hAnsi="Times New Roman" w:cs="宋体"/>
          <w:b/>
          <w:bCs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Disease names included in “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multimorbidity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”</w:t>
      </w:r>
    </w:p>
    <w:p w14:paraId="64F0563E">
      <w:pPr>
        <w:rPr>
          <w:rFonts w:hint="default"/>
          <w:lang w:val="en-US" w:eastAsia="zh-CN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2"/>
        <w:gridCol w:w="6111"/>
      </w:tblGrid>
      <w:tr w14:paraId="07F4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71ADE7B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D542157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Disease Names</w:t>
            </w:r>
          </w:p>
        </w:tc>
      </w:tr>
      <w:tr w14:paraId="0E813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2CC07EF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88DE3F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Diabetes Mellitus</w:t>
            </w:r>
          </w:p>
        </w:tc>
      </w:tr>
      <w:tr w14:paraId="70239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D8917F9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B01C74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Hyperlipidemia</w:t>
            </w:r>
          </w:p>
        </w:tc>
      </w:tr>
      <w:tr w14:paraId="13728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B5AE76A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E2A354E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Coronary Heart Disease</w:t>
            </w:r>
          </w:p>
        </w:tc>
      </w:tr>
      <w:tr w14:paraId="3B811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FEF432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DBB8850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Heart Failure</w:t>
            </w:r>
          </w:p>
        </w:tc>
      </w:tr>
      <w:tr w14:paraId="3D2E4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EC5733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EC94AF8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Atrial Fibrillation</w:t>
            </w:r>
          </w:p>
        </w:tc>
      </w:tr>
      <w:tr w14:paraId="5C783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48D7D7D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859051D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Stroke/Transient Ischemic Attack (TIA)</w:t>
            </w:r>
          </w:p>
        </w:tc>
      </w:tr>
      <w:tr w14:paraId="352B1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5E60A99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1924D6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Chronic Obstructive Pulmonary Disease (COPD)</w:t>
            </w:r>
          </w:p>
        </w:tc>
      </w:tr>
      <w:tr w14:paraId="4CB2E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DDBEDEE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AF2654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Chronic Gastroenteritis</w:t>
            </w:r>
          </w:p>
        </w:tc>
      </w:tr>
      <w:tr w14:paraId="5AFB1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9C2E9BD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000D48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Chronic Liver Disease</w:t>
            </w:r>
          </w:p>
        </w:tc>
      </w:tr>
      <w:tr w14:paraId="4A315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8EF97A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A478762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Chronic Kidney Disease</w:t>
            </w:r>
          </w:p>
        </w:tc>
      </w:tr>
      <w:tr w14:paraId="3893C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178C3F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ABBEA3C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Parkinson's Disease</w:t>
            </w:r>
          </w:p>
        </w:tc>
      </w:tr>
      <w:tr w14:paraId="2995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4443C7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89A9537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Malignant Tumor</w:t>
            </w:r>
          </w:p>
        </w:tc>
      </w:tr>
      <w:tr w14:paraId="208A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A63C4DA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AC79D82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Dementia</w:t>
            </w:r>
          </w:p>
        </w:tc>
      </w:tr>
      <w:tr w14:paraId="2ABC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56C7E41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597C98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Depression</w:t>
            </w:r>
          </w:p>
        </w:tc>
      </w:tr>
      <w:tr w14:paraId="0C4D2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C291CCD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0E4443F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Anxiety</w:t>
            </w:r>
          </w:p>
        </w:tc>
      </w:tr>
      <w:tr w14:paraId="49DB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17DB1FC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ADA7A8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Delirium</w:t>
            </w:r>
          </w:p>
        </w:tc>
      </w:tr>
      <w:tr w14:paraId="7BD97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EC3B01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9B53925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Neurasthenia</w:t>
            </w:r>
          </w:p>
        </w:tc>
      </w:tr>
      <w:tr w14:paraId="0F8CD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9A4A43A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40144DC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Mental Disorder</w:t>
            </w:r>
          </w:p>
        </w:tc>
      </w:tr>
      <w:tr w14:paraId="7EFD2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</w:trPr>
        <w:tc>
          <w:tcPr>
            <w:tcW w:w="109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F7E1A73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11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73B631">
            <w:pPr>
              <w:pStyle w:val="1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Other chronic conditions</w:t>
            </w:r>
          </w:p>
        </w:tc>
      </w:tr>
    </w:tbl>
    <w:p w14:paraId="6A44E914">
      <w:pPr>
        <w:spacing w:line="480" w:lineRule="auto"/>
        <w:contextualSpacing/>
        <w:jc w:val="left"/>
        <w:rPr>
          <w:rFonts w:hint="eastAsia" w:eastAsia="宋体" w:cs="Times New Roman"/>
          <w:sz w:val="24"/>
          <w:szCs w:val="24"/>
          <w:lang w:val="en-US" w:eastAsia="zh-CN"/>
        </w:rPr>
      </w:pPr>
    </w:p>
    <w:p w14:paraId="2732C931">
      <w:pPr>
        <w:spacing w:line="480" w:lineRule="auto"/>
        <w:contextualSpacing/>
        <w:jc w:val="left"/>
        <w:rPr>
          <w:rFonts w:hint="eastAsia" w:eastAsia="宋体" w:cs="Times New Roman"/>
          <w:sz w:val="24"/>
          <w:szCs w:val="24"/>
          <w:lang w:val="en-US" w:eastAsia="zh-CN"/>
        </w:rPr>
      </w:pPr>
    </w:p>
    <w:p w14:paraId="2BB048B0">
      <w:pPr>
        <w:spacing w:line="480" w:lineRule="auto"/>
        <w:contextualSpacing/>
        <w:jc w:val="left"/>
        <w:rPr>
          <w:rFonts w:hint="eastAsia" w:eastAsia="宋体" w:cs="Times New Roman"/>
          <w:sz w:val="24"/>
          <w:szCs w:val="24"/>
          <w:lang w:val="en-US" w:eastAsia="zh-CN"/>
        </w:rPr>
      </w:pPr>
    </w:p>
    <w:p w14:paraId="6B32D8F2">
      <w:pPr>
        <w:spacing w:line="480" w:lineRule="auto"/>
        <w:contextualSpacing/>
        <w:jc w:val="left"/>
        <w:rPr>
          <w:rFonts w:hint="eastAsia" w:eastAsia="宋体" w:cs="Times New Roman"/>
          <w:sz w:val="24"/>
          <w:szCs w:val="24"/>
          <w:lang w:val="en-US" w:eastAsia="zh-CN"/>
        </w:rPr>
      </w:pPr>
    </w:p>
    <w:p w14:paraId="088A1A03">
      <w:pPr>
        <w:spacing w:line="480" w:lineRule="auto"/>
        <w:contextualSpacing/>
        <w:jc w:val="left"/>
        <w:rPr>
          <w:rFonts w:hint="eastAsia" w:eastAsia="宋体" w:cs="Times New Roman"/>
          <w:sz w:val="24"/>
          <w:szCs w:val="24"/>
          <w:lang w:val="en-US" w:eastAsia="zh-CN"/>
        </w:rPr>
      </w:pPr>
    </w:p>
    <w:p w14:paraId="3938EE92">
      <w:pPr>
        <w:spacing w:line="480" w:lineRule="auto"/>
        <w:contextualSpacing/>
        <w:jc w:val="left"/>
        <w:rPr>
          <w:rFonts w:hint="eastAsia" w:eastAsia="宋体" w:cs="Times New Roman"/>
          <w:sz w:val="24"/>
          <w:szCs w:val="24"/>
          <w:lang w:val="en-US" w:eastAsia="zh-CN"/>
        </w:rPr>
      </w:pPr>
    </w:p>
    <w:p w14:paraId="6593034C">
      <w:pPr>
        <w:ind w:firstLine="9156" w:firstLineChars="3800"/>
        <w:rPr>
          <w:rFonts w:hint="eastAsia" w:eastAsia="宋体" w:cs="Times New Roman"/>
          <w:sz w:val="24"/>
          <w:szCs w:val="24"/>
          <w:lang w:val="en-US" w:eastAsia="zh-CN"/>
        </w:rPr>
      </w:pPr>
      <w:r>
        <w:rPr>
          <w:rFonts w:hint="eastAsia" w:cs="宋体"/>
          <w:b/>
          <w:bCs/>
          <w:kern w:val="0"/>
          <w:sz w:val="24"/>
          <w:szCs w:val="24"/>
          <w:highlight w:val="none"/>
          <w:lang w:val="en-US" w:eastAsia="zh-CN" w:bidi="ar-SA"/>
        </w:rPr>
        <w:t xml:space="preserve">     </w:t>
      </w:r>
    </w:p>
    <w:sectPr>
      <w:endnotePr>
        <w:numFmt w:val="decimal"/>
      </w:endnotePr>
      <w:pgSz w:w="11906" w:h="16838"/>
      <w:pgMar w:top="1440" w:right="1440" w:bottom="1440" w:left="1440" w:header="720" w:footer="720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B02060"/>
    <w:multiLevelType w:val="multilevel"/>
    <w:tmpl w:val="14B02060"/>
    <w:lvl w:ilvl="0" w:tentative="0">
      <w:start w:val="1"/>
      <w:numFmt w:val="chineseCounting"/>
      <w:pStyle w:val="2"/>
      <w:suff w:val="nothing"/>
      <w:lvlText w:val="第%1章"/>
      <w:lvlJc w:val="left"/>
      <w:pPr>
        <w:tabs>
          <w:tab w:val="left" w:pos="0"/>
        </w:tabs>
        <w:ind w:left="0" w:leftChars="0" w:firstLine="0" w:firstLineChars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 w:tentative="0">
      <w:start w:val="1"/>
      <w:numFmt w:val="chineseCounting"/>
      <w:pStyle w:val="3"/>
      <w:suff w:val="nothing"/>
      <w:lvlText w:val="%2、"/>
      <w:lvlJc w:val="left"/>
      <w:pPr>
        <w:tabs>
          <w:tab w:val="left" w:pos="0"/>
        </w:tabs>
        <w:ind w:left="420" w:leftChars="0" w:hanging="420" w:firstLineChars="0"/>
      </w:pPr>
      <w:rPr>
        <w:rFonts w:hint="eastAsia" w:eastAsia="黑体"/>
        <w:sz w:val="28"/>
      </w:rPr>
    </w:lvl>
    <w:lvl w:ilvl="2" w:tentative="0">
      <w:start w:val="1"/>
      <w:numFmt w:val="chineseCounting"/>
      <w:suff w:val="nothing"/>
      <w:lvlText w:val="（%3）"/>
      <w:lvlJc w:val="left"/>
      <w:pPr>
        <w:tabs>
          <w:tab w:val="left" w:pos="0"/>
        </w:tabs>
        <w:ind w:left="420" w:leftChars="0" w:hanging="420" w:firstLineChars="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42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46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50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54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58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630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C650B"/>
    <w:rsid w:val="018E5574"/>
    <w:rsid w:val="01C24B2E"/>
    <w:rsid w:val="0252665D"/>
    <w:rsid w:val="02BA4D88"/>
    <w:rsid w:val="02D30A93"/>
    <w:rsid w:val="04277401"/>
    <w:rsid w:val="044004C3"/>
    <w:rsid w:val="04FA0D30"/>
    <w:rsid w:val="054F6A7F"/>
    <w:rsid w:val="064864F0"/>
    <w:rsid w:val="07184A16"/>
    <w:rsid w:val="082D7376"/>
    <w:rsid w:val="088C0035"/>
    <w:rsid w:val="09E162A4"/>
    <w:rsid w:val="0B746D8E"/>
    <w:rsid w:val="0FA80D0E"/>
    <w:rsid w:val="11522378"/>
    <w:rsid w:val="11755B31"/>
    <w:rsid w:val="13086C25"/>
    <w:rsid w:val="143B75BD"/>
    <w:rsid w:val="159E329B"/>
    <w:rsid w:val="17E730DB"/>
    <w:rsid w:val="19DB757A"/>
    <w:rsid w:val="1A963677"/>
    <w:rsid w:val="2019242C"/>
    <w:rsid w:val="21320C88"/>
    <w:rsid w:val="21D43BB2"/>
    <w:rsid w:val="23931F66"/>
    <w:rsid w:val="23D437CC"/>
    <w:rsid w:val="26F60889"/>
    <w:rsid w:val="270D0652"/>
    <w:rsid w:val="27E4661C"/>
    <w:rsid w:val="28BE5377"/>
    <w:rsid w:val="28C80F33"/>
    <w:rsid w:val="29832072"/>
    <w:rsid w:val="2D2A790C"/>
    <w:rsid w:val="2E973EBA"/>
    <w:rsid w:val="2ED645E4"/>
    <w:rsid w:val="2EF20488"/>
    <w:rsid w:val="2F6443EC"/>
    <w:rsid w:val="3086432B"/>
    <w:rsid w:val="31842B1D"/>
    <w:rsid w:val="322F530A"/>
    <w:rsid w:val="345552A6"/>
    <w:rsid w:val="36610C19"/>
    <w:rsid w:val="396E459F"/>
    <w:rsid w:val="3B1D2B44"/>
    <w:rsid w:val="3B7178ED"/>
    <w:rsid w:val="3E407487"/>
    <w:rsid w:val="40714A07"/>
    <w:rsid w:val="41876003"/>
    <w:rsid w:val="430429CE"/>
    <w:rsid w:val="43CB4FBC"/>
    <w:rsid w:val="46D67162"/>
    <w:rsid w:val="49984290"/>
    <w:rsid w:val="4B1C1CAF"/>
    <w:rsid w:val="4B89625F"/>
    <w:rsid w:val="4BF31240"/>
    <w:rsid w:val="4C962698"/>
    <w:rsid w:val="4CA709BD"/>
    <w:rsid w:val="4D6712BE"/>
    <w:rsid w:val="4EE105EA"/>
    <w:rsid w:val="4F1A0BCA"/>
    <w:rsid w:val="4FD345C6"/>
    <w:rsid w:val="54421915"/>
    <w:rsid w:val="55A573C8"/>
    <w:rsid w:val="56424C24"/>
    <w:rsid w:val="56F03BE2"/>
    <w:rsid w:val="57273B22"/>
    <w:rsid w:val="58381394"/>
    <w:rsid w:val="58D33E46"/>
    <w:rsid w:val="5A417D89"/>
    <w:rsid w:val="5A673E72"/>
    <w:rsid w:val="5C3E57A7"/>
    <w:rsid w:val="5C6B141E"/>
    <w:rsid w:val="5FA62EFB"/>
    <w:rsid w:val="602C7558"/>
    <w:rsid w:val="616C4407"/>
    <w:rsid w:val="659473B3"/>
    <w:rsid w:val="664221BC"/>
    <w:rsid w:val="69260EFE"/>
    <w:rsid w:val="69291745"/>
    <w:rsid w:val="6950585D"/>
    <w:rsid w:val="6AEF453E"/>
    <w:rsid w:val="6C2E088C"/>
    <w:rsid w:val="6CDA368C"/>
    <w:rsid w:val="6E812BB5"/>
    <w:rsid w:val="6F30480B"/>
    <w:rsid w:val="6F4A6A75"/>
    <w:rsid w:val="6FCD41FA"/>
    <w:rsid w:val="70FA04FB"/>
    <w:rsid w:val="717B4497"/>
    <w:rsid w:val="71E66C33"/>
    <w:rsid w:val="760975DD"/>
    <w:rsid w:val="7728448C"/>
    <w:rsid w:val="7C907650"/>
    <w:rsid w:val="7E541651"/>
    <w:rsid w:val="7F1C00E5"/>
    <w:rsid w:val="7F9E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numPr>
        <w:ilvl w:val="0"/>
        <w:numId w:val="1"/>
      </w:numPr>
      <w:spacing w:before="340" w:after="50" w:line="578" w:lineRule="auto"/>
      <w:ind w:firstLine="0" w:firstLineChars="0"/>
      <w:jc w:val="center"/>
      <w:outlineLvl w:val="0"/>
    </w:pPr>
    <w:rPr>
      <w:rFonts w:ascii="Times New Roman" w:hAnsi="Times New Roman" w:eastAsia="黑体"/>
      <w:kern w:val="44"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keepNext/>
      <w:keepLines/>
      <w:numPr>
        <w:ilvl w:val="1"/>
        <w:numId w:val="1"/>
      </w:numPr>
      <w:spacing w:before="0" w:after="0"/>
      <w:ind w:left="0" w:firstLine="420" w:firstLineChars="200"/>
      <w:jc w:val="left"/>
      <w:outlineLvl w:val="1"/>
    </w:pPr>
    <w:rPr>
      <w:rFonts w:eastAsia="黑体" w:asciiTheme="majorAscii" w:hAnsiTheme="majorAscii" w:cstheme="majorBidi"/>
      <w:sz w:val="28"/>
      <w:szCs w:val="28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rFonts w:ascii="Arial" w:hAnsi="Arial" w:eastAsia="宋体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  <w:rPr>
      <w:rFonts w:ascii="Tahoma" w:hAnsi="Tahoma" w:cs="Tahoma"/>
      <w:sz w:val="16"/>
    </w:rPr>
  </w:style>
  <w:style w:type="paragraph" w:styleId="7">
    <w:name w:val="endnote text"/>
    <w:basedOn w:val="1"/>
    <w:link w:val="17"/>
    <w:qFormat/>
    <w:uiPriority w:val="0"/>
    <w:pPr>
      <w:snapToGrid w:val="0"/>
      <w:jc w:val="left"/>
    </w:pPr>
    <w:rPr>
      <w:rFonts w:ascii="Times New Roman" w:hAnsi="Times New Roman" w:cs="宋体" w:eastAsiaTheme="minorEastAsia"/>
      <w:sz w:val="18"/>
      <w:szCs w:val="22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ndnote reference"/>
    <w:basedOn w:val="9"/>
    <w:qFormat/>
    <w:uiPriority w:val="0"/>
    <w:rPr>
      <w:rFonts w:ascii="Times New Roman" w:hAnsi="Times New Roman" w:eastAsia="宋体"/>
      <w:sz w:val="24"/>
      <w:szCs w:val="24"/>
      <w:vertAlign w:val="baseline"/>
    </w:rPr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yperlink"/>
    <w:basedOn w:val="9"/>
    <w:qFormat/>
    <w:uiPriority w:val="0"/>
    <w:rPr>
      <w:color w:val="0000FF"/>
      <w:u w:val="single"/>
    </w:rPr>
  </w:style>
  <w:style w:type="character" w:styleId="14">
    <w:name w:val="annotation reference"/>
    <w:basedOn w:val="9"/>
    <w:qFormat/>
    <w:uiPriority w:val="0"/>
    <w:rPr>
      <w:sz w:val="21"/>
      <w:szCs w:val="21"/>
    </w:rPr>
  </w:style>
  <w:style w:type="character" w:customStyle="1" w:styleId="15">
    <w:name w:val="标题 3 Char"/>
    <w:link w:val="4"/>
    <w:qFormat/>
    <w:uiPriority w:val="0"/>
    <w:rPr>
      <w:rFonts w:hint="eastAsia" w:ascii="Times New Roman" w:hAnsi="Times New Roman" w:eastAsia="宋体" w:cs="宋体"/>
      <w:b/>
      <w:bCs/>
      <w:kern w:val="0"/>
      <w:sz w:val="24"/>
      <w:szCs w:val="27"/>
      <w:lang w:val="en-US" w:eastAsia="zh-CN" w:bidi="ar"/>
    </w:rPr>
  </w:style>
  <w:style w:type="character" w:customStyle="1" w:styleId="16">
    <w:name w:val="标题 2 Char"/>
    <w:link w:val="3"/>
    <w:qFormat/>
    <w:uiPriority w:val="0"/>
    <w:rPr>
      <w:rFonts w:ascii="宋体" w:hAnsi="宋体" w:eastAsia="黑体" w:cs="宋体"/>
      <w:sz w:val="32"/>
    </w:rPr>
  </w:style>
  <w:style w:type="character" w:customStyle="1" w:styleId="17">
    <w:name w:val="尾注文本 Char"/>
    <w:link w:val="7"/>
    <w:qFormat/>
    <w:uiPriority w:val="0"/>
    <w:rPr>
      <w:rFonts w:ascii="Times New Roman" w:hAnsi="Times New Roman" w:cs="宋体" w:eastAsiaTheme="minorEastAsia"/>
      <w:sz w:val="18"/>
      <w:szCs w:val="22"/>
    </w:rPr>
  </w:style>
  <w:style w:type="character" w:customStyle="1" w:styleId="18">
    <w:name w:val="标题 1 字符"/>
    <w:basedOn w:val="9"/>
    <w:link w:val="2"/>
    <w:qFormat/>
    <w:uiPriority w:val="9"/>
    <w:rPr>
      <w:rFonts w:ascii="Times New Roman" w:hAnsi="Times New Roman" w:eastAsia="黑体"/>
      <w:kern w:val="44"/>
      <w:sz w:val="32"/>
      <w:szCs w:val="32"/>
    </w:rPr>
  </w:style>
  <w:style w:type="paragraph" w:customStyle="1" w:styleId="19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351</Words>
  <Characters>2235</Characters>
  <Lines>0</Lines>
  <Paragraphs>0</Paragraphs>
  <TotalTime>3</TotalTime>
  <ScaleCrop>false</ScaleCrop>
  <LinksUpToDate>false</LinksUpToDate>
  <CharactersWithSpaces>2434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2024-06-14T06:32:00Z</dcterms:created>
  <dc:creator>小肖小肖永远在笑</dc:creator>
  <cp:lastModifiedBy>Author</cp:lastModifiedBy>
  <dcterms:modified xsi:type="dcterms:W3CDTF">2025-09-24T11:20:24Z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ADF80536BA954786951A3E7138D40362_12</vt:lpwstr>
  </property>
  <property fmtid="{D5CDD505-2E9C-101B-9397-08002B2CF9AE}" pid="4" name="KSOTemplateDocerSaveRecord">
    <vt:lpwstr>eyJoZGlkIjoiYzIzYTZjMTlkMmVkYWJmNjE4MzRhNjQ1YjJkYjQwNTEiLCJ1c2VySWQiOiIzMzIzMjM1MzkifQ==</vt:lpwstr>
  </property>
</Properties>
</file>