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C23AE1">
      <w:pPr>
        <w:widowControl/>
        <w:jc w:val="left"/>
        <w:outlineLvl w:val="0"/>
        <w:rPr>
          <w:rFonts w:hint="default" w:ascii="Times New Roman Bold" w:hAnsi="Times New Roman Bold" w:eastAsia="Helvetica" w:cs="Times New Roman Bold"/>
          <w:b/>
          <w:bCs/>
          <w:kern w:val="0"/>
          <w:sz w:val="30"/>
          <w:szCs w:val="30"/>
          <w:highlight w:val="none"/>
          <w:lang w:val="en-US"/>
        </w:rPr>
      </w:pPr>
      <w:r>
        <w:rPr>
          <w:rFonts w:hint="default" w:ascii="Times New Roman Bold" w:hAnsi="Times New Roman Bold" w:eastAsia="Helvetica" w:cs="Times New Roman Bold"/>
          <w:b/>
          <w:bCs/>
          <w:kern w:val="0"/>
          <w:sz w:val="30"/>
          <w:szCs w:val="30"/>
          <w:highlight w:val="none"/>
          <w:lang w:val="en-US"/>
        </w:rPr>
        <w:t>Appendix 1</w:t>
      </w:r>
    </w:p>
    <w:p w14:paraId="40BCE3FE">
      <w:pPr>
        <w:pStyle w:val="10"/>
        <w:numPr>
          <w:ilvl w:val="0"/>
          <w:numId w:val="0"/>
        </w:numPr>
        <w:jc w:val="left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  <w14:ligatures w14:val="none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  <w14:ligatures w14:val="none"/>
        </w:rPr>
        <w:t>1.Verbatim item wording for both attention-check pairs</w:t>
      </w:r>
    </w:p>
    <w:p w14:paraId="62EDDB7F">
      <w:pPr>
        <w:pStyle w:val="10"/>
        <w:jc w:val="center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  <w14:ligatures w14:val="none"/>
        </w:rPr>
      </w:pPr>
      <w:r>
        <w:rPr>
          <w:highlight w:val="none"/>
        </w:rPr>
        <w:t xml:space="preserve">Table </w:t>
      </w:r>
      <w:r>
        <w:rPr>
          <w:rFonts w:hint="default"/>
          <w:highlight w:val="none"/>
          <w:lang w:val="en-US"/>
        </w:rPr>
        <w:t>S</w:t>
      </w:r>
      <w:r>
        <w:rPr>
          <w:rFonts w:hint="eastAsia"/>
          <w:highlight w:val="none"/>
          <w:lang w:val="en-US" w:eastAsia="zh-CN"/>
        </w:rPr>
        <w:t>1</w:t>
      </w:r>
      <w:r>
        <w:rPr>
          <w:highlight w:val="none"/>
        </w:rPr>
        <w:t xml:space="preserve">  </w:t>
      </w:r>
      <w:r>
        <w:rPr>
          <w:rFonts w:hint="eastAsia"/>
          <w:highlight w:val="none"/>
        </w:rPr>
        <w:t>Verbatim item wording for both attention-check pairs</w:t>
      </w:r>
    </w:p>
    <w:tbl>
      <w:tblPr>
        <w:tblStyle w:val="3"/>
        <w:tblW w:w="84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80" w:type="dxa"/>
          <w:left w:w="128" w:type="dxa"/>
          <w:bottom w:w="80" w:type="dxa"/>
          <w:right w:w="128" w:type="dxa"/>
        </w:tblCellMar>
      </w:tblPr>
      <w:tblGrid>
        <w:gridCol w:w="2504"/>
        <w:gridCol w:w="2879"/>
        <w:gridCol w:w="3051"/>
      </w:tblGrid>
      <w:tr w14:paraId="6BF93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tblHeader/>
          <w:jc w:val="center"/>
        </w:trPr>
        <w:tc>
          <w:tcPr>
            <w:tcW w:w="2504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400FD577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  <w:t>air</w:t>
            </w:r>
          </w:p>
        </w:tc>
        <w:tc>
          <w:tcPr>
            <w:tcW w:w="2879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3590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Item (English)</w:t>
            </w:r>
          </w:p>
        </w:tc>
        <w:tc>
          <w:tcPr>
            <w:tcW w:w="3051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vAlign w:val="center"/>
          </w:tcPr>
          <w:p w14:paraId="27B19B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Scale</w:t>
            </w:r>
          </w:p>
        </w:tc>
      </w:tr>
      <w:tr w14:paraId="2513B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2504" w:type="dxa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EE5CE1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Sleep</w:t>
            </w:r>
          </w:p>
        </w:tc>
        <w:tc>
          <w:tcPr>
            <w:tcW w:w="2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D0265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In the past month, how would you rate your overall sleep quality?</w:t>
            </w:r>
          </w:p>
        </w:tc>
        <w:tc>
          <w:tcPr>
            <w:tcW w:w="3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vAlign w:val="center"/>
          </w:tcPr>
          <w:p w14:paraId="33DAA41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5-point: very good → very poor</w:t>
            </w:r>
          </w:p>
        </w:tc>
      </w:tr>
      <w:tr w14:paraId="2FA4F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2504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27A096">
            <w:pPr>
              <w:snapToGrid w:val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FAB54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I have been having trouble sleeping recently.</w:t>
            </w:r>
          </w:p>
        </w:tc>
        <w:tc>
          <w:tcPr>
            <w:tcW w:w="3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vAlign w:val="center"/>
          </w:tcPr>
          <w:p w14:paraId="521FE04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5-point: strongly disagree → strongly agree</w:t>
            </w:r>
          </w:p>
        </w:tc>
      </w:tr>
      <w:tr w14:paraId="4E90E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2504" w:type="dxa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889BC1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Health-information engagement</w:t>
            </w:r>
          </w:p>
        </w:tc>
        <w:tc>
          <w:tcPr>
            <w:tcW w:w="2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D94F7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In the past month, how often have you actively paid attention to and searched for health-related information?</w:t>
            </w:r>
          </w:p>
        </w:tc>
        <w:tc>
          <w:tcPr>
            <w:tcW w:w="3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vAlign w:val="center"/>
          </w:tcPr>
          <w:p w14:paraId="360E718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5-point: never → very often</w:t>
            </w:r>
          </w:p>
        </w:tc>
      </w:tr>
      <w:tr w14:paraId="1D4CB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2504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48DDB64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879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137922D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I don't pay attention to health knowledge and information.</w:t>
            </w:r>
          </w:p>
        </w:tc>
        <w:tc>
          <w:tcPr>
            <w:tcW w:w="3051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center"/>
          </w:tcPr>
          <w:p w14:paraId="5C40471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5-point: strongly disagree → strongly agree</w:t>
            </w:r>
          </w:p>
        </w:tc>
      </w:tr>
    </w:tbl>
    <w:p w14:paraId="4D24D800">
      <w:pPr>
        <w:pStyle w:val="10"/>
        <w:jc w:val="left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  <w14:ligatures w14:val="none"/>
        </w:rPr>
      </w:pPr>
    </w:p>
    <w:p w14:paraId="A03F87B0">
      <w:pPr>
        <w:pStyle w:val="10"/>
        <w:jc w:val="left"/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  <w14:ligatures w14:val="none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  <w14:ligatures w14:val="none"/>
        </w:rPr>
        <w:t>1.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  <w14:ligatures w14:val="none"/>
        </w:rPr>
        <w:t>Reliability and validity of the STDS</w:t>
      </w:r>
    </w:p>
    <w:p w14:paraId="F65B81E9">
      <w:pPr>
        <w:pStyle w:val="10"/>
        <w:jc w:val="center"/>
        <w:rPr>
          <w:highlight w:val="none"/>
        </w:rPr>
      </w:pPr>
      <w:r>
        <w:rPr>
          <w:highlight w:val="none"/>
        </w:rPr>
        <w:t xml:space="preserve">Table </w:t>
      </w:r>
      <w:r>
        <w:rPr>
          <w:rFonts w:hint="default"/>
          <w:highlight w:val="none"/>
          <w:lang w:val="en-US"/>
        </w:rPr>
        <w:t>S</w:t>
      </w:r>
      <w:r>
        <w:rPr>
          <w:rFonts w:hint="eastAsia"/>
          <w:highlight w:val="none"/>
          <w:lang w:val="en-US" w:eastAsia="zh-CN"/>
        </w:rPr>
        <w:t>2</w:t>
      </w:r>
      <w:r>
        <w:rPr>
          <w:highlight w:val="none"/>
        </w:rPr>
        <w:t xml:space="preserve">  </w:t>
      </w:r>
      <w:r>
        <w:rPr>
          <w:rFonts w:hint="eastAsia"/>
          <w:highlight w:val="none"/>
        </w:rPr>
        <w:t xml:space="preserve">Reliability and </w:t>
      </w:r>
      <w:r>
        <w:rPr>
          <w:highlight w:val="none"/>
        </w:rPr>
        <w:t>v</w:t>
      </w:r>
      <w:r>
        <w:rPr>
          <w:rFonts w:hint="eastAsia"/>
          <w:highlight w:val="none"/>
        </w:rPr>
        <w:t>alidity of the STDS</w:t>
      </w:r>
    </w:p>
    <w:tbl>
      <w:tblPr>
        <w:tblStyle w:val="4"/>
        <w:tblW w:w="4920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3"/>
        <w:gridCol w:w="1293"/>
        <w:gridCol w:w="1126"/>
        <w:gridCol w:w="893"/>
        <w:gridCol w:w="1203"/>
        <w:gridCol w:w="1025"/>
        <w:gridCol w:w="1293"/>
      </w:tblGrid>
      <w:tr w14:paraId="4904D86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950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875A71F8">
            <w:pPr>
              <w:pStyle w:val="10"/>
              <w:widowControl w:val="0"/>
              <w:jc w:val="both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</w:rPr>
              <w:t>Subthreshold Depression</w:t>
            </w:r>
          </w:p>
        </w:tc>
        <w:tc>
          <w:tcPr>
            <w:tcW w:w="795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CA498F25">
            <w:pPr>
              <w:pStyle w:val="10"/>
              <w:widowControl w:val="0"/>
              <w:jc w:val="both"/>
              <w:rPr>
                <w:highlight w:val="none"/>
                <w14:ligatures w14:val="none"/>
              </w:rPr>
            </w:pPr>
            <w:r>
              <w:rPr>
                <w:rFonts w:cs="Times New Roman"/>
                <w:highlight w:val="none"/>
                <w14:ligatures w14:val="none"/>
              </w:rPr>
              <w:t>Mean±SD</w:t>
            </w:r>
          </w:p>
        </w:tc>
        <w:tc>
          <w:tcPr>
            <w:tcW w:w="635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6037F923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</w:rPr>
              <w:t>Pearson correlation coefficient</w:t>
            </w:r>
          </w:p>
        </w:tc>
        <w:tc>
          <w:tcPr>
            <w:tcW w:w="556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5D5308FE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i/>
                <w:iCs/>
                <w:highlight w:val="none"/>
                <w14:ligatures w14:val="none"/>
              </w:rPr>
              <w:t>p</w:t>
            </w:r>
            <w:r>
              <w:rPr>
                <w:highlight w:val="none"/>
                <w14:ligatures w14:val="none"/>
              </w:rPr>
              <w:t>-value</w:t>
            </w:r>
          </w:p>
        </w:tc>
        <w:tc>
          <w:tcPr>
            <w:tcW w:w="635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78AAE91A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highlight w:val="none"/>
                <w14:ligatures w14:val="none"/>
              </w:rPr>
              <w:t>Cronbach'</w:t>
            </w:r>
            <w:r>
              <w:rPr>
                <w:highlight w:val="none"/>
                <w14:ligatures w14:val="none"/>
              </w:rPr>
              <w:sym w:font="Symbol" w:char="F061"/>
            </w:r>
          </w:p>
          <w:p w14:paraId="D300B517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</w:rPr>
              <w:t>coefficient</w:t>
            </w:r>
          </w:p>
        </w:tc>
        <w:tc>
          <w:tcPr>
            <w:tcW w:w="635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E8DF1D5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</w:rPr>
              <w:t>factor loadings</w:t>
            </w:r>
          </w:p>
        </w:tc>
        <w:tc>
          <w:tcPr>
            <w:tcW w:w="794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02C99AA4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</w:rPr>
              <w:t>total explained variance</w:t>
            </w:r>
          </w:p>
        </w:tc>
      </w:tr>
      <w:tr w14:paraId="F20B8AB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pct"/>
            <w:tcBorders>
              <w:top w:val="single" w:color="auto" w:sz="6" w:space="0"/>
            </w:tcBorders>
          </w:tcPr>
          <w:p w14:paraId="BD994886">
            <w:pPr>
              <w:pStyle w:val="10"/>
              <w:widowControl w:val="0"/>
              <w:jc w:val="both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</w:rPr>
              <w:t>total score</w:t>
            </w:r>
          </w:p>
        </w:tc>
        <w:tc>
          <w:tcPr>
            <w:tcW w:w="795" w:type="pct"/>
            <w:tcBorders>
              <w:top w:val="single" w:color="auto" w:sz="6" w:space="0"/>
            </w:tcBorders>
            <w:vAlign w:val="center"/>
          </w:tcPr>
          <w:p w14:paraId="C163A4B4">
            <w:pPr>
              <w:pStyle w:val="10"/>
              <w:widowControl w:val="0"/>
              <w:jc w:val="both"/>
              <w:rPr>
                <w:highlight w:val="none"/>
                <w14:ligatures w14:val="none"/>
              </w:rPr>
            </w:pPr>
            <w:r>
              <w:rPr>
                <w:highlight w:val="none"/>
                <w14:ligatures w14:val="none"/>
              </w:rPr>
              <w:t>81.52±22.04</w:t>
            </w:r>
          </w:p>
        </w:tc>
        <w:tc>
          <w:tcPr>
            <w:tcW w:w="635" w:type="pct"/>
            <w:tcBorders>
              <w:top w:val="single" w:color="auto" w:sz="6" w:space="0"/>
            </w:tcBorders>
            <w:vAlign w:val="center"/>
          </w:tcPr>
          <w:p w14:paraId="CE25210D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0</w:t>
            </w:r>
            <w:r>
              <w:rPr>
                <w:highlight w:val="none"/>
                <w14:ligatures w14:val="none"/>
              </w:rPr>
              <w:t>.28-0.83</w:t>
            </w:r>
          </w:p>
        </w:tc>
        <w:tc>
          <w:tcPr>
            <w:tcW w:w="556" w:type="pct"/>
            <w:tcBorders>
              <w:top w:val="single" w:color="auto" w:sz="6" w:space="0"/>
            </w:tcBorders>
            <w:vAlign w:val="center"/>
          </w:tcPr>
          <w:p w14:paraId="F642E829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&lt;</w:t>
            </w:r>
            <w:r>
              <w:rPr>
                <w:highlight w:val="none"/>
                <w14:ligatures w14:val="none"/>
              </w:rPr>
              <w:t>0.001</w:t>
            </w:r>
          </w:p>
        </w:tc>
        <w:tc>
          <w:tcPr>
            <w:tcW w:w="635" w:type="pct"/>
            <w:tcBorders>
              <w:top w:val="single" w:color="auto" w:sz="6" w:space="0"/>
            </w:tcBorders>
            <w:vAlign w:val="center"/>
          </w:tcPr>
          <w:p w14:paraId="DFE148E2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highlight w:val="none"/>
                <w14:ligatures w14:val="none"/>
              </w:rPr>
              <w:t>0.96</w:t>
            </w:r>
          </w:p>
        </w:tc>
        <w:tc>
          <w:tcPr>
            <w:tcW w:w="635" w:type="pct"/>
            <w:tcBorders>
              <w:top w:val="single" w:color="auto" w:sz="6" w:space="0"/>
            </w:tcBorders>
            <w:vAlign w:val="center"/>
          </w:tcPr>
          <w:p w14:paraId="0695B7C9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0</w:t>
            </w:r>
            <w:r>
              <w:rPr>
                <w:highlight w:val="none"/>
                <w14:ligatures w14:val="none"/>
              </w:rPr>
              <w:t>.35-0.91</w:t>
            </w:r>
          </w:p>
        </w:tc>
        <w:tc>
          <w:tcPr>
            <w:tcW w:w="794" w:type="pct"/>
            <w:tcBorders>
              <w:top w:val="single" w:color="auto" w:sz="6" w:space="0"/>
            </w:tcBorders>
            <w:vAlign w:val="center"/>
          </w:tcPr>
          <w:p w14:paraId="33C3BCB2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6</w:t>
            </w:r>
            <w:r>
              <w:rPr>
                <w:highlight w:val="none"/>
                <w14:ligatures w14:val="none"/>
              </w:rPr>
              <w:t>4.7%</w:t>
            </w:r>
          </w:p>
        </w:tc>
      </w:tr>
      <w:tr w14:paraId="E0E9379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pct"/>
          </w:tcPr>
          <w:p w14:paraId="4915725B">
            <w:pPr>
              <w:pStyle w:val="10"/>
              <w:widowControl w:val="0"/>
              <w:jc w:val="both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</w:rPr>
              <w:t>social dysfunction</w:t>
            </w:r>
          </w:p>
        </w:tc>
        <w:tc>
          <w:tcPr>
            <w:tcW w:w="795" w:type="pct"/>
            <w:vAlign w:val="center"/>
          </w:tcPr>
          <w:p w14:paraId="B9F8EB5F">
            <w:pPr>
              <w:pStyle w:val="10"/>
              <w:widowControl w:val="0"/>
              <w:jc w:val="both"/>
              <w:rPr>
                <w:highlight w:val="none"/>
                <w14:ligatures w14:val="none"/>
              </w:rPr>
            </w:pPr>
            <w:r>
              <w:rPr>
                <w:highlight w:val="none"/>
                <w14:ligatures w14:val="none"/>
              </w:rPr>
              <w:t>26.32±7.23</w:t>
            </w:r>
          </w:p>
        </w:tc>
        <w:tc>
          <w:tcPr>
            <w:tcW w:w="635" w:type="pct"/>
            <w:vAlign w:val="center"/>
          </w:tcPr>
          <w:p w14:paraId="FD6FCAFE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highlight w:val="none"/>
                <w14:ligatures w14:val="none"/>
              </w:rPr>
              <w:t>0.43</w:t>
            </w:r>
            <w:r>
              <w:rPr>
                <w:rFonts w:hint="eastAsia"/>
                <w:highlight w:val="none"/>
                <w14:ligatures w14:val="none"/>
              </w:rPr>
              <w:t>-</w:t>
            </w:r>
            <w:r>
              <w:rPr>
                <w:highlight w:val="none"/>
                <w14:ligatures w14:val="none"/>
              </w:rPr>
              <w:t>0.81</w:t>
            </w:r>
          </w:p>
        </w:tc>
        <w:tc>
          <w:tcPr>
            <w:tcW w:w="556" w:type="pct"/>
            <w:vAlign w:val="center"/>
          </w:tcPr>
          <w:p w14:paraId="7C3A2762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&lt;</w:t>
            </w:r>
            <w:r>
              <w:rPr>
                <w:highlight w:val="none"/>
                <w14:ligatures w14:val="none"/>
              </w:rPr>
              <w:t>0.001</w:t>
            </w:r>
          </w:p>
        </w:tc>
        <w:tc>
          <w:tcPr>
            <w:tcW w:w="635" w:type="pct"/>
            <w:vAlign w:val="center"/>
          </w:tcPr>
          <w:p w14:paraId="8C742D04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0</w:t>
            </w:r>
            <w:r>
              <w:rPr>
                <w:highlight w:val="none"/>
                <w14:ligatures w14:val="none"/>
              </w:rPr>
              <w:t>.88</w:t>
            </w:r>
          </w:p>
        </w:tc>
        <w:tc>
          <w:tcPr>
            <w:tcW w:w="635" w:type="pct"/>
            <w:vAlign w:val="center"/>
          </w:tcPr>
          <w:p w14:paraId="D4980D11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0</w:t>
            </w:r>
            <w:r>
              <w:rPr>
                <w:highlight w:val="none"/>
                <w14:ligatures w14:val="none"/>
              </w:rPr>
              <w:t>.35-0.83</w:t>
            </w:r>
          </w:p>
        </w:tc>
        <w:tc>
          <w:tcPr>
            <w:tcW w:w="794" w:type="pct"/>
            <w:vAlign w:val="center"/>
          </w:tcPr>
          <w:p w14:paraId="6C92728C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1</w:t>
            </w:r>
            <w:r>
              <w:rPr>
                <w:highlight w:val="none"/>
                <w14:ligatures w14:val="none"/>
              </w:rPr>
              <w:t>5.4%</w:t>
            </w:r>
          </w:p>
        </w:tc>
      </w:tr>
      <w:tr w14:paraId="C1C420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pct"/>
          </w:tcPr>
          <w:p w14:paraId="4E8DFF48">
            <w:pPr>
              <w:pStyle w:val="10"/>
              <w:widowControl w:val="0"/>
              <w:jc w:val="both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</w:rPr>
              <w:t>low self-concept</w:t>
            </w:r>
          </w:p>
        </w:tc>
        <w:tc>
          <w:tcPr>
            <w:tcW w:w="795" w:type="pct"/>
            <w:vAlign w:val="center"/>
          </w:tcPr>
          <w:p w14:paraId="AB8B3EAA">
            <w:pPr>
              <w:pStyle w:val="10"/>
              <w:widowControl w:val="0"/>
              <w:jc w:val="both"/>
              <w:rPr>
                <w:highlight w:val="none"/>
                <w14:ligatures w14:val="none"/>
              </w:rPr>
            </w:pPr>
            <w:r>
              <w:rPr>
                <w:highlight w:val="none"/>
                <w14:ligatures w14:val="none"/>
              </w:rPr>
              <w:t>21.78±6.26</w:t>
            </w:r>
          </w:p>
        </w:tc>
        <w:tc>
          <w:tcPr>
            <w:tcW w:w="635" w:type="pct"/>
            <w:vAlign w:val="center"/>
          </w:tcPr>
          <w:p w14:paraId="087EE201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highlight w:val="none"/>
                <w14:ligatures w14:val="none"/>
              </w:rPr>
              <w:t>0.44</w:t>
            </w:r>
            <w:r>
              <w:rPr>
                <w:rFonts w:hint="eastAsia"/>
                <w:highlight w:val="none"/>
                <w14:ligatures w14:val="none"/>
              </w:rPr>
              <w:t>-</w:t>
            </w:r>
            <w:r>
              <w:rPr>
                <w:highlight w:val="none"/>
                <w14:ligatures w14:val="none"/>
              </w:rPr>
              <w:t>0.87</w:t>
            </w:r>
          </w:p>
        </w:tc>
        <w:tc>
          <w:tcPr>
            <w:tcW w:w="556" w:type="pct"/>
            <w:vAlign w:val="center"/>
          </w:tcPr>
          <w:p w14:paraId="9953727A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&lt;</w:t>
            </w:r>
            <w:r>
              <w:rPr>
                <w:highlight w:val="none"/>
                <w14:ligatures w14:val="none"/>
              </w:rPr>
              <w:t>0.001</w:t>
            </w:r>
          </w:p>
        </w:tc>
        <w:tc>
          <w:tcPr>
            <w:tcW w:w="635" w:type="pct"/>
            <w:vAlign w:val="center"/>
          </w:tcPr>
          <w:p w14:paraId="0DF0DB02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0</w:t>
            </w:r>
            <w:r>
              <w:rPr>
                <w:highlight w:val="none"/>
                <w14:ligatures w14:val="none"/>
              </w:rPr>
              <w:t>.88</w:t>
            </w:r>
          </w:p>
        </w:tc>
        <w:tc>
          <w:tcPr>
            <w:tcW w:w="635" w:type="pct"/>
            <w:vAlign w:val="center"/>
          </w:tcPr>
          <w:p w14:paraId="D9E017CB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0</w:t>
            </w:r>
            <w:r>
              <w:rPr>
                <w:highlight w:val="none"/>
                <w14:ligatures w14:val="none"/>
              </w:rPr>
              <w:t>.35-0.88</w:t>
            </w:r>
          </w:p>
        </w:tc>
        <w:tc>
          <w:tcPr>
            <w:tcW w:w="794" w:type="pct"/>
            <w:vAlign w:val="center"/>
          </w:tcPr>
          <w:p w14:paraId="046B6000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8</w:t>
            </w:r>
            <w:r>
              <w:rPr>
                <w:highlight w:val="none"/>
                <w14:ligatures w14:val="none"/>
              </w:rPr>
              <w:t>.1%</w:t>
            </w:r>
          </w:p>
        </w:tc>
      </w:tr>
      <w:tr w14:paraId="49B0C3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pct"/>
          </w:tcPr>
          <w:p w14:paraId="0FFEC42B">
            <w:pPr>
              <w:pStyle w:val="10"/>
              <w:widowControl w:val="0"/>
              <w:jc w:val="both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</w:rPr>
              <w:t>depression mood</w:t>
            </w:r>
          </w:p>
        </w:tc>
        <w:tc>
          <w:tcPr>
            <w:tcW w:w="795" w:type="pct"/>
            <w:vAlign w:val="center"/>
          </w:tcPr>
          <w:p w14:paraId="13087D5C">
            <w:pPr>
              <w:pStyle w:val="10"/>
              <w:widowControl w:val="0"/>
              <w:jc w:val="both"/>
              <w:rPr>
                <w:highlight w:val="none"/>
                <w14:ligatures w14:val="none"/>
              </w:rPr>
            </w:pPr>
            <w:r>
              <w:rPr>
                <w:highlight w:val="none"/>
                <w14:ligatures w14:val="none"/>
              </w:rPr>
              <w:t>16.70±5.64</w:t>
            </w:r>
          </w:p>
        </w:tc>
        <w:tc>
          <w:tcPr>
            <w:tcW w:w="635" w:type="pct"/>
            <w:vAlign w:val="center"/>
          </w:tcPr>
          <w:p w14:paraId="40F3070E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0</w:t>
            </w:r>
            <w:r>
              <w:rPr>
                <w:highlight w:val="none"/>
                <w14:ligatures w14:val="none"/>
              </w:rPr>
              <w:t>.75-0.90</w:t>
            </w:r>
          </w:p>
        </w:tc>
        <w:tc>
          <w:tcPr>
            <w:tcW w:w="556" w:type="pct"/>
            <w:vAlign w:val="center"/>
          </w:tcPr>
          <w:p w14:paraId="4422DE4A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&lt;</w:t>
            </w:r>
            <w:r>
              <w:rPr>
                <w:highlight w:val="none"/>
                <w14:ligatures w14:val="none"/>
              </w:rPr>
              <w:t>0.001</w:t>
            </w:r>
          </w:p>
        </w:tc>
        <w:tc>
          <w:tcPr>
            <w:tcW w:w="635" w:type="pct"/>
            <w:vAlign w:val="center"/>
          </w:tcPr>
          <w:p w14:paraId="15266CC0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0</w:t>
            </w:r>
            <w:r>
              <w:rPr>
                <w:highlight w:val="none"/>
                <w14:ligatures w14:val="none"/>
              </w:rPr>
              <w:t>.93</w:t>
            </w:r>
          </w:p>
        </w:tc>
        <w:tc>
          <w:tcPr>
            <w:tcW w:w="635" w:type="pct"/>
            <w:vAlign w:val="center"/>
          </w:tcPr>
          <w:p w14:paraId="2C0A7FC7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0</w:t>
            </w:r>
            <w:r>
              <w:rPr>
                <w:highlight w:val="none"/>
                <w14:ligatures w14:val="none"/>
              </w:rPr>
              <w:t>.74-0.91</w:t>
            </w:r>
          </w:p>
        </w:tc>
        <w:tc>
          <w:tcPr>
            <w:tcW w:w="794" w:type="pct"/>
            <w:vAlign w:val="center"/>
          </w:tcPr>
          <w:p w14:paraId="F45C6BDF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2</w:t>
            </w:r>
            <w:r>
              <w:rPr>
                <w:highlight w:val="none"/>
                <w14:ligatures w14:val="none"/>
              </w:rPr>
              <w:t>7.3%</w:t>
            </w:r>
          </w:p>
        </w:tc>
      </w:tr>
      <w:tr w14:paraId="6E96D04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pct"/>
          </w:tcPr>
          <w:p w14:paraId="516B86F6">
            <w:pPr>
              <w:pStyle w:val="10"/>
              <w:widowControl w:val="0"/>
              <w:jc w:val="both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</w:rPr>
              <w:t>physiological dysfunction</w:t>
            </w:r>
          </w:p>
        </w:tc>
        <w:tc>
          <w:tcPr>
            <w:tcW w:w="795" w:type="pct"/>
            <w:vAlign w:val="center"/>
          </w:tcPr>
          <w:p w14:paraId="2B93AE27">
            <w:pPr>
              <w:pStyle w:val="10"/>
              <w:widowControl w:val="0"/>
              <w:jc w:val="both"/>
              <w:rPr>
                <w:highlight w:val="none"/>
                <w14:ligatures w14:val="none"/>
              </w:rPr>
            </w:pPr>
            <w:r>
              <w:rPr>
                <w:highlight w:val="none"/>
                <w14:ligatures w14:val="none"/>
              </w:rPr>
              <w:t>16.71±5.17</w:t>
            </w:r>
          </w:p>
        </w:tc>
        <w:tc>
          <w:tcPr>
            <w:tcW w:w="635" w:type="pct"/>
            <w:vAlign w:val="center"/>
          </w:tcPr>
          <w:p w14:paraId="9BB8FEBE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0</w:t>
            </w:r>
            <w:r>
              <w:rPr>
                <w:highlight w:val="none"/>
                <w14:ligatures w14:val="none"/>
              </w:rPr>
              <w:t>.72-0.81</w:t>
            </w:r>
          </w:p>
        </w:tc>
        <w:tc>
          <w:tcPr>
            <w:tcW w:w="556" w:type="pct"/>
            <w:vAlign w:val="center"/>
          </w:tcPr>
          <w:p w14:paraId="B654BFE1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&lt;</w:t>
            </w:r>
            <w:r>
              <w:rPr>
                <w:highlight w:val="none"/>
                <w14:ligatures w14:val="none"/>
              </w:rPr>
              <w:t>0.001</w:t>
            </w:r>
          </w:p>
        </w:tc>
        <w:tc>
          <w:tcPr>
            <w:tcW w:w="635" w:type="pct"/>
            <w:vAlign w:val="center"/>
          </w:tcPr>
          <w:p w14:paraId="03A98149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0</w:t>
            </w:r>
            <w:r>
              <w:rPr>
                <w:highlight w:val="none"/>
                <w14:ligatures w14:val="none"/>
              </w:rPr>
              <w:t>.87</w:t>
            </w:r>
          </w:p>
        </w:tc>
        <w:tc>
          <w:tcPr>
            <w:tcW w:w="635" w:type="pct"/>
            <w:vAlign w:val="center"/>
          </w:tcPr>
          <w:p w14:paraId="D6A96D21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0</w:t>
            </w:r>
            <w:r>
              <w:rPr>
                <w:highlight w:val="none"/>
                <w14:ligatures w14:val="none"/>
              </w:rPr>
              <w:t>.70-0.81</w:t>
            </w:r>
          </w:p>
        </w:tc>
        <w:tc>
          <w:tcPr>
            <w:tcW w:w="794" w:type="pct"/>
            <w:vAlign w:val="center"/>
          </w:tcPr>
          <w:p w14:paraId="373D3923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1</w:t>
            </w:r>
            <w:r>
              <w:rPr>
                <w:highlight w:val="none"/>
                <w14:ligatures w14:val="none"/>
              </w:rPr>
              <w:t>3.9%</w:t>
            </w:r>
          </w:p>
        </w:tc>
      </w:tr>
    </w:tbl>
    <w:p w14:paraId="3537FCF7">
      <w:pPr>
        <w:rPr>
          <w:rFonts w:hint="default"/>
          <w:highlight w:val="none"/>
          <w:lang w:val="en-US"/>
        </w:rPr>
      </w:pPr>
    </w:p>
    <w:p w14:paraId="1286C39C">
      <w:pPr>
        <w:bidi w:val="0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  <w14:ligatures w14:val="none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  <w14:ligatures w14:val="none"/>
        </w:rPr>
        <w:t>2.Reliability and validity of the RFQ-8</w:t>
      </w:r>
    </w:p>
    <w:p w14:paraId="7E8AC972">
      <w:pPr>
        <w:spacing w:line="400" w:lineRule="exact"/>
        <w:jc w:val="center"/>
        <w:rPr>
          <w:rFonts w:ascii="Times New Roman" w:hAnsi="Times New Roman" w:eastAsia="SimSong" w:cs="Times New Roman (正文 CS 字体)"/>
          <w:highlight w:val="none"/>
          <w14:ligatures w14:val="standardContextual"/>
        </w:rPr>
      </w:pPr>
      <w:r>
        <w:rPr>
          <w:rFonts w:hint="eastAsia" w:ascii="Times New Roman" w:hAnsi="Times New Roman" w:eastAsia="SimSong" w:cs="Times New Roman (正文 CS 字体)"/>
          <w:highlight w:val="none"/>
          <w14:ligatures w14:val="standardContextual"/>
        </w:rPr>
        <w:t>T</w:t>
      </w:r>
      <w:r>
        <w:rPr>
          <w:rFonts w:ascii="Times New Roman" w:hAnsi="Times New Roman" w:eastAsia="SimSong" w:cs="Times New Roman (正文 CS 字体)"/>
          <w:highlight w:val="none"/>
          <w14:ligatures w14:val="standardContextual"/>
        </w:rPr>
        <w:t xml:space="preserve">able </w:t>
      </w:r>
      <w:r>
        <w:rPr>
          <w:rFonts w:hint="default" w:ascii="Times New Roman" w:hAnsi="Times New Roman" w:eastAsia="SimSong" w:cs="Times New Roman (正文 CS 字体)"/>
          <w:highlight w:val="none"/>
          <w:lang w:val="en-US"/>
          <w14:ligatures w14:val="standardContextual"/>
        </w:rPr>
        <w:t>S</w:t>
      </w:r>
      <w:r>
        <w:rPr>
          <w:rFonts w:hint="eastAsia" w:ascii="Times New Roman" w:hAnsi="Times New Roman" w:eastAsia="SimSong" w:cs="Times New Roman (正文 CS 字体)"/>
          <w:highlight w:val="none"/>
          <w:lang w:val="en-US" w:eastAsia="zh-CN"/>
          <w14:ligatures w14:val="standardContextual"/>
        </w:rPr>
        <w:t>3</w:t>
      </w:r>
      <w:r>
        <w:rPr>
          <w:rFonts w:hint="eastAsia" w:ascii="Times New Roman" w:hAnsi="Times New Roman" w:eastAsia="SimSong" w:cs="Times New Roman (正文 CS 字体)"/>
          <w:highlight w:val="none"/>
          <w14:ligatures w14:val="standardContextual"/>
        </w:rPr>
        <w:t xml:space="preserve">  Reliability and </w:t>
      </w:r>
      <w:r>
        <w:rPr>
          <w:rFonts w:ascii="Times New Roman" w:hAnsi="Times New Roman" w:eastAsia="SimSong" w:cs="Times New Roman (正文 CS 字体)"/>
          <w:highlight w:val="none"/>
          <w14:ligatures w14:val="standardContextual"/>
        </w:rPr>
        <w:t>v</w:t>
      </w:r>
      <w:r>
        <w:rPr>
          <w:rFonts w:hint="eastAsia" w:ascii="Times New Roman" w:hAnsi="Times New Roman" w:eastAsia="SimSong" w:cs="Times New Roman (正文 CS 字体)"/>
          <w:highlight w:val="none"/>
          <w14:ligatures w14:val="standardContextual"/>
        </w:rPr>
        <w:t>alidity of the RFQ-8</w:t>
      </w:r>
    </w:p>
    <w:tbl>
      <w:tblPr>
        <w:tblStyle w:val="4"/>
        <w:tblW w:w="4920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3"/>
        <w:gridCol w:w="1294"/>
        <w:gridCol w:w="1126"/>
        <w:gridCol w:w="893"/>
        <w:gridCol w:w="1203"/>
        <w:gridCol w:w="1026"/>
        <w:gridCol w:w="1291"/>
      </w:tblGrid>
      <w:tr w14:paraId="F873611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7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7487F5A2">
            <w:pPr>
              <w:pStyle w:val="10"/>
              <w:widowControl w:val="0"/>
              <w:jc w:val="both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</w:rPr>
              <w:t>mentalization</w:t>
            </w:r>
          </w:p>
        </w:tc>
        <w:tc>
          <w:tcPr>
            <w:tcW w:w="792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48ED98F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cs="Times New Roman"/>
                <w:highlight w:val="none"/>
                <w14:ligatures w14:val="none"/>
              </w:rPr>
              <w:t>Mean±SD</w:t>
            </w:r>
          </w:p>
        </w:tc>
        <w:tc>
          <w:tcPr>
            <w:tcW w:w="632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AE699D4F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</w:rPr>
              <w:t>Pearson correlation coefficient</w:t>
            </w:r>
          </w:p>
        </w:tc>
        <w:tc>
          <w:tcPr>
            <w:tcW w:w="553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74C63710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i/>
                <w:iCs/>
                <w:highlight w:val="none"/>
                <w14:ligatures w14:val="none"/>
              </w:rPr>
              <w:t>p</w:t>
            </w:r>
            <w:r>
              <w:rPr>
                <w:highlight w:val="none"/>
                <w14:ligatures w14:val="none"/>
              </w:rPr>
              <w:t>-value</w:t>
            </w:r>
          </w:p>
        </w:tc>
        <w:tc>
          <w:tcPr>
            <w:tcW w:w="654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E2F46E4A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highlight w:val="none"/>
                <w14:ligatures w14:val="none"/>
              </w:rPr>
              <w:t>Cronbach'</w:t>
            </w:r>
            <w:r>
              <w:rPr>
                <w:highlight w:val="none"/>
                <w14:ligatures w14:val="none"/>
              </w:rPr>
              <w:sym w:font="Symbol" w:char="F061"/>
            </w:r>
          </w:p>
          <w:p w14:paraId="A339518B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</w:rPr>
              <w:t>coefficient</w:t>
            </w:r>
          </w:p>
        </w:tc>
        <w:tc>
          <w:tcPr>
            <w:tcW w:w="632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9E3A22AF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</w:rPr>
              <w:t>factor loading</w:t>
            </w:r>
          </w:p>
        </w:tc>
        <w:tc>
          <w:tcPr>
            <w:tcW w:w="791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7661B7BC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</w:rPr>
              <w:t>explained variance</w:t>
            </w:r>
          </w:p>
        </w:tc>
      </w:tr>
      <w:tr w14:paraId="0E28CE1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7" w:type="pct"/>
            <w:tcBorders>
              <w:top w:val="single" w:color="auto" w:sz="6" w:space="0"/>
            </w:tcBorders>
          </w:tcPr>
          <w:p w14:paraId="B60D83E5">
            <w:pPr>
              <w:pStyle w:val="10"/>
              <w:widowControl w:val="0"/>
              <w:jc w:val="both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</w:rPr>
              <w:t>RFQ_C</w:t>
            </w:r>
          </w:p>
        </w:tc>
        <w:tc>
          <w:tcPr>
            <w:tcW w:w="792" w:type="pct"/>
            <w:tcBorders>
              <w:top w:val="single" w:color="auto" w:sz="6" w:space="0"/>
            </w:tcBorders>
            <w:vAlign w:val="center"/>
          </w:tcPr>
          <w:p w14:paraId="C534E372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highlight w:val="none"/>
                <w14:ligatures w14:val="none"/>
              </w:rPr>
              <w:t>5.54±5.34</w:t>
            </w:r>
          </w:p>
        </w:tc>
        <w:tc>
          <w:tcPr>
            <w:tcW w:w="632" w:type="pct"/>
            <w:tcBorders>
              <w:top w:val="single" w:color="auto" w:sz="6" w:space="0"/>
            </w:tcBorders>
            <w:vAlign w:val="center"/>
          </w:tcPr>
          <w:p w14:paraId="87665674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0</w:t>
            </w:r>
            <w:r>
              <w:rPr>
                <w:highlight w:val="none"/>
                <w14:ligatures w14:val="none"/>
              </w:rPr>
              <w:t>.72-0.85</w:t>
            </w:r>
          </w:p>
        </w:tc>
        <w:tc>
          <w:tcPr>
            <w:tcW w:w="553" w:type="pct"/>
            <w:tcBorders>
              <w:top w:val="single" w:color="auto" w:sz="6" w:space="0"/>
            </w:tcBorders>
            <w:vAlign w:val="center"/>
          </w:tcPr>
          <w:p w14:paraId="06A09238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&lt;</w:t>
            </w:r>
            <w:r>
              <w:rPr>
                <w:highlight w:val="none"/>
                <w14:ligatures w14:val="none"/>
              </w:rPr>
              <w:t>0.001</w:t>
            </w:r>
          </w:p>
        </w:tc>
        <w:tc>
          <w:tcPr>
            <w:tcW w:w="654" w:type="pct"/>
            <w:tcBorders>
              <w:top w:val="single" w:color="auto" w:sz="6" w:space="0"/>
            </w:tcBorders>
            <w:vAlign w:val="center"/>
          </w:tcPr>
          <w:p w14:paraId="A34E6AB6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highlight w:val="none"/>
                <w14:ligatures w14:val="none"/>
              </w:rPr>
              <w:t>0.89</w:t>
            </w:r>
          </w:p>
        </w:tc>
        <w:tc>
          <w:tcPr>
            <w:tcW w:w="632" w:type="pct"/>
            <w:tcBorders>
              <w:top w:val="single" w:color="auto" w:sz="6" w:space="0"/>
            </w:tcBorders>
            <w:vAlign w:val="center"/>
          </w:tcPr>
          <w:p w14:paraId="9668BACD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0</w:t>
            </w:r>
            <w:r>
              <w:rPr>
                <w:highlight w:val="none"/>
                <w14:ligatures w14:val="none"/>
              </w:rPr>
              <w:t>.</w:t>
            </w:r>
            <w:r>
              <w:rPr>
                <w:rFonts w:hint="eastAsia"/>
                <w:highlight w:val="none"/>
                <w14:ligatures w14:val="none"/>
              </w:rPr>
              <w:t>71</w:t>
            </w:r>
            <w:r>
              <w:rPr>
                <w:highlight w:val="none"/>
                <w14:ligatures w14:val="none"/>
              </w:rPr>
              <w:t>-0.8</w:t>
            </w:r>
            <w:r>
              <w:rPr>
                <w:rFonts w:hint="eastAsia"/>
                <w:highlight w:val="none"/>
                <w14:ligatures w14:val="none"/>
              </w:rPr>
              <w:t>5</w:t>
            </w:r>
          </w:p>
        </w:tc>
        <w:tc>
          <w:tcPr>
            <w:tcW w:w="791" w:type="pct"/>
            <w:tcBorders>
              <w:top w:val="single" w:color="auto" w:sz="6" w:space="0"/>
            </w:tcBorders>
            <w:vAlign w:val="center"/>
          </w:tcPr>
          <w:p w14:paraId="51B6974F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6</w:t>
            </w:r>
            <w:r>
              <w:rPr>
                <w:highlight w:val="none"/>
                <w14:ligatures w14:val="none"/>
              </w:rPr>
              <w:t>5.2%</w:t>
            </w:r>
          </w:p>
        </w:tc>
      </w:tr>
      <w:tr w14:paraId="5D10582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7" w:type="pct"/>
          </w:tcPr>
          <w:p w14:paraId="677B0F3D">
            <w:pPr>
              <w:pStyle w:val="10"/>
              <w:widowControl w:val="0"/>
              <w:jc w:val="both"/>
              <w:rPr>
                <w:highlight w:val="none"/>
                <w14:ligatures w14:val="none"/>
              </w:rPr>
            </w:pPr>
            <w:r>
              <w:rPr>
                <w:highlight w:val="none"/>
              </w:rPr>
              <w:t>RFQ_U</w:t>
            </w:r>
          </w:p>
        </w:tc>
        <w:tc>
          <w:tcPr>
            <w:tcW w:w="792" w:type="pct"/>
            <w:vAlign w:val="center"/>
          </w:tcPr>
          <w:p w14:paraId="BCC918E3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highlight w:val="none"/>
                <w14:ligatures w14:val="none"/>
              </w:rPr>
              <w:t>2.97±3.30</w:t>
            </w:r>
          </w:p>
        </w:tc>
        <w:tc>
          <w:tcPr>
            <w:tcW w:w="632" w:type="pct"/>
            <w:vAlign w:val="center"/>
          </w:tcPr>
          <w:p w14:paraId="DE47CA9E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0</w:t>
            </w:r>
            <w:r>
              <w:rPr>
                <w:highlight w:val="none"/>
                <w14:ligatures w14:val="none"/>
              </w:rPr>
              <w:t>.71-0.79</w:t>
            </w:r>
          </w:p>
        </w:tc>
        <w:tc>
          <w:tcPr>
            <w:tcW w:w="553" w:type="pct"/>
            <w:vAlign w:val="center"/>
          </w:tcPr>
          <w:p w14:paraId="1AD32AF2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highlight w:val="none"/>
                <w14:ligatures w14:val="none"/>
              </w:rPr>
              <w:t>&lt;0.001</w:t>
            </w:r>
          </w:p>
        </w:tc>
        <w:tc>
          <w:tcPr>
            <w:tcW w:w="654" w:type="pct"/>
            <w:vAlign w:val="center"/>
          </w:tcPr>
          <w:p w14:paraId="7BDCA027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0</w:t>
            </w:r>
            <w:r>
              <w:rPr>
                <w:highlight w:val="none"/>
                <w14:ligatures w14:val="none"/>
              </w:rPr>
              <w:t>.76</w:t>
            </w:r>
          </w:p>
        </w:tc>
        <w:tc>
          <w:tcPr>
            <w:tcW w:w="632" w:type="pct"/>
            <w:vAlign w:val="center"/>
          </w:tcPr>
          <w:p w14:paraId="504607F3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0</w:t>
            </w:r>
            <w:r>
              <w:rPr>
                <w:highlight w:val="none"/>
                <w14:ligatures w14:val="none"/>
              </w:rPr>
              <w:t>.69-0.82</w:t>
            </w:r>
          </w:p>
        </w:tc>
        <w:tc>
          <w:tcPr>
            <w:tcW w:w="791" w:type="pct"/>
            <w:vAlign w:val="center"/>
          </w:tcPr>
          <w:p w14:paraId="BA41F4BF">
            <w:pPr>
              <w:pStyle w:val="10"/>
              <w:widowControl w:val="0"/>
              <w:jc w:val="center"/>
              <w:rPr>
                <w:highlight w:val="none"/>
                <w14:ligatures w14:val="none"/>
              </w:rPr>
            </w:pPr>
            <w:r>
              <w:rPr>
                <w:rFonts w:hint="eastAsia"/>
                <w:highlight w:val="none"/>
                <w14:ligatures w14:val="none"/>
              </w:rPr>
              <w:t>4</w:t>
            </w:r>
            <w:r>
              <w:rPr>
                <w:highlight w:val="none"/>
                <w14:ligatures w14:val="none"/>
              </w:rPr>
              <w:t>9.3%</w:t>
            </w:r>
          </w:p>
        </w:tc>
      </w:tr>
    </w:tbl>
    <w:p w14:paraId="29315655">
      <w:pPr>
        <w:keepNext w:val="0"/>
        <w:keepLines w:val="0"/>
        <w:pageBreakBefore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outlineLvl w:val="0"/>
        <w:rPr>
          <w:rFonts w:hint="default" w:ascii="Times New Roman Bold" w:hAnsi="Times New Roman Bold" w:eastAsia="Helvetica" w:cs="Times New Roman Bold"/>
          <w:b/>
          <w:bCs/>
          <w:kern w:val="0"/>
          <w:sz w:val="30"/>
          <w:szCs w:val="30"/>
          <w:highlight w:val="none"/>
          <w:lang w:val="en-US"/>
        </w:rPr>
      </w:pPr>
      <w:bookmarkStart w:id="0" w:name="_Toc1036792840"/>
      <w:r>
        <w:rPr>
          <w:rFonts w:ascii="Times New Roman Bold" w:hAnsi="Times New Roman Bold" w:eastAsia="Helvetica" w:cs="Times New Roman Bold"/>
          <w:b/>
          <w:bCs/>
          <w:kern w:val="0"/>
          <w:sz w:val="30"/>
          <w:szCs w:val="30"/>
          <w:highlight w:val="none"/>
        </w:rPr>
        <w:t xml:space="preserve">Appendix </w:t>
      </w:r>
      <w:r>
        <w:rPr>
          <w:rFonts w:hint="default" w:ascii="Times New Roman Bold" w:hAnsi="Times New Roman Bold" w:eastAsia="Helvetica" w:cs="Times New Roman Bold"/>
          <w:b/>
          <w:bCs/>
          <w:kern w:val="0"/>
          <w:sz w:val="30"/>
          <w:szCs w:val="30"/>
          <w:highlight w:val="none"/>
          <w:lang w:val="en-US"/>
        </w:rPr>
        <w:t>2</w:t>
      </w:r>
    </w:p>
    <w:bookmarkEnd w:id="0"/>
    <w:p w14:paraId="42D13272">
      <w:pPr>
        <w:pStyle w:val="7"/>
        <w:numPr>
          <w:ilvl w:val="0"/>
          <w:numId w:val="1"/>
        </w:numPr>
        <w:ind w:firstLine="0" w:firstLineChars="0"/>
        <w:rPr>
          <w:rFonts w:ascii="Times New Roman Bold" w:hAnsi="Times New Roman Bold" w:eastAsia="宋体" w:cs="Times New Roman Bold"/>
          <w:b/>
          <w:bCs/>
          <w:sz w:val="24"/>
          <w:highlight w:val="none"/>
          <w14:ligatures w14:val="none"/>
        </w:rPr>
      </w:pPr>
      <w:r>
        <w:rPr>
          <w:rFonts w:ascii="Times New Roman Bold" w:hAnsi="Times New Roman Bold" w:eastAsia="宋体" w:cs="Times New Roman Bold"/>
          <w:b/>
          <w:bCs/>
          <w:sz w:val="24"/>
          <w:highlight w:val="none"/>
          <w14:ligatures w14:val="none"/>
        </w:rPr>
        <w:t>Characteristics of the demographic distribution of mentalization</w:t>
      </w:r>
    </w:p>
    <w:p w14:paraId="1C97EE73">
      <w:pPr>
        <w:pStyle w:val="7"/>
        <w:ind w:firstLine="420"/>
        <w:rPr>
          <w:highlight w:val="none"/>
        </w:rPr>
      </w:pPr>
      <w:r>
        <w:rPr>
          <w:rFonts w:hint="eastAsia"/>
          <w:highlight w:val="none"/>
        </w:rPr>
        <w:t xml:space="preserve">Among the 3,330 surveyed individuals, the overall average score for </w:t>
      </w:r>
      <w:r>
        <w:rPr>
          <w:highlight w:val="none"/>
        </w:rPr>
        <w:t>RFQ_C</w:t>
      </w:r>
      <w:r>
        <w:rPr>
          <w:rFonts w:hint="eastAsia"/>
          <w:highlight w:val="none"/>
        </w:rPr>
        <w:t xml:space="preserve"> was 5.54. A total of 880 individuals scored 0, accounting for 26.4%, 1,203 scored between 1-6, constituting 36.1%, and 1,247 scored between 7-18, representing 37.5%. Higher scores indicate higher levels of excessive mentalization.</w:t>
      </w:r>
      <w:r>
        <w:rPr>
          <w:highlight w:val="none"/>
        </w:rPr>
        <w:t xml:space="preserve"> </w:t>
      </w:r>
      <w:r>
        <w:rPr>
          <w:rFonts w:hint="eastAsia"/>
          <w:highlight w:val="none"/>
        </w:rPr>
        <w:t xml:space="preserve">The overall average score for </w:t>
      </w:r>
      <w:r>
        <w:rPr>
          <w:highlight w:val="none"/>
        </w:rPr>
        <w:t>RFQ_U</w:t>
      </w:r>
      <w:r>
        <w:rPr>
          <w:rFonts w:hint="eastAsia"/>
          <w:highlight w:val="none"/>
        </w:rPr>
        <w:t xml:space="preserve"> was 2.97. A total of 970 individuals scored 0, representing 29.1%, 1,925 scored between 1-6, accounting for 57.8%, and 435 scored between 7-18, making up 13.1%. Higher scores indicate higher levels of mentalization deficits.</w:t>
      </w:r>
      <w:r>
        <w:rPr>
          <w:highlight w:val="none"/>
        </w:rPr>
        <w:t xml:space="preserve"> </w:t>
      </w:r>
      <w:r>
        <w:rPr>
          <w:rFonts w:hint="eastAsia"/>
          <w:highlight w:val="none"/>
        </w:rPr>
        <w:t>Demographic characteristics indicate that hyp</w:t>
      </w:r>
      <w:r>
        <w:rPr>
          <w:highlight w:val="none"/>
        </w:rPr>
        <w:t>o</w:t>
      </w:r>
      <w:r>
        <w:rPr>
          <w:rFonts w:hint="eastAsia"/>
          <w:highlight w:val="none"/>
        </w:rPr>
        <w:t>mentalizing are more pronounced in females. Significant differences are observed in hyp</w:t>
      </w:r>
      <w:r>
        <w:rPr>
          <w:highlight w:val="none"/>
        </w:rPr>
        <w:t>er</w:t>
      </w:r>
      <w:r>
        <w:rPr>
          <w:rFonts w:hint="eastAsia"/>
          <w:highlight w:val="none"/>
        </w:rPr>
        <w:t>mentalizing based on factors such as only-child status, family location, parent</w:t>
      </w:r>
      <w:r>
        <w:rPr>
          <w:highlight w:val="none"/>
        </w:rPr>
        <w:t>al</w:t>
      </w:r>
      <w:r>
        <w:rPr>
          <w:rFonts w:hint="eastAsia"/>
          <w:highlight w:val="none"/>
        </w:rPr>
        <w:t xml:space="preserve"> education, family income, university grades, and  self-assessments of health status. Similarly, hyp</w:t>
      </w:r>
      <w:r>
        <w:rPr>
          <w:highlight w:val="none"/>
        </w:rPr>
        <w:t>o</w:t>
      </w:r>
      <w:r>
        <w:rPr>
          <w:rFonts w:hint="eastAsia"/>
          <w:highlight w:val="none"/>
        </w:rPr>
        <w:t>mentalizing significantly vary according to academic discipline, only-child status, family location, parent</w:t>
      </w:r>
      <w:r>
        <w:rPr>
          <w:highlight w:val="none"/>
        </w:rPr>
        <w:t>al</w:t>
      </w:r>
      <w:r>
        <w:rPr>
          <w:rFonts w:hint="eastAsia"/>
          <w:highlight w:val="none"/>
        </w:rPr>
        <w:t xml:space="preserve"> education, family income, and self-assessment of health.</w:t>
      </w:r>
    </w:p>
    <w:p w14:paraId="17996C2E">
      <w:pPr>
        <w:pStyle w:val="7"/>
        <w:ind w:firstLine="0" w:firstLineChars="0"/>
        <w:jc w:val="center"/>
        <w:rPr>
          <w:rFonts w:cs="Times New Roman"/>
          <w:szCs w:val="21"/>
          <w:highlight w:val="none"/>
        </w:rPr>
      </w:pPr>
      <w:r>
        <w:rPr>
          <w:rFonts w:cs="Times New Roman"/>
          <w:szCs w:val="21"/>
          <w:highlight w:val="none"/>
        </w:rPr>
        <w:t xml:space="preserve">Table </w:t>
      </w:r>
      <w:r>
        <w:rPr>
          <w:rFonts w:hint="default" w:cs="Times New Roman"/>
          <w:szCs w:val="21"/>
          <w:highlight w:val="none"/>
          <w:lang w:val="en-US"/>
        </w:rPr>
        <w:t>S</w:t>
      </w:r>
      <w:r>
        <w:rPr>
          <w:rFonts w:hint="eastAsia" w:cs="Times New Roman"/>
          <w:szCs w:val="21"/>
          <w:highlight w:val="none"/>
          <w:lang w:val="en-US" w:eastAsia="zh-CN"/>
        </w:rPr>
        <w:t>4</w:t>
      </w:r>
      <w:r>
        <w:rPr>
          <w:rFonts w:cs="Times New Roman"/>
          <w:szCs w:val="21"/>
          <w:highlight w:val="none"/>
        </w:rPr>
        <w:t xml:space="preserve">  </w:t>
      </w:r>
      <w:r>
        <w:rPr>
          <w:rFonts w:hint="eastAsia" w:cs="Times New Roman"/>
          <w:szCs w:val="21"/>
          <w:highlight w:val="none"/>
        </w:rPr>
        <w:t>The demographic distribution characteristics of mentalization.</w:t>
      </w:r>
    </w:p>
    <w:tbl>
      <w:tblPr>
        <w:tblStyle w:val="4"/>
        <w:tblW w:w="5296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5"/>
        <w:gridCol w:w="1389"/>
        <w:gridCol w:w="1640"/>
        <w:gridCol w:w="1385"/>
        <w:gridCol w:w="1748"/>
      </w:tblGrid>
      <w:tr w14:paraId="917AF0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865" w:type="dxa"/>
            <w:vMerge w:val="restart"/>
            <w:vAlign w:val="center"/>
          </w:tcPr>
          <w:p w14:paraId="63C18B2F">
            <w:pPr>
              <w:pStyle w:val="10"/>
              <w:widowControl w:val="0"/>
              <w:jc w:val="center"/>
              <w:rPr>
                <w:rFonts w:cs="Times New Roman"/>
                <w:highlight w:val="none"/>
              </w:rPr>
            </w:pPr>
            <w:r>
              <w:rPr>
                <w:rFonts w:hint="eastAsia"/>
                <w:highlight w:val="none"/>
              </w:rPr>
              <w:t xml:space="preserve">Demographic characteristics </w:t>
            </w:r>
          </w:p>
        </w:tc>
        <w:tc>
          <w:tcPr>
            <w:tcW w:w="3030" w:type="dxa"/>
            <w:gridSpan w:val="2"/>
            <w:tcBorders>
              <w:top w:val="single" w:color="auto" w:sz="12" w:space="0"/>
              <w:bottom w:val="nil"/>
            </w:tcBorders>
          </w:tcPr>
          <w:p w14:paraId="0D57F90B">
            <w:pPr>
              <w:pStyle w:val="10"/>
              <w:widowControl w:val="0"/>
              <w:pBdr>
                <w:bottom w:val="single" w:color="auto" w:sz="6" w:space="1"/>
              </w:pBdr>
              <w:jc w:val="center"/>
              <w:rPr>
                <w:rFonts w:cs="Times New Roman"/>
                <w:highlight w:val="none"/>
              </w:rPr>
            </w:pPr>
            <w:r>
              <w:rPr>
                <w:rFonts w:eastAsia="SimSong"/>
                <w:szCs w:val="24"/>
                <w:highlight w:val="none"/>
              </w:rPr>
              <w:t>RFQ_C</w:t>
            </w:r>
          </w:p>
        </w:tc>
        <w:tc>
          <w:tcPr>
            <w:tcW w:w="3134" w:type="dxa"/>
            <w:gridSpan w:val="2"/>
            <w:tcBorders>
              <w:top w:val="single" w:color="auto" w:sz="12" w:space="0"/>
              <w:bottom w:val="nil"/>
            </w:tcBorders>
          </w:tcPr>
          <w:p w14:paraId="AEB9B519">
            <w:pPr>
              <w:pStyle w:val="10"/>
              <w:widowControl w:val="0"/>
              <w:pBdr>
                <w:bottom w:val="single" w:color="auto" w:sz="6" w:space="1"/>
              </w:pBdr>
              <w:jc w:val="center"/>
              <w:rPr>
                <w:rFonts w:cs="Times New Roman"/>
                <w:highlight w:val="none"/>
              </w:rPr>
            </w:pPr>
            <w:r>
              <w:rPr>
                <w:rFonts w:eastAsia="SimSong"/>
                <w:szCs w:val="24"/>
                <w:highlight w:val="none"/>
              </w:rPr>
              <w:t>RFQ_U</w:t>
            </w:r>
          </w:p>
        </w:tc>
      </w:tr>
      <w:tr w14:paraId="068B792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865" w:type="dxa"/>
            <w:vMerge w:val="continue"/>
            <w:tcBorders>
              <w:bottom w:val="single" w:color="auto" w:sz="6" w:space="0"/>
            </w:tcBorders>
          </w:tcPr>
          <w:p w14:paraId="0C4BEE49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389" w:type="dxa"/>
            <w:tcBorders>
              <w:top w:val="nil"/>
              <w:bottom w:val="single" w:color="auto" w:sz="6" w:space="0"/>
            </w:tcBorders>
          </w:tcPr>
          <w:p w14:paraId="64CE1902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Mean±SD</w:t>
            </w:r>
          </w:p>
        </w:tc>
        <w:tc>
          <w:tcPr>
            <w:tcW w:w="1641" w:type="dxa"/>
            <w:tcBorders>
              <w:top w:val="nil"/>
              <w:bottom w:val="single" w:color="auto" w:sz="6" w:space="0"/>
            </w:tcBorders>
          </w:tcPr>
          <w:p w14:paraId="9C8DCE23">
            <w:pPr>
              <w:pStyle w:val="10"/>
              <w:widowControl w:val="0"/>
              <w:jc w:val="both"/>
              <w:rPr>
                <w:rFonts w:cs="Times New Roman"/>
                <w:i/>
                <w:iCs/>
                <w:highlight w:val="none"/>
              </w:rPr>
            </w:pPr>
            <w:r>
              <w:rPr>
                <w:rFonts w:hint="eastAsia" w:cs="Times New Roman"/>
                <w:highlight w:val="none"/>
              </w:rPr>
              <w:t>Statistic</w:t>
            </w:r>
            <w:r>
              <w:rPr>
                <w:rFonts w:cs="Times New Roman"/>
                <w:highlight w:val="none"/>
              </w:rPr>
              <w:t>，</w:t>
            </w:r>
            <w:r>
              <w:rPr>
                <w:rFonts w:cs="Times New Roman"/>
                <w:i/>
                <w:iCs/>
                <w:highlight w:val="none"/>
              </w:rPr>
              <w:t>p</w:t>
            </w:r>
            <w:r>
              <w:rPr>
                <w:rFonts w:cs="Times New Roman"/>
                <w:highlight w:val="none"/>
              </w:rPr>
              <w:t>-value</w:t>
            </w:r>
          </w:p>
        </w:tc>
        <w:tc>
          <w:tcPr>
            <w:tcW w:w="1385" w:type="dxa"/>
            <w:tcBorders>
              <w:top w:val="nil"/>
              <w:bottom w:val="single" w:color="auto" w:sz="6" w:space="0"/>
            </w:tcBorders>
          </w:tcPr>
          <w:p w14:paraId="C321225C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Mean±SD</w:t>
            </w:r>
          </w:p>
        </w:tc>
        <w:tc>
          <w:tcPr>
            <w:tcW w:w="1749" w:type="dxa"/>
            <w:tcBorders>
              <w:top w:val="nil"/>
              <w:bottom w:val="single" w:color="auto" w:sz="6" w:space="0"/>
            </w:tcBorders>
          </w:tcPr>
          <w:p w14:paraId="AF886C74">
            <w:pPr>
              <w:pStyle w:val="10"/>
              <w:widowControl w:val="0"/>
              <w:jc w:val="both"/>
              <w:rPr>
                <w:rFonts w:cs="Times New Roman"/>
                <w:i/>
                <w:iCs/>
                <w:highlight w:val="none"/>
              </w:rPr>
            </w:pPr>
            <w:r>
              <w:rPr>
                <w:rFonts w:hint="eastAsia" w:cs="Times New Roman"/>
                <w:highlight w:val="none"/>
              </w:rPr>
              <w:t>Statistic</w:t>
            </w:r>
            <w:r>
              <w:rPr>
                <w:rFonts w:cs="Times New Roman"/>
                <w:highlight w:val="none"/>
              </w:rPr>
              <w:t>，</w:t>
            </w:r>
            <w:r>
              <w:rPr>
                <w:rFonts w:cs="Times New Roman"/>
                <w:i/>
                <w:iCs/>
                <w:highlight w:val="none"/>
              </w:rPr>
              <w:t>p</w:t>
            </w:r>
            <w:r>
              <w:rPr>
                <w:rFonts w:cs="Times New Roman"/>
                <w:highlight w:val="none"/>
              </w:rPr>
              <w:t>-value</w:t>
            </w:r>
          </w:p>
        </w:tc>
      </w:tr>
      <w:tr w14:paraId="3CFF870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tcBorders>
              <w:top w:val="single" w:color="auto" w:sz="6" w:space="0"/>
            </w:tcBorders>
            <w:vAlign w:val="center"/>
          </w:tcPr>
          <w:p w14:paraId="9748C1B9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hint="eastAsia" w:cs="Times New Roman"/>
                <w:highlight w:val="none"/>
              </w:rPr>
              <w:t>sex</w:t>
            </w:r>
          </w:p>
        </w:tc>
        <w:tc>
          <w:tcPr>
            <w:tcW w:w="1389" w:type="dxa"/>
            <w:tcBorders>
              <w:top w:val="single" w:color="auto" w:sz="6" w:space="0"/>
            </w:tcBorders>
          </w:tcPr>
          <w:p w14:paraId="7EDC8792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641" w:type="dxa"/>
            <w:tcBorders>
              <w:top w:val="single" w:color="auto" w:sz="6" w:space="0"/>
            </w:tcBorders>
          </w:tcPr>
          <w:p w14:paraId="8C61B991">
            <w:pPr>
              <w:pStyle w:val="10"/>
              <w:widowControl w:val="0"/>
              <w:jc w:val="both"/>
              <w:rPr>
                <w:rFonts w:cs="Times New Roman"/>
                <w:i/>
                <w:iCs/>
                <w:highlight w:val="none"/>
              </w:rPr>
            </w:pPr>
          </w:p>
        </w:tc>
        <w:tc>
          <w:tcPr>
            <w:tcW w:w="1385" w:type="dxa"/>
            <w:tcBorders>
              <w:top w:val="single" w:color="auto" w:sz="6" w:space="0"/>
            </w:tcBorders>
          </w:tcPr>
          <w:p w14:paraId="D0F453E8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749" w:type="dxa"/>
            <w:tcBorders>
              <w:top w:val="single" w:color="auto" w:sz="6" w:space="0"/>
            </w:tcBorders>
          </w:tcPr>
          <w:p w14:paraId="CFBB4694">
            <w:pPr>
              <w:pStyle w:val="10"/>
              <w:widowControl w:val="0"/>
              <w:jc w:val="both"/>
              <w:rPr>
                <w:rFonts w:cs="Times New Roman"/>
                <w:i/>
                <w:iCs/>
                <w:highlight w:val="none"/>
              </w:rPr>
            </w:pPr>
          </w:p>
        </w:tc>
      </w:tr>
      <w:tr w14:paraId="5C1768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33D1CE09">
            <w:pPr>
              <w:pStyle w:val="10"/>
              <w:widowControl w:val="0"/>
              <w:ind w:firstLine="455" w:firstLineChars="217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male</w:t>
            </w:r>
          </w:p>
        </w:tc>
        <w:tc>
          <w:tcPr>
            <w:tcW w:w="1389" w:type="dxa"/>
          </w:tcPr>
          <w:p w14:paraId="69B1001C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5.56±5.45</w:t>
            </w:r>
          </w:p>
        </w:tc>
        <w:tc>
          <w:tcPr>
            <w:tcW w:w="1641" w:type="dxa"/>
          </w:tcPr>
          <w:p w14:paraId="BF8A5578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W=1349250</w:t>
            </w:r>
          </w:p>
        </w:tc>
        <w:tc>
          <w:tcPr>
            <w:tcW w:w="1385" w:type="dxa"/>
          </w:tcPr>
          <w:p w14:paraId="226618A4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2.85±3.27</w:t>
            </w:r>
          </w:p>
        </w:tc>
        <w:tc>
          <w:tcPr>
            <w:tcW w:w="1749" w:type="dxa"/>
          </w:tcPr>
          <w:p w14:paraId="F78805EF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W=1288582</w:t>
            </w:r>
          </w:p>
        </w:tc>
      </w:tr>
      <w:tr w14:paraId="4AC4CD2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42453FC6">
            <w:pPr>
              <w:pStyle w:val="10"/>
              <w:widowControl w:val="0"/>
              <w:ind w:firstLine="455" w:firstLineChars="217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female</w:t>
            </w:r>
          </w:p>
        </w:tc>
        <w:tc>
          <w:tcPr>
            <w:tcW w:w="1389" w:type="dxa"/>
          </w:tcPr>
          <w:p w14:paraId="D169EDC0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5.52±5.17</w:t>
            </w:r>
          </w:p>
        </w:tc>
        <w:tc>
          <w:tcPr>
            <w:tcW w:w="1641" w:type="dxa"/>
          </w:tcPr>
          <w:p w14:paraId="73DECC63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i/>
                <w:iCs/>
                <w:color w:val="000000"/>
                <w:highlight w:val="none"/>
              </w:rPr>
              <w:t>p</w:t>
            </w:r>
            <w:r>
              <w:rPr>
                <w:rFonts w:cs="Times New Roman"/>
                <w:highlight w:val="none"/>
              </w:rPr>
              <w:t xml:space="preserve"> =0.561</w:t>
            </w:r>
          </w:p>
        </w:tc>
        <w:tc>
          <w:tcPr>
            <w:tcW w:w="1385" w:type="dxa"/>
          </w:tcPr>
          <w:p w14:paraId="6C27ECEE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3.13±3.33</w:t>
            </w:r>
          </w:p>
        </w:tc>
        <w:tc>
          <w:tcPr>
            <w:tcW w:w="1749" w:type="dxa"/>
          </w:tcPr>
          <w:p w14:paraId="38BA719D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i/>
                <w:iCs/>
                <w:highlight w:val="none"/>
              </w:rPr>
              <w:t>p</w:t>
            </w:r>
            <w:r>
              <w:rPr>
                <w:rFonts w:cs="Times New Roman"/>
                <w:highlight w:val="none"/>
              </w:rPr>
              <w:t>=0.005</w:t>
            </w:r>
          </w:p>
        </w:tc>
      </w:tr>
      <w:tr w14:paraId="BCDCD8B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B7FDF4D4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grade</w:t>
            </w:r>
          </w:p>
        </w:tc>
        <w:tc>
          <w:tcPr>
            <w:tcW w:w="1389" w:type="dxa"/>
          </w:tcPr>
          <w:p w14:paraId="5E16C5E6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641" w:type="dxa"/>
          </w:tcPr>
          <w:p w14:paraId="AA70F51B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385" w:type="dxa"/>
          </w:tcPr>
          <w:p w14:paraId="3F436739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749" w:type="dxa"/>
          </w:tcPr>
          <w:p w14:paraId="E0A47ACC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</w:tr>
      <w:tr w14:paraId="0722066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9F048D7C">
            <w:pPr>
              <w:pStyle w:val="10"/>
              <w:widowControl w:val="0"/>
              <w:ind w:firstLine="455" w:firstLineChars="217"/>
              <w:jc w:val="both"/>
              <w:rPr>
                <w:rFonts w:cs="Times New Roman"/>
                <w:highlight w:val="none"/>
              </w:rPr>
            </w:pPr>
            <w:r>
              <w:rPr>
                <w:rFonts w:hint="eastAsia" w:cs="Times New Roman"/>
                <w:highlight w:val="none"/>
              </w:rPr>
              <w:t>first grade</w:t>
            </w:r>
          </w:p>
        </w:tc>
        <w:tc>
          <w:tcPr>
            <w:tcW w:w="1389" w:type="dxa"/>
          </w:tcPr>
          <w:p w14:paraId="4AEE4452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5.36±5.25</w:t>
            </w:r>
          </w:p>
        </w:tc>
        <w:tc>
          <w:tcPr>
            <w:tcW w:w="1641" w:type="dxa"/>
          </w:tcPr>
          <w:p w14:paraId="CAF0C4A0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385" w:type="dxa"/>
          </w:tcPr>
          <w:p w14:paraId="B3536898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3.09±3.33</w:t>
            </w:r>
          </w:p>
        </w:tc>
        <w:tc>
          <w:tcPr>
            <w:tcW w:w="1749" w:type="dxa"/>
          </w:tcPr>
          <w:p w14:paraId="641A4894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</w:tr>
      <w:tr w14:paraId="F30CEA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BFC11B72">
            <w:pPr>
              <w:pStyle w:val="10"/>
              <w:widowControl w:val="0"/>
              <w:ind w:firstLine="455" w:firstLineChars="217"/>
              <w:jc w:val="both"/>
              <w:rPr>
                <w:rFonts w:cs="Times New Roman"/>
                <w:highlight w:val="none"/>
              </w:rPr>
            </w:pPr>
            <w:r>
              <w:rPr>
                <w:rFonts w:hint="eastAsia" w:cs="Times New Roman"/>
                <w:highlight w:val="none"/>
              </w:rPr>
              <w:t>second grade</w:t>
            </w:r>
          </w:p>
        </w:tc>
        <w:tc>
          <w:tcPr>
            <w:tcW w:w="1389" w:type="dxa"/>
          </w:tcPr>
          <w:p w14:paraId="3B6210E3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5.56±5.47</w:t>
            </w:r>
          </w:p>
        </w:tc>
        <w:tc>
          <w:tcPr>
            <w:tcW w:w="1641" w:type="dxa"/>
          </w:tcPr>
          <w:p w14:paraId="8B77E058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H=5.185</w:t>
            </w:r>
          </w:p>
        </w:tc>
        <w:tc>
          <w:tcPr>
            <w:tcW w:w="1385" w:type="dxa"/>
          </w:tcPr>
          <w:p w14:paraId="7CCEB7F0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2.97±3.26</w:t>
            </w:r>
          </w:p>
        </w:tc>
        <w:tc>
          <w:tcPr>
            <w:tcW w:w="1749" w:type="dxa"/>
          </w:tcPr>
          <w:p w14:paraId="738C7890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H=6.1004</w:t>
            </w:r>
          </w:p>
        </w:tc>
      </w:tr>
      <w:tr w14:paraId="8B2C5BE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BF8073C1">
            <w:pPr>
              <w:pStyle w:val="10"/>
              <w:widowControl w:val="0"/>
              <w:ind w:firstLine="455" w:firstLineChars="217"/>
              <w:jc w:val="both"/>
              <w:rPr>
                <w:rFonts w:cs="Times New Roman"/>
                <w:highlight w:val="none"/>
              </w:rPr>
            </w:pPr>
            <w:r>
              <w:rPr>
                <w:rFonts w:hint="eastAsia" w:cs="Times New Roman"/>
                <w:highlight w:val="none"/>
              </w:rPr>
              <w:t>third grade</w:t>
            </w:r>
          </w:p>
        </w:tc>
        <w:tc>
          <w:tcPr>
            <w:tcW w:w="1389" w:type="dxa"/>
          </w:tcPr>
          <w:p w14:paraId="674F2B45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5.51±5.05</w:t>
            </w:r>
          </w:p>
        </w:tc>
        <w:tc>
          <w:tcPr>
            <w:tcW w:w="1641" w:type="dxa"/>
          </w:tcPr>
          <w:p w14:paraId="542BFC25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i/>
                <w:iCs/>
                <w:color w:val="000000"/>
                <w:highlight w:val="none"/>
              </w:rPr>
              <w:t>p=</w:t>
            </w:r>
            <w:r>
              <w:rPr>
                <w:rFonts w:cs="Times New Roman"/>
                <w:highlight w:val="none"/>
              </w:rPr>
              <w:t>0.159</w:t>
            </w:r>
          </w:p>
        </w:tc>
        <w:tc>
          <w:tcPr>
            <w:tcW w:w="1385" w:type="dxa"/>
          </w:tcPr>
          <w:p w14:paraId="70BBDFBB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2.87±3.25</w:t>
            </w:r>
          </w:p>
        </w:tc>
        <w:tc>
          <w:tcPr>
            <w:tcW w:w="1749" w:type="dxa"/>
          </w:tcPr>
          <w:p w14:paraId="480E14B7">
            <w:pPr>
              <w:pStyle w:val="10"/>
              <w:widowControl w:val="0"/>
              <w:jc w:val="both"/>
              <w:rPr>
                <w:rFonts w:cs="Times New Roman"/>
                <w:i/>
                <w:iCs/>
                <w:color w:val="000000"/>
                <w:highlight w:val="none"/>
              </w:rPr>
            </w:pPr>
            <w:r>
              <w:rPr>
                <w:rFonts w:cs="Times New Roman"/>
                <w:i/>
                <w:iCs/>
                <w:color w:val="000000"/>
                <w:highlight w:val="none"/>
              </w:rPr>
              <w:t>p=</w:t>
            </w:r>
            <w:r>
              <w:rPr>
                <w:rFonts w:cs="Times New Roman"/>
                <w:color w:val="000000"/>
                <w:highlight w:val="none"/>
              </w:rPr>
              <w:t>0.1068</w:t>
            </w:r>
          </w:p>
        </w:tc>
      </w:tr>
      <w:tr w14:paraId="8FDCA6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175BDBFE">
            <w:pPr>
              <w:pStyle w:val="10"/>
              <w:widowControl w:val="0"/>
              <w:ind w:firstLine="455" w:firstLineChars="217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f</w:t>
            </w:r>
            <w:r>
              <w:rPr>
                <w:rFonts w:hint="eastAsia" w:cs="Times New Roman"/>
                <w:highlight w:val="none"/>
              </w:rPr>
              <w:t>ourth/fifth grade</w:t>
            </w:r>
          </w:p>
        </w:tc>
        <w:tc>
          <w:tcPr>
            <w:tcW w:w="1389" w:type="dxa"/>
          </w:tcPr>
          <w:p w14:paraId="D7404116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6.07±5.56</w:t>
            </w:r>
          </w:p>
        </w:tc>
        <w:tc>
          <w:tcPr>
            <w:tcW w:w="1641" w:type="dxa"/>
          </w:tcPr>
          <w:p w14:paraId="1D7A8CB1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385" w:type="dxa"/>
          </w:tcPr>
          <w:p w14:paraId="A2BF92B3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2.77±3.37</w:t>
            </w:r>
          </w:p>
        </w:tc>
        <w:tc>
          <w:tcPr>
            <w:tcW w:w="1749" w:type="dxa"/>
          </w:tcPr>
          <w:p w14:paraId="24A2D2EE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</w:tr>
      <w:tr w14:paraId="F8CAB2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CC2A3984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hint="eastAsia" w:cs="Times New Roman"/>
                <w:highlight w:val="none"/>
              </w:rPr>
              <w:t>academic discipline</w:t>
            </w:r>
          </w:p>
        </w:tc>
        <w:tc>
          <w:tcPr>
            <w:tcW w:w="1389" w:type="dxa"/>
          </w:tcPr>
          <w:p w14:paraId="E8204063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641" w:type="dxa"/>
          </w:tcPr>
          <w:p w14:paraId="2E6A86A0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385" w:type="dxa"/>
          </w:tcPr>
          <w:p w14:paraId="710E133B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749" w:type="dxa"/>
          </w:tcPr>
          <w:p w14:paraId="83EBE964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</w:tr>
      <w:tr w14:paraId="B19831D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2F2B2AFA">
            <w:pPr>
              <w:pStyle w:val="10"/>
              <w:widowControl w:val="0"/>
              <w:ind w:left="420" w:leftChars="200" w:firstLine="33" w:firstLineChars="16"/>
              <w:jc w:val="both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humanities</w:t>
            </w:r>
            <w:r>
              <w:rPr>
                <w:highlight w:val="none"/>
              </w:rPr>
              <w:t xml:space="preserve"> </w:t>
            </w:r>
            <w:r>
              <w:rPr>
                <w:rFonts w:hint="eastAsia"/>
                <w:highlight w:val="none"/>
              </w:rPr>
              <w:t xml:space="preserve">and </w:t>
            </w:r>
          </w:p>
          <w:p w14:paraId="F837B7D5">
            <w:pPr>
              <w:pStyle w:val="10"/>
              <w:widowControl w:val="0"/>
              <w:ind w:left="420" w:leftChars="200" w:firstLine="33" w:firstLineChars="16"/>
              <w:jc w:val="both"/>
              <w:rPr>
                <w:rFonts w:cs="Times New Roman"/>
                <w:highlight w:val="none"/>
              </w:rPr>
            </w:pPr>
            <w:r>
              <w:rPr>
                <w:rFonts w:hint="eastAsia"/>
                <w:highlight w:val="none"/>
              </w:rPr>
              <w:t>social sciences</w:t>
            </w:r>
          </w:p>
        </w:tc>
        <w:tc>
          <w:tcPr>
            <w:tcW w:w="1389" w:type="dxa"/>
          </w:tcPr>
          <w:p w14:paraId="B20B16FB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5.61±5.10</w:t>
            </w:r>
          </w:p>
        </w:tc>
        <w:tc>
          <w:tcPr>
            <w:tcW w:w="1641" w:type="dxa"/>
          </w:tcPr>
          <w:p w14:paraId="D8440875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W=1088262</w:t>
            </w:r>
          </w:p>
        </w:tc>
        <w:tc>
          <w:tcPr>
            <w:tcW w:w="1385" w:type="dxa"/>
          </w:tcPr>
          <w:p w14:paraId="1A5BC635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3.27±3.41</w:t>
            </w:r>
          </w:p>
        </w:tc>
        <w:tc>
          <w:tcPr>
            <w:tcW w:w="1749" w:type="dxa"/>
          </w:tcPr>
          <w:p w14:paraId="C1861421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W=1146726</w:t>
            </w:r>
          </w:p>
        </w:tc>
      </w:tr>
      <w:tr w14:paraId="C955D57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C7749940">
            <w:pPr>
              <w:pStyle w:val="10"/>
              <w:widowControl w:val="0"/>
              <w:ind w:left="420" w:leftChars="200" w:firstLine="33" w:firstLineChars="16"/>
              <w:jc w:val="both"/>
              <w:rPr>
                <w:rFonts w:cs="Times New Roman"/>
                <w:highlight w:val="none"/>
              </w:rPr>
            </w:pPr>
            <w:r>
              <w:rPr>
                <w:rFonts w:hint="eastAsia"/>
                <w:highlight w:val="none"/>
              </w:rPr>
              <w:t>science,engineering, medical</w:t>
            </w:r>
            <w:r>
              <w:rPr>
                <w:highlight w:val="none"/>
              </w:rPr>
              <w:t xml:space="preserve">, </w:t>
            </w:r>
            <w:r>
              <w:rPr>
                <w:rFonts w:hint="eastAsia"/>
                <w:highlight w:val="none"/>
              </w:rPr>
              <w:t>and agricultural</w:t>
            </w:r>
          </w:p>
        </w:tc>
        <w:tc>
          <w:tcPr>
            <w:tcW w:w="1389" w:type="dxa"/>
          </w:tcPr>
          <w:p w14:paraId="4CD6C418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5.52±5.40</w:t>
            </w:r>
          </w:p>
        </w:tc>
        <w:tc>
          <w:tcPr>
            <w:tcW w:w="1641" w:type="dxa"/>
          </w:tcPr>
          <w:p w14:paraId="C8155752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i/>
                <w:iCs/>
                <w:highlight w:val="none"/>
              </w:rPr>
              <w:t>p</w:t>
            </w:r>
            <w:r>
              <w:rPr>
                <w:rFonts w:cs="Times New Roman"/>
                <w:highlight w:val="none"/>
              </w:rPr>
              <w:t>= 0.234</w:t>
            </w:r>
          </w:p>
        </w:tc>
        <w:tc>
          <w:tcPr>
            <w:tcW w:w="1385" w:type="dxa"/>
          </w:tcPr>
          <w:p w14:paraId="DC337AAC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2.87±3.26</w:t>
            </w:r>
          </w:p>
        </w:tc>
        <w:tc>
          <w:tcPr>
            <w:tcW w:w="1749" w:type="dxa"/>
          </w:tcPr>
          <w:p w14:paraId="C29971C7">
            <w:pPr>
              <w:pStyle w:val="10"/>
              <w:widowControl w:val="0"/>
              <w:jc w:val="both"/>
              <w:rPr>
                <w:rFonts w:cs="Times New Roman"/>
                <w:i/>
                <w:iCs/>
                <w:color w:val="000000"/>
                <w:highlight w:val="none"/>
              </w:rPr>
            </w:pPr>
            <w:r>
              <w:rPr>
                <w:rFonts w:cs="Times New Roman"/>
                <w:i/>
                <w:iCs/>
                <w:color w:val="000000"/>
                <w:highlight w:val="none"/>
              </w:rPr>
              <w:t>p</w:t>
            </w:r>
            <w:r>
              <w:rPr>
                <w:rFonts w:cs="Times New Roman"/>
                <w:color w:val="000000"/>
                <w:highlight w:val="none"/>
              </w:rPr>
              <w:t>&lt;0.001</w:t>
            </w:r>
          </w:p>
        </w:tc>
      </w:tr>
      <w:tr w14:paraId="00F5DF8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104B4355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hint="eastAsia" w:cs="Times New Roman"/>
                <w:highlight w:val="none"/>
              </w:rPr>
              <w:t>ethnic</w:t>
            </w:r>
          </w:p>
        </w:tc>
        <w:tc>
          <w:tcPr>
            <w:tcW w:w="1389" w:type="dxa"/>
          </w:tcPr>
          <w:p w14:paraId="25BC6F0D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641" w:type="dxa"/>
          </w:tcPr>
          <w:p w14:paraId="22362BD8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385" w:type="dxa"/>
          </w:tcPr>
          <w:p w14:paraId="44AA4E41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749" w:type="dxa"/>
          </w:tcPr>
          <w:p w14:paraId="95EAAFA3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</w:tr>
      <w:tr w14:paraId="709FF3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A29F7312">
            <w:pPr>
              <w:pStyle w:val="10"/>
              <w:widowControl w:val="0"/>
              <w:ind w:firstLine="455" w:firstLineChars="217"/>
              <w:jc w:val="both"/>
              <w:rPr>
                <w:rFonts w:cs="Times New Roman"/>
                <w:highlight w:val="none"/>
              </w:rPr>
            </w:pPr>
            <w:r>
              <w:rPr>
                <w:rFonts w:hint="eastAsia"/>
                <w:highlight w:val="none"/>
              </w:rPr>
              <w:t>Han nationality</w:t>
            </w:r>
          </w:p>
        </w:tc>
        <w:tc>
          <w:tcPr>
            <w:tcW w:w="1389" w:type="dxa"/>
          </w:tcPr>
          <w:p w14:paraId="314DB16A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5.55±5.35</w:t>
            </w:r>
          </w:p>
        </w:tc>
        <w:tc>
          <w:tcPr>
            <w:tcW w:w="1641" w:type="dxa"/>
          </w:tcPr>
          <w:p w14:paraId="89BDFAC0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W=492530</w:t>
            </w:r>
          </w:p>
        </w:tc>
        <w:tc>
          <w:tcPr>
            <w:tcW w:w="1385" w:type="dxa"/>
          </w:tcPr>
          <w:p w14:paraId="153622E7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2.98±3.32</w:t>
            </w:r>
          </w:p>
        </w:tc>
        <w:tc>
          <w:tcPr>
            <w:tcW w:w="1749" w:type="dxa"/>
          </w:tcPr>
          <w:p w14:paraId="7F3F5AD1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W=492308</w:t>
            </w:r>
          </w:p>
        </w:tc>
      </w:tr>
      <w:tr w14:paraId="DC854C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F6CCEC80">
            <w:pPr>
              <w:pStyle w:val="10"/>
              <w:widowControl w:val="0"/>
              <w:ind w:firstLine="455" w:firstLineChars="217"/>
              <w:jc w:val="both"/>
              <w:rPr>
                <w:rFonts w:cs="Times New Roman"/>
                <w:highlight w:val="none"/>
              </w:rPr>
            </w:pPr>
            <w:r>
              <w:rPr>
                <w:rFonts w:hint="eastAsia"/>
                <w:highlight w:val="none"/>
              </w:rPr>
              <w:t>minority nationality</w:t>
            </w:r>
          </w:p>
        </w:tc>
        <w:tc>
          <w:tcPr>
            <w:tcW w:w="1389" w:type="dxa"/>
          </w:tcPr>
          <w:p w14:paraId="9B4569B4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5.44±5.13</w:t>
            </w:r>
          </w:p>
        </w:tc>
        <w:tc>
          <w:tcPr>
            <w:tcW w:w="1641" w:type="dxa"/>
          </w:tcPr>
          <w:p w14:paraId="6CF43670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i/>
                <w:iCs/>
                <w:highlight w:val="none"/>
              </w:rPr>
              <w:t>p</w:t>
            </w:r>
            <w:r>
              <w:rPr>
                <w:rFonts w:cs="Times New Roman"/>
                <w:highlight w:val="none"/>
              </w:rPr>
              <w:t>= 0.990</w:t>
            </w:r>
          </w:p>
        </w:tc>
        <w:tc>
          <w:tcPr>
            <w:tcW w:w="1385" w:type="dxa"/>
          </w:tcPr>
          <w:p w14:paraId="07DB58E8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2.88±3.10</w:t>
            </w:r>
          </w:p>
        </w:tc>
        <w:tc>
          <w:tcPr>
            <w:tcW w:w="1749" w:type="dxa"/>
          </w:tcPr>
          <w:p w14:paraId="F1832BEF">
            <w:pPr>
              <w:pStyle w:val="10"/>
              <w:widowControl w:val="0"/>
              <w:jc w:val="both"/>
              <w:rPr>
                <w:rFonts w:cs="Times New Roman"/>
                <w:i/>
                <w:iCs/>
                <w:highlight w:val="none"/>
              </w:rPr>
            </w:pPr>
            <w:r>
              <w:rPr>
                <w:rFonts w:cs="Times New Roman"/>
                <w:i/>
                <w:iCs/>
                <w:highlight w:val="none"/>
              </w:rPr>
              <w:t>p</w:t>
            </w:r>
            <w:r>
              <w:rPr>
                <w:rFonts w:cs="Times New Roman"/>
                <w:highlight w:val="none"/>
              </w:rPr>
              <w:t>= 0.999</w:t>
            </w:r>
          </w:p>
        </w:tc>
      </w:tr>
      <w:tr w14:paraId="DE3AB5D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E3FAE0E1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o</w:t>
            </w:r>
            <w:r>
              <w:rPr>
                <w:rFonts w:hint="eastAsia" w:cs="Times New Roman"/>
                <w:highlight w:val="none"/>
              </w:rPr>
              <w:t>nly child or not</w:t>
            </w:r>
          </w:p>
        </w:tc>
        <w:tc>
          <w:tcPr>
            <w:tcW w:w="1389" w:type="dxa"/>
          </w:tcPr>
          <w:p w14:paraId="8302357D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641" w:type="dxa"/>
          </w:tcPr>
          <w:p w14:paraId="B854033C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385" w:type="dxa"/>
          </w:tcPr>
          <w:p w14:paraId="67DEEB66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749" w:type="dxa"/>
          </w:tcPr>
          <w:p w14:paraId="6B8624B4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</w:tr>
      <w:tr w14:paraId="E9D53D4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8E2F2B2F">
            <w:pPr>
              <w:pStyle w:val="10"/>
              <w:widowControl w:val="0"/>
              <w:ind w:firstLine="455" w:firstLineChars="217"/>
              <w:jc w:val="both"/>
              <w:rPr>
                <w:rFonts w:cs="Times New Roman"/>
                <w:highlight w:val="none"/>
              </w:rPr>
            </w:pPr>
            <w:r>
              <w:rPr>
                <w:rFonts w:hint="eastAsia" w:cs="Times New Roman"/>
                <w:highlight w:val="none"/>
              </w:rPr>
              <w:t>y</w:t>
            </w:r>
            <w:r>
              <w:rPr>
                <w:rFonts w:cs="Times New Roman"/>
                <w:highlight w:val="none"/>
              </w:rPr>
              <w:t>es</w:t>
            </w:r>
          </w:p>
        </w:tc>
        <w:tc>
          <w:tcPr>
            <w:tcW w:w="1389" w:type="dxa"/>
          </w:tcPr>
          <w:p w14:paraId="0237ECB9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5.92±5.44</w:t>
            </w:r>
          </w:p>
        </w:tc>
        <w:tc>
          <w:tcPr>
            <w:tcW w:w="1641" w:type="dxa"/>
          </w:tcPr>
          <w:p w14:paraId="789C05CA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W=1457380</w:t>
            </w:r>
          </w:p>
        </w:tc>
        <w:tc>
          <w:tcPr>
            <w:tcW w:w="1385" w:type="dxa"/>
          </w:tcPr>
          <w:p w14:paraId="31FEB92C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2.89±3.27</w:t>
            </w:r>
          </w:p>
        </w:tc>
        <w:tc>
          <w:tcPr>
            <w:tcW w:w="1749" w:type="dxa"/>
          </w:tcPr>
          <w:p w14:paraId="1FB69186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W=1270287</w:t>
            </w:r>
          </w:p>
        </w:tc>
      </w:tr>
      <w:tr w14:paraId="14675E6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E7F4A54E">
            <w:pPr>
              <w:pStyle w:val="10"/>
              <w:widowControl w:val="0"/>
              <w:ind w:firstLine="455" w:firstLineChars="217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no</w:t>
            </w:r>
          </w:p>
        </w:tc>
        <w:tc>
          <w:tcPr>
            <w:tcW w:w="1389" w:type="dxa"/>
          </w:tcPr>
          <w:p w14:paraId="BEE2F1A6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4.97±5.10</w:t>
            </w:r>
          </w:p>
        </w:tc>
        <w:tc>
          <w:tcPr>
            <w:tcW w:w="1641" w:type="dxa"/>
          </w:tcPr>
          <w:p w14:paraId="3514ABFC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i/>
                <w:iCs/>
                <w:color w:val="000000"/>
                <w:highlight w:val="none"/>
              </w:rPr>
              <w:t>p</w:t>
            </w:r>
            <w:r>
              <w:rPr>
                <w:rFonts w:cs="Times New Roman"/>
                <w:color w:val="000000"/>
                <w:highlight w:val="none"/>
              </w:rPr>
              <w:t>&lt;0.001</w:t>
            </w:r>
          </w:p>
        </w:tc>
        <w:tc>
          <w:tcPr>
            <w:tcW w:w="1385" w:type="dxa"/>
          </w:tcPr>
          <w:p w14:paraId="BDACB802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3.10±3.34</w:t>
            </w:r>
          </w:p>
        </w:tc>
        <w:tc>
          <w:tcPr>
            <w:tcW w:w="1749" w:type="dxa"/>
          </w:tcPr>
          <w:p w14:paraId="C46A8693">
            <w:pPr>
              <w:pStyle w:val="10"/>
              <w:widowControl w:val="0"/>
              <w:jc w:val="both"/>
              <w:rPr>
                <w:rFonts w:cs="Times New Roman"/>
                <w:i/>
                <w:iCs/>
                <w:highlight w:val="none"/>
              </w:rPr>
            </w:pPr>
            <w:r>
              <w:rPr>
                <w:rFonts w:cs="Times New Roman"/>
                <w:i/>
                <w:iCs/>
                <w:color w:val="000000"/>
                <w:highlight w:val="none"/>
              </w:rPr>
              <w:t>p</w:t>
            </w:r>
            <w:r>
              <w:rPr>
                <w:rFonts w:cs="Times New Roman"/>
                <w:color w:val="000000"/>
                <w:highlight w:val="none"/>
              </w:rPr>
              <w:t>=0.045</w:t>
            </w:r>
          </w:p>
        </w:tc>
      </w:tr>
      <w:tr w14:paraId="E18FA3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4835596E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f</w:t>
            </w:r>
            <w:r>
              <w:rPr>
                <w:rFonts w:hint="eastAsia" w:cs="Times New Roman"/>
                <w:highlight w:val="none"/>
              </w:rPr>
              <w:t>amily location</w:t>
            </w:r>
          </w:p>
        </w:tc>
        <w:tc>
          <w:tcPr>
            <w:tcW w:w="1389" w:type="dxa"/>
          </w:tcPr>
          <w:p w14:paraId="CEAAD5D2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641" w:type="dxa"/>
          </w:tcPr>
          <w:p w14:paraId="D8DAF3A7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385" w:type="dxa"/>
          </w:tcPr>
          <w:p w14:paraId="0370FFB8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749" w:type="dxa"/>
          </w:tcPr>
          <w:p w14:paraId="FF781BA1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</w:tr>
      <w:tr w14:paraId="8A131A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AED7B930">
            <w:pPr>
              <w:pStyle w:val="10"/>
              <w:widowControl w:val="0"/>
              <w:ind w:firstLine="455" w:firstLineChars="217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city</w:t>
            </w:r>
            <w:r>
              <w:rPr>
                <w:rFonts w:cs="Times New Roman"/>
                <w:highlight w:val="none"/>
                <w:vertAlign w:val="superscript"/>
              </w:rPr>
              <w:sym w:font="Symbol" w:char="F044"/>
            </w:r>
          </w:p>
        </w:tc>
        <w:tc>
          <w:tcPr>
            <w:tcW w:w="1389" w:type="dxa"/>
          </w:tcPr>
          <w:p w14:paraId="1D28A667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5.94±5.37</w:t>
            </w:r>
          </w:p>
        </w:tc>
        <w:tc>
          <w:tcPr>
            <w:tcW w:w="1641" w:type="dxa"/>
          </w:tcPr>
          <w:p w14:paraId="55CB7F14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385" w:type="dxa"/>
          </w:tcPr>
          <w:p w14:paraId="3627BAB3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2.84±3.13</w:t>
            </w:r>
          </w:p>
        </w:tc>
        <w:tc>
          <w:tcPr>
            <w:tcW w:w="1749" w:type="dxa"/>
          </w:tcPr>
          <w:p w14:paraId="735A5930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</w:tr>
      <w:tr w14:paraId="B669C2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E4ECA2A4">
            <w:pPr>
              <w:pStyle w:val="10"/>
              <w:widowControl w:val="0"/>
              <w:ind w:firstLine="455" w:firstLineChars="217"/>
              <w:jc w:val="both"/>
              <w:rPr>
                <w:rFonts w:cs="Times New Roman"/>
                <w:highlight w:val="none"/>
              </w:rPr>
            </w:pPr>
            <w:r>
              <w:rPr>
                <w:rFonts w:hint="eastAsia" w:cs="Times New Roman"/>
                <w:highlight w:val="none"/>
              </w:rPr>
              <w:t>townships</w:t>
            </w:r>
          </w:p>
        </w:tc>
        <w:tc>
          <w:tcPr>
            <w:tcW w:w="1389" w:type="dxa"/>
          </w:tcPr>
          <w:p w14:paraId="B01BE1C7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5.39±5.35</w:t>
            </w:r>
          </w:p>
        </w:tc>
        <w:tc>
          <w:tcPr>
            <w:tcW w:w="1641" w:type="dxa"/>
          </w:tcPr>
          <w:p w14:paraId="207E6136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H=59.664</w:t>
            </w:r>
          </w:p>
        </w:tc>
        <w:tc>
          <w:tcPr>
            <w:tcW w:w="1385" w:type="dxa"/>
          </w:tcPr>
          <w:p w14:paraId="E9E4B50A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3.04±3.54</w:t>
            </w:r>
          </w:p>
        </w:tc>
        <w:tc>
          <w:tcPr>
            <w:tcW w:w="1749" w:type="dxa"/>
          </w:tcPr>
          <w:p w14:paraId="C2EE367C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H=11.591</w:t>
            </w:r>
          </w:p>
        </w:tc>
      </w:tr>
      <w:tr w14:paraId="732C679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2B3D552C">
            <w:pPr>
              <w:pStyle w:val="10"/>
              <w:widowControl w:val="0"/>
              <w:ind w:firstLine="455" w:firstLineChars="217"/>
              <w:jc w:val="both"/>
              <w:rPr>
                <w:rFonts w:cs="Times New Roman"/>
                <w:highlight w:val="none"/>
              </w:rPr>
            </w:pPr>
            <w:r>
              <w:rPr>
                <w:rFonts w:hint="eastAsia" w:cs="Times New Roman"/>
                <w:highlight w:val="none"/>
              </w:rPr>
              <w:t>countryside</w:t>
            </w:r>
          </w:p>
        </w:tc>
        <w:tc>
          <w:tcPr>
            <w:tcW w:w="1389" w:type="dxa"/>
          </w:tcPr>
          <w:p w14:paraId="F625F8FA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4.02±4.79</w:t>
            </w:r>
            <w:r>
              <w:rPr>
                <w:rFonts w:cs="Times New Roman"/>
                <w:position w:val="6"/>
                <w:sz w:val="14"/>
                <w:szCs w:val="14"/>
                <w:highlight w:val="none"/>
              </w:rPr>
              <w:t>***</w:t>
            </w:r>
          </w:p>
        </w:tc>
        <w:tc>
          <w:tcPr>
            <w:tcW w:w="1641" w:type="dxa"/>
          </w:tcPr>
          <w:p w14:paraId="1EBD36B2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i/>
                <w:iCs/>
                <w:color w:val="000000"/>
                <w:highlight w:val="none"/>
              </w:rPr>
              <w:t>p</w:t>
            </w:r>
            <w:r>
              <w:rPr>
                <w:rFonts w:cs="Times New Roman"/>
                <w:color w:val="000000"/>
                <w:highlight w:val="none"/>
              </w:rPr>
              <w:t>&lt;0.001</w:t>
            </w:r>
          </w:p>
        </w:tc>
        <w:tc>
          <w:tcPr>
            <w:tcW w:w="1385" w:type="dxa"/>
          </w:tcPr>
          <w:p w14:paraId="08BFB314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3.48±3.64</w:t>
            </w:r>
            <w:r>
              <w:rPr>
                <w:rFonts w:cs="Times New Roman"/>
                <w:position w:val="6"/>
                <w:sz w:val="14"/>
                <w:szCs w:val="14"/>
                <w:highlight w:val="none"/>
              </w:rPr>
              <w:t>***</w:t>
            </w:r>
          </w:p>
        </w:tc>
        <w:tc>
          <w:tcPr>
            <w:tcW w:w="1749" w:type="dxa"/>
          </w:tcPr>
          <w:p w14:paraId="66DD144F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i/>
                <w:iCs/>
                <w:highlight w:val="none"/>
              </w:rPr>
              <w:t>p</w:t>
            </w:r>
            <w:r>
              <w:rPr>
                <w:rFonts w:cs="Times New Roman"/>
                <w:highlight w:val="none"/>
              </w:rPr>
              <w:t>=0.003</w:t>
            </w:r>
          </w:p>
        </w:tc>
      </w:tr>
      <w:tr w14:paraId="3BEA64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AA9D2B5A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f</w:t>
            </w:r>
            <w:r>
              <w:rPr>
                <w:rFonts w:hint="eastAsia" w:cs="Times New Roman"/>
                <w:highlight w:val="none"/>
              </w:rPr>
              <w:t>ather's education</w:t>
            </w:r>
          </w:p>
        </w:tc>
        <w:tc>
          <w:tcPr>
            <w:tcW w:w="1389" w:type="dxa"/>
          </w:tcPr>
          <w:p w14:paraId="D592D5F4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641" w:type="dxa"/>
          </w:tcPr>
          <w:p w14:paraId="EA73A74F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385" w:type="dxa"/>
          </w:tcPr>
          <w:p w14:paraId="8BCD26FF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749" w:type="dxa"/>
          </w:tcPr>
          <w:p w14:paraId="77C9D2E9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</w:tr>
      <w:tr w14:paraId="A6157D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ADE399A8">
            <w:pPr>
              <w:pStyle w:val="10"/>
              <w:widowControl w:val="0"/>
              <w:ind w:left="420" w:leftChars="200" w:firstLine="33" w:firstLineChars="16"/>
              <w:jc w:val="both"/>
              <w:rPr>
                <w:rFonts w:cs="Times New Roman"/>
                <w:highlight w:val="none"/>
              </w:rPr>
            </w:pPr>
            <w:r>
              <w:rPr>
                <w:rFonts w:hint="eastAsia" w:cs="Times New Roman"/>
                <w:color w:val="000000"/>
                <w:highlight w:val="none"/>
              </w:rPr>
              <w:t xml:space="preserve">primary and below/junior high school </w:t>
            </w:r>
            <w:r>
              <w:rPr>
                <w:rFonts w:hint="eastAsia" w:cs="Times New Roman"/>
                <w:highlight w:val="none"/>
              </w:rPr>
              <w:t>education</w:t>
            </w:r>
            <w:r>
              <w:rPr>
                <w:rFonts w:cs="Times New Roman"/>
                <w:highlight w:val="none"/>
                <w:vertAlign w:val="superscript"/>
              </w:rPr>
              <w:sym w:font="Symbol" w:char="F044"/>
            </w:r>
          </w:p>
        </w:tc>
        <w:tc>
          <w:tcPr>
            <w:tcW w:w="1389" w:type="dxa"/>
          </w:tcPr>
          <w:p w14:paraId="8022B087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4.55±4.86</w:t>
            </w:r>
          </w:p>
        </w:tc>
        <w:tc>
          <w:tcPr>
            <w:tcW w:w="1641" w:type="dxa"/>
          </w:tcPr>
          <w:p w14:paraId="E04A607A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385" w:type="dxa"/>
          </w:tcPr>
          <w:p w14:paraId="300626F1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3.34±3.57</w:t>
            </w:r>
          </w:p>
        </w:tc>
        <w:tc>
          <w:tcPr>
            <w:tcW w:w="1749" w:type="dxa"/>
          </w:tcPr>
          <w:p w14:paraId="E2476F3A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</w:tr>
      <w:tr w14:paraId="843FA67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EF835F19">
            <w:pPr>
              <w:pStyle w:val="10"/>
              <w:widowControl w:val="0"/>
              <w:ind w:left="420" w:leftChars="200" w:firstLine="33" w:firstLineChars="16"/>
              <w:jc w:val="left"/>
              <w:rPr>
                <w:rFonts w:cs="Times New Roman"/>
                <w:color w:val="000000"/>
                <w:highlight w:val="none"/>
              </w:rPr>
            </w:pPr>
            <w:r>
              <w:rPr>
                <w:rFonts w:hint="eastAsia" w:cs="Times New Roman"/>
                <w:color w:val="000000"/>
                <w:highlight w:val="none"/>
              </w:rPr>
              <w:t>senior</w:t>
            </w:r>
            <w:r>
              <w:rPr>
                <w:rFonts w:cs="Times New Roman"/>
                <w:color w:val="000000"/>
                <w:highlight w:val="none"/>
              </w:rPr>
              <w:t xml:space="preserve"> </w:t>
            </w:r>
            <w:r>
              <w:rPr>
                <w:rFonts w:hint="eastAsia" w:cs="Times New Roman"/>
                <w:color w:val="000000"/>
                <w:highlight w:val="none"/>
              </w:rPr>
              <w:t xml:space="preserve">high school </w:t>
            </w:r>
            <w:r>
              <w:rPr>
                <w:rFonts w:hint="eastAsia" w:cs="Times New Roman"/>
                <w:highlight w:val="none"/>
              </w:rPr>
              <w:t>education</w:t>
            </w:r>
            <w:r>
              <w:rPr>
                <w:rFonts w:cs="Times New Roman"/>
                <w:highlight w:val="none"/>
              </w:rPr>
              <w:t>/ college degree</w:t>
            </w:r>
          </w:p>
        </w:tc>
        <w:tc>
          <w:tcPr>
            <w:tcW w:w="1389" w:type="dxa"/>
          </w:tcPr>
          <w:p w14:paraId="953E486A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5.44±5.19</w:t>
            </w:r>
            <w:r>
              <w:rPr>
                <w:rFonts w:cs="Times New Roman"/>
                <w:position w:val="6"/>
                <w:sz w:val="14"/>
                <w:szCs w:val="14"/>
                <w:highlight w:val="none"/>
              </w:rPr>
              <w:t>***</w:t>
            </w:r>
          </w:p>
        </w:tc>
        <w:tc>
          <w:tcPr>
            <w:tcW w:w="1641" w:type="dxa"/>
          </w:tcPr>
          <w:p w14:paraId="B62D7BCC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H=40.097</w:t>
            </w:r>
          </w:p>
        </w:tc>
        <w:tc>
          <w:tcPr>
            <w:tcW w:w="1385" w:type="dxa"/>
          </w:tcPr>
          <w:p w14:paraId="507FBE4C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3.05±3.31</w:t>
            </w:r>
          </w:p>
        </w:tc>
        <w:tc>
          <w:tcPr>
            <w:tcW w:w="1749" w:type="dxa"/>
          </w:tcPr>
          <w:p w14:paraId="CB10A7E3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H=16.552</w:t>
            </w:r>
          </w:p>
        </w:tc>
      </w:tr>
      <w:tr w14:paraId="5039AE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84F2319A">
            <w:pPr>
              <w:pStyle w:val="10"/>
              <w:widowControl w:val="0"/>
              <w:ind w:left="420" w:leftChars="200" w:firstLine="33" w:firstLineChars="16"/>
              <w:jc w:val="left"/>
              <w:rPr>
                <w:rFonts w:cs="Times New Roman"/>
                <w:color w:val="000000"/>
                <w:highlight w:val="none"/>
              </w:rPr>
            </w:pPr>
            <w:r>
              <w:rPr>
                <w:rFonts w:cs="Times New Roman"/>
                <w:color w:val="000000"/>
                <w:highlight w:val="none"/>
              </w:rPr>
              <w:t>b</w:t>
            </w:r>
            <w:r>
              <w:rPr>
                <w:rFonts w:hint="eastAsia" w:cs="Times New Roman"/>
                <w:color w:val="000000"/>
                <w:highlight w:val="none"/>
              </w:rPr>
              <w:t>achelor's/</w:t>
            </w:r>
            <w:r>
              <w:rPr>
                <w:rFonts w:cs="Times New Roman"/>
                <w:color w:val="000000"/>
                <w:highlight w:val="none"/>
              </w:rPr>
              <w:t>m</w:t>
            </w:r>
            <w:r>
              <w:rPr>
                <w:rFonts w:hint="eastAsia" w:cs="Times New Roman"/>
                <w:color w:val="000000"/>
                <w:highlight w:val="none"/>
              </w:rPr>
              <w:t>aster's degree and above</w:t>
            </w:r>
          </w:p>
        </w:tc>
        <w:tc>
          <w:tcPr>
            <w:tcW w:w="1389" w:type="dxa"/>
          </w:tcPr>
          <w:p w14:paraId="632C2445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6.16±5.59</w:t>
            </w:r>
            <w:r>
              <w:rPr>
                <w:rFonts w:cs="Times New Roman"/>
                <w:position w:val="6"/>
                <w:sz w:val="14"/>
                <w:szCs w:val="14"/>
                <w:highlight w:val="none"/>
              </w:rPr>
              <w:t>***</w:t>
            </w:r>
          </w:p>
        </w:tc>
        <w:tc>
          <w:tcPr>
            <w:tcW w:w="1641" w:type="dxa"/>
          </w:tcPr>
          <w:p w14:paraId="621363CF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i/>
                <w:iCs/>
                <w:color w:val="000000"/>
                <w:highlight w:val="none"/>
              </w:rPr>
              <w:t>p</w:t>
            </w:r>
            <w:r>
              <w:rPr>
                <w:rFonts w:cs="Times New Roman"/>
                <w:color w:val="000000"/>
                <w:highlight w:val="none"/>
              </w:rPr>
              <w:t>&lt;0.001</w:t>
            </w:r>
          </w:p>
        </w:tc>
        <w:tc>
          <w:tcPr>
            <w:tcW w:w="1385" w:type="dxa"/>
          </w:tcPr>
          <w:p w14:paraId="0E384807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2.71±3.12</w:t>
            </w:r>
            <w:r>
              <w:rPr>
                <w:rFonts w:cs="Times New Roman"/>
                <w:position w:val="6"/>
                <w:sz w:val="14"/>
                <w:szCs w:val="14"/>
                <w:highlight w:val="none"/>
              </w:rPr>
              <w:t>***</w:t>
            </w:r>
          </w:p>
        </w:tc>
        <w:tc>
          <w:tcPr>
            <w:tcW w:w="1749" w:type="dxa"/>
          </w:tcPr>
          <w:p w14:paraId="F37550FC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i/>
                <w:iCs/>
                <w:color w:val="000000"/>
                <w:highlight w:val="none"/>
              </w:rPr>
              <w:t>p</w:t>
            </w:r>
            <w:r>
              <w:rPr>
                <w:rFonts w:cs="Times New Roman"/>
                <w:color w:val="000000"/>
                <w:highlight w:val="none"/>
              </w:rPr>
              <w:t>&lt;0.001</w:t>
            </w:r>
          </w:p>
        </w:tc>
      </w:tr>
      <w:tr w14:paraId="A5BBF00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18EBE13E">
            <w:pPr>
              <w:pStyle w:val="10"/>
              <w:widowControl w:val="0"/>
              <w:jc w:val="both"/>
              <w:rPr>
                <w:rFonts w:cs="Times New Roman"/>
                <w:color w:val="000000"/>
                <w:highlight w:val="none"/>
              </w:rPr>
            </w:pPr>
            <w:r>
              <w:rPr>
                <w:rFonts w:cs="Times New Roman"/>
                <w:highlight w:val="none"/>
              </w:rPr>
              <w:t>m</w:t>
            </w:r>
            <w:r>
              <w:rPr>
                <w:rFonts w:hint="eastAsia" w:cs="Times New Roman"/>
                <w:highlight w:val="none"/>
              </w:rPr>
              <w:t>other's education</w:t>
            </w:r>
          </w:p>
        </w:tc>
        <w:tc>
          <w:tcPr>
            <w:tcW w:w="1389" w:type="dxa"/>
          </w:tcPr>
          <w:p w14:paraId="2B90F9D3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641" w:type="dxa"/>
          </w:tcPr>
          <w:p w14:paraId="63F7DAAA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385" w:type="dxa"/>
          </w:tcPr>
          <w:p w14:paraId="5918E905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749" w:type="dxa"/>
          </w:tcPr>
          <w:p w14:paraId="36BDF927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</w:tr>
      <w:tr w14:paraId="C4DE70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7248951E">
            <w:pPr>
              <w:pStyle w:val="10"/>
              <w:widowControl w:val="0"/>
              <w:ind w:left="420" w:leftChars="200" w:firstLine="33" w:firstLineChars="16"/>
              <w:jc w:val="both"/>
              <w:rPr>
                <w:rFonts w:cs="Times New Roman"/>
                <w:highlight w:val="none"/>
              </w:rPr>
            </w:pPr>
            <w:r>
              <w:rPr>
                <w:rFonts w:hint="eastAsia" w:cs="Times New Roman"/>
                <w:color w:val="000000"/>
                <w:highlight w:val="none"/>
              </w:rPr>
              <w:t xml:space="preserve">primary and below/junior high school </w:t>
            </w:r>
            <w:r>
              <w:rPr>
                <w:rFonts w:hint="eastAsia" w:cs="Times New Roman"/>
                <w:highlight w:val="none"/>
              </w:rPr>
              <w:t>education</w:t>
            </w:r>
            <w:r>
              <w:rPr>
                <w:rFonts w:cs="Times New Roman"/>
                <w:highlight w:val="none"/>
                <w:vertAlign w:val="superscript"/>
              </w:rPr>
              <w:sym w:font="Symbol" w:char="F044"/>
            </w:r>
          </w:p>
        </w:tc>
        <w:tc>
          <w:tcPr>
            <w:tcW w:w="1389" w:type="dxa"/>
          </w:tcPr>
          <w:p w14:paraId="7D50339D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4.49±4.85</w:t>
            </w:r>
          </w:p>
        </w:tc>
        <w:tc>
          <w:tcPr>
            <w:tcW w:w="1641" w:type="dxa"/>
          </w:tcPr>
          <w:p w14:paraId="87C19B89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385" w:type="dxa"/>
          </w:tcPr>
          <w:p w14:paraId="9C678227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3.43±3.54</w:t>
            </w:r>
          </w:p>
        </w:tc>
        <w:tc>
          <w:tcPr>
            <w:tcW w:w="1749" w:type="dxa"/>
          </w:tcPr>
          <w:p w14:paraId="59E73FE6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</w:tr>
      <w:tr w14:paraId="6481B5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81D73EB3">
            <w:pPr>
              <w:pStyle w:val="10"/>
              <w:widowControl w:val="0"/>
              <w:ind w:left="420" w:leftChars="200" w:firstLine="33" w:firstLineChars="16"/>
              <w:jc w:val="left"/>
              <w:rPr>
                <w:rFonts w:cs="Times New Roman"/>
                <w:color w:val="000000"/>
                <w:highlight w:val="none"/>
              </w:rPr>
            </w:pPr>
            <w:r>
              <w:rPr>
                <w:rFonts w:hint="eastAsia" w:cs="Times New Roman"/>
                <w:color w:val="000000"/>
                <w:highlight w:val="none"/>
              </w:rPr>
              <w:t>senior</w:t>
            </w:r>
            <w:r>
              <w:rPr>
                <w:rFonts w:cs="Times New Roman"/>
                <w:color w:val="000000"/>
                <w:highlight w:val="none"/>
              </w:rPr>
              <w:t xml:space="preserve"> </w:t>
            </w:r>
            <w:r>
              <w:rPr>
                <w:rFonts w:hint="eastAsia" w:cs="Times New Roman"/>
                <w:color w:val="000000"/>
                <w:highlight w:val="none"/>
              </w:rPr>
              <w:t xml:space="preserve">high school </w:t>
            </w:r>
            <w:r>
              <w:rPr>
                <w:rFonts w:hint="eastAsia" w:cs="Times New Roman"/>
                <w:highlight w:val="none"/>
              </w:rPr>
              <w:t>education</w:t>
            </w:r>
            <w:r>
              <w:rPr>
                <w:rFonts w:cs="Times New Roman"/>
                <w:highlight w:val="none"/>
              </w:rPr>
              <w:t>/ college degree</w:t>
            </w:r>
          </w:p>
        </w:tc>
        <w:tc>
          <w:tcPr>
            <w:tcW w:w="1389" w:type="dxa"/>
          </w:tcPr>
          <w:p w14:paraId="EFBC66E5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5.53±5.23</w:t>
            </w:r>
            <w:r>
              <w:rPr>
                <w:rFonts w:cs="Times New Roman"/>
                <w:position w:val="6"/>
                <w:sz w:val="14"/>
                <w:szCs w:val="14"/>
                <w:highlight w:val="none"/>
              </w:rPr>
              <w:t>***</w:t>
            </w:r>
          </w:p>
        </w:tc>
        <w:tc>
          <w:tcPr>
            <w:tcW w:w="1641" w:type="dxa"/>
          </w:tcPr>
          <w:p w14:paraId="2E02E819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H=51.848</w:t>
            </w:r>
          </w:p>
        </w:tc>
        <w:tc>
          <w:tcPr>
            <w:tcW w:w="1385" w:type="dxa"/>
          </w:tcPr>
          <w:p w14:paraId="E8394E00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2.95±3.25</w:t>
            </w:r>
            <w:r>
              <w:rPr>
                <w:rFonts w:cs="Times New Roman"/>
                <w:position w:val="6"/>
                <w:sz w:val="14"/>
                <w:szCs w:val="14"/>
                <w:highlight w:val="none"/>
              </w:rPr>
              <w:t>**</w:t>
            </w:r>
          </w:p>
        </w:tc>
        <w:tc>
          <w:tcPr>
            <w:tcW w:w="1749" w:type="dxa"/>
          </w:tcPr>
          <w:p w14:paraId="593235BA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H=28.02</w:t>
            </w:r>
          </w:p>
        </w:tc>
      </w:tr>
      <w:tr w14:paraId="F350AA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0CD5D2A2">
            <w:pPr>
              <w:pStyle w:val="10"/>
              <w:widowControl w:val="0"/>
              <w:ind w:left="420" w:leftChars="200" w:firstLine="33" w:firstLineChars="16"/>
              <w:jc w:val="left"/>
              <w:rPr>
                <w:rFonts w:cs="Times New Roman"/>
                <w:color w:val="000000"/>
                <w:highlight w:val="none"/>
              </w:rPr>
            </w:pPr>
            <w:r>
              <w:rPr>
                <w:rFonts w:cs="Times New Roman"/>
                <w:color w:val="000000"/>
                <w:highlight w:val="none"/>
              </w:rPr>
              <w:t>b</w:t>
            </w:r>
            <w:r>
              <w:rPr>
                <w:rFonts w:hint="eastAsia" w:cs="Times New Roman"/>
                <w:color w:val="000000"/>
                <w:highlight w:val="none"/>
              </w:rPr>
              <w:t>achelor's/</w:t>
            </w:r>
            <w:r>
              <w:rPr>
                <w:rFonts w:cs="Times New Roman"/>
                <w:color w:val="000000"/>
                <w:highlight w:val="none"/>
              </w:rPr>
              <w:t>m</w:t>
            </w:r>
            <w:r>
              <w:rPr>
                <w:rFonts w:hint="eastAsia" w:cs="Times New Roman"/>
                <w:color w:val="000000"/>
                <w:highlight w:val="none"/>
              </w:rPr>
              <w:t>aster's degree and above</w:t>
            </w:r>
          </w:p>
        </w:tc>
        <w:tc>
          <w:tcPr>
            <w:tcW w:w="1389" w:type="dxa"/>
          </w:tcPr>
          <w:p w14:paraId="408A74D0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6.32±5.64</w:t>
            </w:r>
            <w:r>
              <w:rPr>
                <w:rFonts w:cs="Times New Roman"/>
                <w:position w:val="6"/>
                <w:sz w:val="14"/>
                <w:szCs w:val="14"/>
                <w:highlight w:val="none"/>
              </w:rPr>
              <w:t>***</w:t>
            </w:r>
          </w:p>
        </w:tc>
        <w:tc>
          <w:tcPr>
            <w:tcW w:w="1641" w:type="dxa"/>
          </w:tcPr>
          <w:p w14:paraId="4BFBD0FF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i/>
                <w:iCs/>
                <w:color w:val="000000"/>
                <w:highlight w:val="none"/>
              </w:rPr>
              <w:t>p</w:t>
            </w:r>
            <w:r>
              <w:rPr>
                <w:rFonts w:cs="Times New Roman"/>
                <w:color w:val="000000"/>
                <w:highlight w:val="none"/>
              </w:rPr>
              <w:t>&lt;0.001</w:t>
            </w:r>
          </w:p>
        </w:tc>
        <w:tc>
          <w:tcPr>
            <w:tcW w:w="1385" w:type="dxa"/>
          </w:tcPr>
          <w:p w14:paraId="379888B2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2.66±3.13</w:t>
            </w:r>
            <w:r>
              <w:rPr>
                <w:rFonts w:cs="Times New Roman"/>
                <w:position w:val="6"/>
                <w:sz w:val="14"/>
                <w:szCs w:val="14"/>
                <w:highlight w:val="none"/>
              </w:rPr>
              <w:t>***</w:t>
            </w:r>
          </w:p>
        </w:tc>
        <w:tc>
          <w:tcPr>
            <w:tcW w:w="1749" w:type="dxa"/>
          </w:tcPr>
          <w:p w14:paraId="9E679B67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i/>
                <w:iCs/>
                <w:color w:val="000000"/>
                <w:highlight w:val="none"/>
              </w:rPr>
              <w:t>p</w:t>
            </w:r>
            <w:r>
              <w:rPr>
                <w:rFonts w:cs="Times New Roman"/>
                <w:color w:val="000000"/>
                <w:highlight w:val="none"/>
              </w:rPr>
              <w:t>&lt;0.001</w:t>
            </w:r>
          </w:p>
        </w:tc>
      </w:tr>
      <w:tr w14:paraId="337F5F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212F3311">
            <w:pPr>
              <w:pStyle w:val="10"/>
              <w:widowControl w:val="0"/>
              <w:jc w:val="both"/>
              <w:rPr>
                <w:rFonts w:cs="Times New Roman"/>
                <w:color w:val="000000"/>
                <w:highlight w:val="none"/>
              </w:rPr>
            </w:pPr>
            <w:r>
              <w:rPr>
                <w:rFonts w:hint="eastAsia" w:cs="Times New Roman"/>
                <w:highlight w:val="none"/>
              </w:rPr>
              <w:t>parental marital status</w:t>
            </w:r>
          </w:p>
        </w:tc>
        <w:tc>
          <w:tcPr>
            <w:tcW w:w="1389" w:type="dxa"/>
          </w:tcPr>
          <w:p w14:paraId="0F319E06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641" w:type="dxa"/>
          </w:tcPr>
          <w:p w14:paraId="6FCAFCE8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385" w:type="dxa"/>
          </w:tcPr>
          <w:p w14:paraId="AD4A4D80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749" w:type="dxa"/>
          </w:tcPr>
          <w:p w14:paraId="EE732DAA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</w:tr>
      <w:tr w14:paraId="57AE426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91C12E35">
            <w:pPr>
              <w:pStyle w:val="10"/>
              <w:widowControl w:val="0"/>
              <w:ind w:firstLine="455" w:firstLineChars="217"/>
              <w:jc w:val="both"/>
              <w:rPr>
                <w:rFonts w:cs="Times New Roman"/>
                <w:highlight w:val="none"/>
              </w:rPr>
            </w:pPr>
            <w:r>
              <w:rPr>
                <w:rFonts w:hint="eastAsia" w:cs="Times New Roman"/>
                <w:highlight w:val="none"/>
              </w:rPr>
              <w:t>marriage</w:t>
            </w:r>
          </w:p>
        </w:tc>
        <w:tc>
          <w:tcPr>
            <w:tcW w:w="1389" w:type="dxa"/>
          </w:tcPr>
          <w:p w14:paraId="E09C5C5E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5.57±5.36</w:t>
            </w:r>
          </w:p>
        </w:tc>
        <w:tc>
          <w:tcPr>
            <w:tcW w:w="1641" w:type="dxa"/>
          </w:tcPr>
          <w:p w14:paraId="9C803E95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W=479015</w:t>
            </w:r>
          </w:p>
        </w:tc>
        <w:tc>
          <w:tcPr>
            <w:tcW w:w="1385" w:type="dxa"/>
          </w:tcPr>
          <w:p w14:paraId="814EFCD9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2.95±3.28</w:t>
            </w:r>
          </w:p>
        </w:tc>
        <w:tc>
          <w:tcPr>
            <w:tcW w:w="1749" w:type="dxa"/>
          </w:tcPr>
          <w:p w14:paraId="B4AFEB5A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W=462508</w:t>
            </w:r>
          </w:p>
        </w:tc>
      </w:tr>
      <w:tr w14:paraId="55A9F4D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DB83B999">
            <w:pPr>
              <w:pStyle w:val="10"/>
              <w:widowControl w:val="0"/>
              <w:ind w:left="456" w:leftChars="217"/>
              <w:jc w:val="left"/>
              <w:rPr>
                <w:rFonts w:cs="Times New Roman"/>
                <w:highlight w:val="none"/>
              </w:rPr>
            </w:pPr>
            <w:r>
              <w:rPr>
                <w:rFonts w:hint="eastAsia" w:cs="Times New Roman"/>
                <w:highlight w:val="none"/>
              </w:rPr>
              <w:t>out of wedlock</w:t>
            </w:r>
            <w:r>
              <w:rPr>
                <w:rFonts w:cs="Times New Roman"/>
                <w:highlight w:val="none"/>
              </w:rPr>
              <w:t xml:space="preserve"> (d</w:t>
            </w:r>
            <w:r>
              <w:rPr>
                <w:rFonts w:hint="eastAsia" w:cs="Times New Roman"/>
                <w:highlight w:val="none"/>
              </w:rPr>
              <w:t>ivorced/widowed/other</w:t>
            </w:r>
            <w:r>
              <w:rPr>
                <w:rFonts w:cs="Times New Roman"/>
                <w:highlight w:val="none"/>
              </w:rPr>
              <w:t>)</w:t>
            </w:r>
          </w:p>
        </w:tc>
        <w:tc>
          <w:tcPr>
            <w:tcW w:w="1389" w:type="dxa"/>
          </w:tcPr>
          <w:p w14:paraId="EE51FE51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5.29±5.02</w:t>
            </w:r>
          </w:p>
        </w:tc>
        <w:tc>
          <w:tcPr>
            <w:tcW w:w="1641" w:type="dxa"/>
          </w:tcPr>
          <w:p w14:paraId="4A76F691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i/>
                <w:iCs/>
                <w:highlight w:val="none"/>
              </w:rPr>
              <w:t>p</w:t>
            </w:r>
            <w:r>
              <w:rPr>
                <w:rFonts w:cs="Times New Roman"/>
                <w:highlight w:val="none"/>
              </w:rPr>
              <w:t>= 0.550</w:t>
            </w:r>
          </w:p>
        </w:tc>
        <w:tc>
          <w:tcPr>
            <w:tcW w:w="1385" w:type="dxa"/>
          </w:tcPr>
          <w:p w14:paraId="46906957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3.14±3.52</w:t>
            </w:r>
          </w:p>
        </w:tc>
        <w:tc>
          <w:tcPr>
            <w:tcW w:w="1749" w:type="dxa"/>
          </w:tcPr>
          <w:p w14:paraId="84B19190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i/>
                <w:iCs/>
                <w:highlight w:val="none"/>
              </w:rPr>
              <w:t>p</w:t>
            </w:r>
            <w:r>
              <w:rPr>
                <w:rFonts w:cs="Times New Roman"/>
                <w:highlight w:val="none"/>
              </w:rPr>
              <w:t>= 0.662</w:t>
            </w:r>
          </w:p>
        </w:tc>
      </w:tr>
      <w:tr w14:paraId="C66C1BE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5FEB9755">
            <w:pPr>
              <w:pStyle w:val="10"/>
              <w:widowControl w:val="0"/>
              <w:jc w:val="left"/>
              <w:rPr>
                <w:rFonts w:cs="Times New Roman"/>
                <w:highlight w:val="none"/>
              </w:rPr>
            </w:pPr>
            <w:r>
              <w:rPr>
                <w:rFonts w:hint="eastAsia" w:cs="Times New Roman"/>
                <w:highlight w:val="none"/>
              </w:rPr>
              <w:t>monthly per capita family income</w:t>
            </w:r>
          </w:p>
        </w:tc>
        <w:tc>
          <w:tcPr>
            <w:tcW w:w="1389" w:type="dxa"/>
          </w:tcPr>
          <w:p w14:paraId="4A2328DE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641" w:type="dxa"/>
          </w:tcPr>
          <w:p w14:paraId="9E960576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385" w:type="dxa"/>
          </w:tcPr>
          <w:p w14:paraId="9A6F026E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749" w:type="dxa"/>
          </w:tcPr>
          <w:p w14:paraId="5A00F897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</w:tr>
      <w:tr w14:paraId="DDE0BB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DFF262BE">
            <w:pPr>
              <w:pStyle w:val="10"/>
              <w:widowControl w:val="0"/>
              <w:ind w:firstLine="447" w:firstLineChars="213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≤</w:t>
            </w:r>
            <w:r>
              <w:rPr>
                <w:rFonts w:hint="eastAsia" w:cs="Times New Roman"/>
                <w:highlight w:val="none"/>
              </w:rPr>
              <w:t>￥</w:t>
            </w:r>
            <w:r>
              <w:rPr>
                <w:rFonts w:cs="Times New Roman"/>
                <w:highlight w:val="none"/>
              </w:rPr>
              <w:t>3000</w:t>
            </w:r>
            <w:r>
              <w:rPr>
                <w:rFonts w:cs="Times New Roman"/>
                <w:highlight w:val="none"/>
                <w:vertAlign w:val="superscript"/>
              </w:rPr>
              <w:sym w:font="Symbol" w:char="F044"/>
            </w:r>
          </w:p>
        </w:tc>
        <w:tc>
          <w:tcPr>
            <w:tcW w:w="1389" w:type="dxa"/>
          </w:tcPr>
          <w:p w14:paraId="B776FF4F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4.33±4.66</w:t>
            </w:r>
          </w:p>
        </w:tc>
        <w:tc>
          <w:tcPr>
            <w:tcW w:w="1641" w:type="dxa"/>
          </w:tcPr>
          <w:p w14:paraId="A5469793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385" w:type="dxa"/>
          </w:tcPr>
          <w:p w14:paraId="8D1F279D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3.67±3.77</w:t>
            </w:r>
          </w:p>
        </w:tc>
        <w:tc>
          <w:tcPr>
            <w:tcW w:w="1749" w:type="dxa"/>
          </w:tcPr>
          <w:p w14:paraId="C16DC438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</w:tr>
      <w:tr w14:paraId="2EF5528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97DCB135">
            <w:pPr>
              <w:pStyle w:val="10"/>
              <w:widowControl w:val="0"/>
              <w:ind w:firstLine="447" w:firstLineChars="213"/>
              <w:jc w:val="both"/>
              <w:rPr>
                <w:rFonts w:cs="Times New Roman"/>
                <w:highlight w:val="none"/>
              </w:rPr>
            </w:pPr>
            <w:r>
              <w:rPr>
                <w:rFonts w:hint="eastAsia" w:cs="Times New Roman"/>
                <w:highlight w:val="none"/>
              </w:rPr>
              <w:t>￥</w:t>
            </w:r>
            <w:r>
              <w:rPr>
                <w:rFonts w:cs="Times New Roman"/>
                <w:highlight w:val="none"/>
              </w:rPr>
              <w:t>3001-6000</w:t>
            </w:r>
          </w:p>
        </w:tc>
        <w:tc>
          <w:tcPr>
            <w:tcW w:w="1389" w:type="dxa"/>
          </w:tcPr>
          <w:p w14:paraId="DCE33C19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4.94±5.09</w:t>
            </w:r>
          </w:p>
        </w:tc>
        <w:tc>
          <w:tcPr>
            <w:tcW w:w="1641" w:type="dxa"/>
          </w:tcPr>
          <w:p w14:paraId="41AD039A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H=54.328</w:t>
            </w:r>
          </w:p>
        </w:tc>
        <w:tc>
          <w:tcPr>
            <w:tcW w:w="1385" w:type="dxa"/>
          </w:tcPr>
          <w:p w14:paraId="F108BC2E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3.07±3.43</w:t>
            </w:r>
            <w:r>
              <w:rPr>
                <w:rFonts w:cs="Times New Roman"/>
                <w:position w:val="6"/>
                <w:sz w:val="14"/>
                <w:szCs w:val="14"/>
                <w:highlight w:val="none"/>
              </w:rPr>
              <w:t>*</w:t>
            </w:r>
          </w:p>
        </w:tc>
        <w:tc>
          <w:tcPr>
            <w:tcW w:w="1749" w:type="dxa"/>
          </w:tcPr>
          <w:p w14:paraId="931C4357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H=25.394</w:t>
            </w:r>
          </w:p>
        </w:tc>
      </w:tr>
      <w:tr w14:paraId="87387D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C6A82224">
            <w:pPr>
              <w:pStyle w:val="10"/>
              <w:widowControl w:val="0"/>
              <w:ind w:firstLine="447" w:firstLineChars="213"/>
              <w:jc w:val="both"/>
              <w:rPr>
                <w:rFonts w:cs="Times New Roman"/>
                <w:highlight w:val="none"/>
              </w:rPr>
            </w:pPr>
            <w:r>
              <w:rPr>
                <w:rFonts w:hint="eastAsia" w:cs="Times New Roman"/>
                <w:highlight w:val="none"/>
              </w:rPr>
              <w:t>￥</w:t>
            </w:r>
            <w:r>
              <w:rPr>
                <w:rFonts w:cs="Times New Roman"/>
                <w:highlight w:val="none"/>
              </w:rPr>
              <w:t>6001-9999</w:t>
            </w:r>
          </w:p>
        </w:tc>
        <w:tc>
          <w:tcPr>
            <w:tcW w:w="1389" w:type="dxa"/>
          </w:tcPr>
          <w:p w14:paraId="C09C91E4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5.79±5.33</w:t>
            </w:r>
            <w:r>
              <w:rPr>
                <w:rFonts w:cs="Times New Roman"/>
                <w:position w:val="6"/>
                <w:sz w:val="14"/>
                <w:szCs w:val="14"/>
                <w:highlight w:val="none"/>
              </w:rPr>
              <w:t>***</w:t>
            </w:r>
          </w:p>
        </w:tc>
        <w:tc>
          <w:tcPr>
            <w:tcW w:w="1641" w:type="dxa"/>
          </w:tcPr>
          <w:p w14:paraId="663A4DD4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i/>
                <w:iCs/>
                <w:color w:val="000000"/>
                <w:highlight w:val="none"/>
              </w:rPr>
              <w:t>p</w:t>
            </w:r>
            <w:r>
              <w:rPr>
                <w:rFonts w:cs="Times New Roman"/>
                <w:color w:val="000000"/>
                <w:highlight w:val="none"/>
              </w:rPr>
              <w:t>&lt;0.001</w:t>
            </w:r>
          </w:p>
        </w:tc>
        <w:tc>
          <w:tcPr>
            <w:tcW w:w="1385" w:type="dxa"/>
          </w:tcPr>
          <w:p w14:paraId="0FCCF808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2.88±2.99</w:t>
            </w:r>
            <w:r>
              <w:rPr>
                <w:rFonts w:cs="Times New Roman"/>
                <w:position w:val="6"/>
                <w:sz w:val="14"/>
                <w:szCs w:val="14"/>
                <w:highlight w:val="none"/>
              </w:rPr>
              <w:t>***</w:t>
            </w:r>
          </w:p>
        </w:tc>
        <w:tc>
          <w:tcPr>
            <w:tcW w:w="1749" w:type="dxa"/>
          </w:tcPr>
          <w:p w14:paraId="49628890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i/>
                <w:iCs/>
                <w:color w:val="000000"/>
                <w:highlight w:val="none"/>
              </w:rPr>
              <w:t>p</w:t>
            </w:r>
            <w:r>
              <w:rPr>
                <w:rFonts w:cs="Times New Roman"/>
                <w:color w:val="000000"/>
                <w:highlight w:val="none"/>
              </w:rPr>
              <w:t>&lt;0.001</w:t>
            </w:r>
          </w:p>
        </w:tc>
      </w:tr>
      <w:tr w14:paraId="F551228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661C3EEE">
            <w:pPr>
              <w:pStyle w:val="10"/>
              <w:widowControl w:val="0"/>
              <w:ind w:firstLine="447" w:firstLineChars="213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≥</w:t>
            </w:r>
            <w:r>
              <w:rPr>
                <w:rFonts w:hint="eastAsia" w:cs="Times New Roman"/>
                <w:highlight w:val="none"/>
              </w:rPr>
              <w:t xml:space="preserve">￥10,000 </w:t>
            </w:r>
          </w:p>
        </w:tc>
        <w:tc>
          <w:tcPr>
            <w:tcW w:w="1389" w:type="dxa"/>
          </w:tcPr>
          <w:p w14:paraId="A3317AFC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6.35±5.63</w:t>
            </w:r>
            <w:r>
              <w:rPr>
                <w:rFonts w:cs="Times New Roman"/>
                <w:position w:val="6"/>
                <w:sz w:val="14"/>
                <w:szCs w:val="14"/>
                <w:highlight w:val="none"/>
              </w:rPr>
              <w:t>***</w:t>
            </w:r>
          </w:p>
        </w:tc>
        <w:tc>
          <w:tcPr>
            <w:tcW w:w="1641" w:type="dxa"/>
          </w:tcPr>
          <w:p w14:paraId="16A1CBA6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385" w:type="dxa"/>
          </w:tcPr>
          <w:p w14:paraId="4E2C538E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2.69±3.20</w:t>
            </w:r>
            <w:r>
              <w:rPr>
                <w:rFonts w:cs="Times New Roman"/>
                <w:position w:val="6"/>
                <w:sz w:val="14"/>
                <w:szCs w:val="14"/>
                <w:highlight w:val="none"/>
              </w:rPr>
              <w:t>***</w:t>
            </w:r>
          </w:p>
        </w:tc>
        <w:tc>
          <w:tcPr>
            <w:tcW w:w="1749" w:type="dxa"/>
          </w:tcPr>
          <w:p w14:paraId="7FB2DA87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</w:tr>
      <w:tr w14:paraId="55CEEF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155794B1">
            <w:pPr>
              <w:pStyle w:val="10"/>
              <w:widowControl w:val="0"/>
              <w:jc w:val="both"/>
              <w:rPr>
                <w:rFonts w:cs="Times New Roman"/>
                <w:color w:val="000000"/>
                <w:highlight w:val="none"/>
              </w:rPr>
            </w:pPr>
            <w:r>
              <w:rPr>
                <w:rFonts w:hint="eastAsia"/>
                <w:highlight w:val="none"/>
              </w:rPr>
              <w:t>grade ranking</w:t>
            </w:r>
          </w:p>
        </w:tc>
        <w:tc>
          <w:tcPr>
            <w:tcW w:w="1389" w:type="dxa"/>
          </w:tcPr>
          <w:p w14:paraId="EF54A92E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641" w:type="dxa"/>
          </w:tcPr>
          <w:p w14:paraId="35009DF1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385" w:type="dxa"/>
          </w:tcPr>
          <w:p w14:paraId="A8273A88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749" w:type="dxa"/>
          </w:tcPr>
          <w:p w14:paraId="9A905B05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</w:tr>
      <w:tr w14:paraId="B5C518B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86A48CB5">
            <w:pPr>
              <w:pStyle w:val="10"/>
              <w:widowControl w:val="0"/>
              <w:ind w:firstLine="447" w:firstLineChars="213"/>
              <w:jc w:val="both"/>
              <w:rPr>
                <w:rFonts w:cs="Times New Roman"/>
                <w:highlight w:val="none"/>
              </w:rPr>
            </w:pPr>
            <w:r>
              <w:rPr>
                <w:rFonts w:hint="eastAsia" w:cs="Times New Roman"/>
                <w:highlight w:val="none"/>
              </w:rPr>
              <w:t xml:space="preserve">First </w:t>
            </w:r>
            <w:r>
              <w:rPr>
                <w:rFonts w:cs="Times New Roman"/>
                <w:highlight w:val="none"/>
              </w:rPr>
              <w:t>25%</w:t>
            </w:r>
            <w:r>
              <w:rPr>
                <w:rFonts w:cs="Times New Roman"/>
                <w:highlight w:val="none"/>
                <w:vertAlign w:val="superscript"/>
              </w:rPr>
              <w:sym w:font="Symbol" w:char="F044"/>
            </w:r>
          </w:p>
        </w:tc>
        <w:tc>
          <w:tcPr>
            <w:tcW w:w="1389" w:type="dxa"/>
          </w:tcPr>
          <w:p w14:paraId="724F59F6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5.93±5.58</w:t>
            </w:r>
          </w:p>
        </w:tc>
        <w:tc>
          <w:tcPr>
            <w:tcW w:w="1641" w:type="dxa"/>
          </w:tcPr>
          <w:p w14:paraId="7AF1967B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385" w:type="dxa"/>
          </w:tcPr>
          <w:p w14:paraId="9A294ED9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2.81±3.28</w:t>
            </w:r>
          </w:p>
        </w:tc>
        <w:tc>
          <w:tcPr>
            <w:tcW w:w="1749" w:type="dxa"/>
          </w:tcPr>
          <w:p w14:paraId="DC94A8A7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</w:tr>
      <w:tr w14:paraId="F008476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ACBA4E90">
            <w:pPr>
              <w:pStyle w:val="10"/>
              <w:widowControl w:val="0"/>
              <w:ind w:firstLine="447" w:firstLineChars="213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26%-50%</w:t>
            </w:r>
          </w:p>
        </w:tc>
        <w:tc>
          <w:tcPr>
            <w:tcW w:w="1389" w:type="dxa"/>
          </w:tcPr>
          <w:p w14:paraId="AAA6C8C7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5.74±5.31</w:t>
            </w:r>
          </w:p>
        </w:tc>
        <w:tc>
          <w:tcPr>
            <w:tcW w:w="1641" w:type="dxa"/>
          </w:tcPr>
          <w:p w14:paraId="A7D4AC18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H=17.944</w:t>
            </w:r>
          </w:p>
        </w:tc>
        <w:tc>
          <w:tcPr>
            <w:tcW w:w="1385" w:type="dxa"/>
          </w:tcPr>
          <w:p w14:paraId="C0833860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2.92±3.15</w:t>
            </w:r>
          </w:p>
        </w:tc>
        <w:tc>
          <w:tcPr>
            <w:tcW w:w="1749" w:type="dxa"/>
          </w:tcPr>
          <w:p w14:paraId="73E22DE3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H=7.743</w:t>
            </w:r>
          </w:p>
        </w:tc>
      </w:tr>
      <w:tr w14:paraId="D6F0A2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AF511608">
            <w:pPr>
              <w:pStyle w:val="10"/>
              <w:widowControl w:val="0"/>
              <w:ind w:firstLine="447" w:firstLineChars="213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51%-75%</w:t>
            </w:r>
          </w:p>
        </w:tc>
        <w:tc>
          <w:tcPr>
            <w:tcW w:w="1389" w:type="dxa"/>
          </w:tcPr>
          <w:p w14:paraId="DD9566B7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4.83±4.85</w:t>
            </w:r>
            <w:r>
              <w:rPr>
                <w:rFonts w:cs="Times New Roman"/>
                <w:position w:val="6"/>
                <w:sz w:val="14"/>
                <w:szCs w:val="14"/>
                <w:highlight w:val="none"/>
              </w:rPr>
              <w:t>***</w:t>
            </w:r>
          </w:p>
        </w:tc>
        <w:tc>
          <w:tcPr>
            <w:tcW w:w="1641" w:type="dxa"/>
          </w:tcPr>
          <w:p w14:paraId="CD0082AC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i/>
                <w:iCs/>
                <w:color w:val="000000"/>
                <w:highlight w:val="none"/>
              </w:rPr>
              <w:t>p</w:t>
            </w:r>
            <w:r>
              <w:rPr>
                <w:rFonts w:cs="Times New Roman"/>
                <w:color w:val="000000"/>
                <w:highlight w:val="none"/>
              </w:rPr>
              <w:t>&lt;0.001</w:t>
            </w:r>
          </w:p>
        </w:tc>
        <w:tc>
          <w:tcPr>
            <w:tcW w:w="1385" w:type="dxa"/>
          </w:tcPr>
          <w:p w14:paraId="B9B255A5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3.18±3.49</w:t>
            </w:r>
          </w:p>
        </w:tc>
        <w:tc>
          <w:tcPr>
            <w:tcW w:w="1749" w:type="dxa"/>
          </w:tcPr>
          <w:p w14:paraId="0B11B8B5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i/>
                <w:iCs/>
                <w:highlight w:val="none"/>
              </w:rPr>
              <w:t>p</w:t>
            </w:r>
            <w:r>
              <w:rPr>
                <w:rFonts w:cs="Times New Roman"/>
                <w:highlight w:val="none"/>
              </w:rPr>
              <w:t>=0.052</w:t>
            </w:r>
          </w:p>
        </w:tc>
      </w:tr>
      <w:tr w14:paraId="7CCC77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F20F45B2">
            <w:pPr>
              <w:pStyle w:val="10"/>
              <w:widowControl w:val="0"/>
              <w:ind w:firstLine="447" w:firstLineChars="213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 xml:space="preserve">76% </w:t>
            </w:r>
            <w:r>
              <w:rPr>
                <w:rFonts w:hint="eastAsia" w:cs="Times New Roman"/>
                <w:highlight w:val="none"/>
              </w:rPr>
              <w:t>onwards</w:t>
            </w:r>
          </w:p>
        </w:tc>
        <w:tc>
          <w:tcPr>
            <w:tcW w:w="1389" w:type="dxa"/>
          </w:tcPr>
          <w:p w14:paraId="B6F7C773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5.22±5.40</w:t>
            </w:r>
          </w:p>
        </w:tc>
        <w:tc>
          <w:tcPr>
            <w:tcW w:w="1641" w:type="dxa"/>
          </w:tcPr>
          <w:p w14:paraId="5533C4F1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385" w:type="dxa"/>
          </w:tcPr>
          <w:p w14:paraId="736DD486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3.18±3.39</w:t>
            </w:r>
          </w:p>
        </w:tc>
        <w:tc>
          <w:tcPr>
            <w:tcW w:w="1749" w:type="dxa"/>
          </w:tcPr>
          <w:p w14:paraId="B6B8CB1E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</w:tr>
      <w:tr w14:paraId="DBE7A3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E0DBA74E">
            <w:pPr>
              <w:pStyle w:val="10"/>
              <w:widowControl w:val="0"/>
              <w:jc w:val="both"/>
              <w:rPr>
                <w:rFonts w:cs="Times New Roman"/>
                <w:color w:val="000000"/>
                <w:highlight w:val="none"/>
              </w:rPr>
            </w:pPr>
            <w:r>
              <w:rPr>
                <w:rFonts w:hint="eastAsia" w:cs="Times New Roman"/>
                <w:highlight w:val="none"/>
              </w:rPr>
              <w:t>self-assessment of health status</w:t>
            </w:r>
          </w:p>
        </w:tc>
        <w:tc>
          <w:tcPr>
            <w:tcW w:w="1389" w:type="dxa"/>
          </w:tcPr>
          <w:p w14:paraId="2BB6A959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641" w:type="dxa"/>
          </w:tcPr>
          <w:p w14:paraId="0F099FC8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385" w:type="dxa"/>
          </w:tcPr>
          <w:p w14:paraId="256A736E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749" w:type="dxa"/>
          </w:tcPr>
          <w:p w14:paraId="9700A2C5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</w:tr>
      <w:tr w14:paraId="E4746E9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32551922">
            <w:pPr>
              <w:pStyle w:val="10"/>
              <w:widowControl w:val="0"/>
              <w:ind w:firstLine="455" w:firstLineChars="217"/>
              <w:jc w:val="both"/>
              <w:rPr>
                <w:rFonts w:cs="Times New Roman"/>
                <w:highlight w:val="none"/>
              </w:rPr>
            </w:pPr>
            <w:r>
              <w:rPr>
                <w:rFonts w:hint="eastAsia" w:cs="Times New Roman"/>
                <w:highlight w:val="none"/>
              </w:rPr>
              <w:t>excellent</w:t>
            </w:r>
            <w:r>
              <w:rPr>
                <w:rFonts w:cs="Times New Roman"/>
                <w:highlight w:val="none"/>
                <w:vertAlign w:val="superscript"/>
              </w:rPr>
              <w:sym w:font="Symbol" w:char="F044"/>
            </w:r>
          </w:p>
        </w:tc>
        <w:tc>
          <w:tcPr>
            <w:tcW w:w="1389" w:type="dxa"/>
          </w:tcPr>
          <w:p w14:paraId="90F6133C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7.41±6.16</w:t>
            </w:r>
          </w:p>
        </w:tc>
        <w:tc>
          <w:tcPr>
            <w:tcW w:w="1641" w:type="dxa"/>
          </w:tcPr>
          <w:p w14:paraId="8BD760A9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385" w:type="dxa"/>
          </w:tcPr>
          <w:p w14:paraId="BECC6165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2.26±2.94</w:t>
            </w:r>
          </w:p>
        </w:tc>
        <w:tc>
          <w:tcPr>
            <w:tcW w:w="1749" w:type="dxa"/>
          </w:tcPr>
          <w:p w14:paraId="CFE095AC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</w:tr>
      <w:tr w14:paraId="B0CCA18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62A69AAF">
            <w:pPr>
              <w:pStyle w:val="10"/>
              <w:widowControl w:val="0"/>
              <w:ind w:firstLine="455" w:firstLineChars="217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relatively</w:t>
            </w:r>
            <w:r>
              <w:rPr>
                <w:rFonts w:hint="eastAsia" w:cs="Times New Roman"/>
                <w:highlight w:val="none"/>
              </w:rPr>
              <w:t xml:space="preserve"> </w:t>
            </w:r>
            <w:r>
              <w:rPr>
                <w:rFonts w:cs="Times New Roman"/>
                <w:highlight w:val="none"/>
              </w:rPr>
              <w:t>good</w:t>
            </w:r>
          </w:p>
        </w:tc>
        <w:tc>
          <w:tcPr>
            <w:tcW w:w="1389" w:type="dxa"/>
          </w:tcPr>
          <w:p w14:paraId="5BE09157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5.82±5.06</w:t>
            </w:r>
            <w:r>
              <w:rPr>
                <w:rFonts w:cs="Times New Roman"/>
                <w:position w:val="6"/>
                <w:sz w:val="14"/>
                <w:szCs w:val="14"/>
                <w:highlight w:val="none"/>
              </w:rPr>
              <w:t>***</w:t>
            </w:r>
          </w:p>
        </w:tc>
        <w:tc>
          <w:tcPr>
            <w:tcW w:w="1641" w:type="dxa"/>
          </w:tcPr>
          <w:p w14:paraId="44115EFF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H=159.39</w:t>
            </w:r>
          </w:p>
        </w:tc>
        <w:tc>
          <w:tcPr>
            <w:tcW w:w="1385" w:type="dxa"/>
          </w:tcPr>
          <w:p w14:paraId="41E539B4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2.60±2.76</w:t>
            </w:r>
          </w:p>
        </w:tc>
        <w:tc>
          <w:tcPr>
            <w:tcW w:w="1749" w:type="dxa"/>
          </w:tcPr>
          <w:p w14:paraId="BFFC5943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H=128.18</w:t>
            </w:r>
          </w:p>
        </w:tc>
      </w:tr>
      <w:tr w14:paraId="741484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E7E47815">
            <w:pPr>
              <w:pStyle w:val="10"/>
              <w:widowControl w:val="0"/>
              <w:ind w:firstLine="455" w:firstLineChars="217"/>
              <w:jc w:val="both"/>
              <w:rPr>
                <w:rFonts w:cs="Times New Roman"/>
                <w:highlight w:val="none"/>
              </w:rPr>
            </w:pPr>
            <w:r>
              <w:rPr>
                <w:rFonts w:hint="eastAsia" w:cs="Times New Roman"/>
                <w:highlight w:val="none"/>
              </w:rPr>
              <w:t>average</w:t>
            </w:r>
          </w:p>
        </w:tc>
        <w:tc>
          <w:tcPr>
            <w:tcW w:w="1389" w:type="dxa"/>
          </w:tcPr>
          <w:p w14:paraId="E79A3C86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4.33±4.63</w:t>
            </w:r>
            <w:r>
              <w:rPr>
                <w:rFonts w:cs="Times New Roman"/>
                <w:position w:val="6"/>
                <w:sz w:val="14"/>
                <w:szCs w:val="14"/>
                <w:highlight w:val="none"/>
              </w:rPr>
              <w:t>***</w:t>
            </w:r>
          </w:p>
        </w:tc>
        <w:tc>
          <w:tcPr>
            <w:tcW w:w="1641" w:type="dxa"/>
          </w:tcPr>
          <w:p w14:paraId="0A1A30E2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i/>
                <w:iCs/>
                <w:color w:val="000000"/>
                <w:highlight w:val="none"/>
              </w:rPr>
              <w:t>p</w:t>
            </w:r>
            <w:r>
              <w:rPr>
                <w:rFonts w:cs="Times New Roman"/>
                <w:color w:val="000000"/>
                <w:highlight w:val="none"/>
              </w:rPr>
              <w:t>&lt;0.001</w:t>
            </w:r>
          </w:p>
        </w:tc>
        <w:tc>
          <w:tcPr>
            <w:tcW w:w="1385" w:type="dxa"/>
          </w:tcPr>
          <w:p w14:paraId="879200EA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3.45±3.49</w:t>
            </w:r>
            <w:r>
              <w:rPr>
                <w:rFonts w:cs="Times New Roman"/>
                <w:position w:val="6"/>
                <w:sz w:val="14"/>
                <w:szCs w:val="14"/>
                <w:highlight w:val="none"/>
              </w:rPr>
              <w:t>***</w:t>
            </w:r>
          </w:p>
        </w:tc>
        <w:tc>
          <w:tcPr>
            <w:tcW w:w="1749" w:type="dxa"/>
          </w:tcPr>
          <w:p w14:paraId="087002A7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i/>
                <w:iCs/>
                <w:color w:val="000000"/>
                <w:highlight w:val="none"/>
              </w:rPr>
              <w:t>p</w:t>
            </w:r>
            <w:r>
              <w:rPr>
                <w:rFonts w:cs="Times New Roman"/>
                <w:color w:val="000000"/>
                <w:highlight w:val="none"/>
              </w:rPr>
              <w:t>&lt;0.001</w:t>
            </w:r>
          </w:p>
        </w:tc>
      </w:tr>
      <w:tr w14:paraId="F1F98A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5" w:type="dxa"/>
            <w:vAlign w:val="center"/>
          </w:tcPr>
          <w:p w14:paraId="7B3D3DF4">
            <w:pPr>
              <w:pStyle w:val="10"/>
              <w:widowControl w:val="0"/>
              <w:ind w:firstLine="455" w:firstLineChars="217"/>
              <w:jc w:val="both"/>
              <w:rPr>
                <w:rFonts w:cs="Times New Roman"/>
                <w:highlight w:val="none"/>
              </w:rPr>
            </w:pPr>
            <w:r>
              <w:rPr>
                <w:rFonts w:hint="eastAsia" w:cs="Times New Roman"/>
                <w:highlight w:val="none"/>
              </w:rPr>
              <w:t>poor</w:t>
            </w:r>
          </w:p>
        </w:tc>
        <w:tc>
          <w:tcPr>
            <w:tcW w:w="1389" w:type="dxa"/>
          </w:tcPr>
          <w:p w14:paraId="D098CD71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3.57±4.75</w:t>
            </w:r>
            <w:r>
              <w:rPr>
                <w:rFonts w:cs="Times New Roman"/>
                <w:position w:val="6"/>
                <w:sz w:val="14"/>
                <w:szCs w:val="14"/>
                <w:highlight w:val="none"/>
              </w:rPr>
              <w:t>***</w:t>
            </w:r>
          </w:p>
        </w:tc>
        <w:tc>
          <w:tcPr>
            <w:tcW w:w="1641" w:type="dxa"/>
          </w:tcPr>
          <w:p w14:paraId="EF2991BB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1385" w:type="dxa"/>
          </w:tcPr>
          <w:p w14:paraId="AD4180BA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5.36±4.87</w:t>
            </w:r>
            <w:r>
              <w:rPr>
                <w:rFonts w:cs="Times New Roman"/>
                <w:position w:val="6"/>
                <w:sz w:val="14"/>
                <w:szCs w:val="14"/>
                <w:highlight w:val="none"/>
              </w:rPr>
              <w:t>***</w:t>
            </w:r>
          </w:p>
        </w:tc>
        <w:tc>
          <w:tcPr>
            <w:tcW w:w="1749" w:type="dxa"/>
          </w:tcPr>
          <w:p w14:paraId="8BC55B56">
            <w:pPr>
              <w:pStyle w:val="10"/>
              <w:widowControl w:val="0"/>
              <w:jc w:val="both"/>
              <w:rPr>
                <w:rFonts w:cs="Times New Roman"/>
                <w:highlight w:val="none"/>
              </w:rPr>
            </w:pPr>
          </w:p>
        </w:tc>
      </w:tr>
    </w:tbl>
    <w:p w14:paraId="54BFD13C">
      <w:pPr>
        <w:pStyle w:val="10"/>
        <w:rPr>
          <w:highlight w:val="none"/>
        </w:rPr>
      </w:pPr>
      <w:r>
        <w:rPr>
          <w:rFonts w:hint="eastAsia" w:cs="Times New Roman"/>
          <w:highlight w:val="none"/>
        </w:rPr>
        <w:t xml:space="preserve">Note: The </w:t>
      </w:r>
      <w:r>
        <w:rPr>
          <w:rFonts w:ascii="Times New Roman Italic" w:hAnsi="Times New Roman Italic" w:cs="Times New Roman Italic"/>
          <w:i/>
          <w:iCs/>
          <w:highlight w:val="none"/>
        </w:rPr>
        <w:t>p</w:t>
      </w:r>
      <w:r>
        <w:rPr>
          <w:rFonts w:hint="eastAsia" w:cs="Times New Roman"/>
          <w:highlight w:val="none"/>
        </w:rPr>
        <w:t>-values for pairwise comparisons in ANOVA (Bonferroni method) are *</w:t>
      </w:r>
      <w:r>
        <w:rPr>
          <w:rFonts w:ascii="Times New Roman Italic" w:hAnsi="Times New Roman Italic" w:cs="Times New Roman Italic"/>
          <w:i/>
          <w:iCs/>
          <w:highlight w:val="none"/>
        </w:rPr>
        <w:t>p</w:t>
      </w:r>
      <w:r>
        <w:rPr>
          <w:rFonts w:hint="eastAsia" w:cs="Times New Roman"/>
          <w:highlight w:val="none"/>
        </w:rPr>
        <w:t>&lt;0.05, **</w:t>
      </w:r>
      <w:r>
        <w:rPr>
          <w:rFonts w:ascii="Times New Roman Italic" w:hAnsi="Times New Roman Italic" w:cs="Times New Roman Italic"/>
          <w:i/>
          <w:iCs/>
          <w:highlight w:val="none"/>
        </w:rPr>
        <w:t>p</w:t>
      </w:r>
      <w:r>
        <w:rPr>
          <w:rFonts w:hint="eastAsia" w:cs="Times New Roman"/>
          <w:highlight w:val="none"/>
        </w:rPr>
        <w:t>&lt;0.01, ***</w:t>
      </w:r>
      <w:r>
        <w:rPr>
          <w:rFonts w:ascii="Times New Roman Italic" w:hAnsi="Times New Roman Italic" w:cs="Times New Roman Italic"/>
          <w:i/>
          <w:iCs/>
          <w:highlight w:val="none"/>
        </w:rPr>
        <w:t>p</w:t>
      </w:r>
      <w:r>
        <w:rPr>
          <w:rFonts w:hint="eastAsia" w:cs="Times New Roman"/>
          <w:highlight w:val="none"/>
        </w:rPr>
        <w:t xml:space="preserve">&lt;0.001; </w:t>
      </w:r>
      <w:r>
        <w:rPr>
          <w:rFonts w:cs="Times New Roman"/>
          <w:highlight w:val="none"/>
        </w:rPr>
        <w:sym w:font="Symbol" w:char="F044"/>
      </w:r>
      <w:r>
        <w:rPr>
          <w:rFonts w:hint="eastAsia" w:cs="Times New Roman"/>
          <w:highlight w:val="none"/>
        </w:rPr>
        <w:t xml:space="preserve"> represents the reference framework for pairwise comparisons in ANOVA.</w:t>
      </w:r>
    </w:p>
    <w:p w14:paraId="54AB57AB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highlight w:val="none"/>
        </w:rPr>
        <w:t>T</w:t>
      </w:r>
      <w:r>
        <w:rPr>
          <w:rFonts w:hint="eastAsia" w:ascii="Times New Roman" w:hAnsi="Times New Roman" w:cs="Times New Roman"/>
          <w:b/>
          <w:bCs/>
          <w:sz w:val="24"/>
          <w:highlight w:val="none"/>
        </w:rPr>
        <w:t>he correlation between mentaliz</w:t>
      </w:r>
      <w:r>
        <w:rPr>
          <w:rFonts w:ascii="Times New Roman" w:hAnsi="Times New Roman" w:cs="Times New Roman"/>
          <w:b/>
          <w:bCs/>
          <w:sz w:val="24"/>
          <w:highlight w:val="none"/>
        </w:rPr>
        <w:t>ation</w:t>
      </w:r>
      <w:r>
        <w:rPr>
          <w:rFonts w:hint="eastAsia" w:ascii="Times New Roman" w:hAnsi="Times New Roman" w:cs="Times New Roman"/>
          <w:b/>
          <w:bCs/>
          <w:sz w:val="24"/>
          <w:highlight w:val="none"/>
        </w:rPr>
        <w:t xml:space="preserve"> and cognitive bias</w:t>
      </w:r>
    </w:p>
    <w:p w14:paraId="31C103EC">
      <w:pPr>
        <w:pStyle w:val="7"/>
        <w:ind w:firstLine="420"/>
        <w:rPr>
          <w:color w:val="249087"/>
          <w:highlight w:val="none"/>
        </w:rPr>
      </w:pPr>
      <w:r>
        <w:rPr>
          <w:rFonts w:hint="eastAsia"/>
          <w:highlight w:val="none"/>
        </w:rPr>
        <w:t xml:space="preserve">Bivariate Spearman correlation analysis between mentalization and </w:t>
      </w:r>
      <w:r>
        <w:rPr>
          <w:highlight w:val="none"/>
        </w:rPr>
        <w:t>cognitive bias</w:t>
      </w:r>
      <w:r>
        <w:rPr>
          <w:rFonts w:hint="eastAsia"/>
          <w:highlight w:val="none"/>
        </w:rPr>
        <w:t xml:space="preserve"> indicates that the level of </w:t>
      </w:r>
      <w:r>
        <w:rPr>
          <w:highlight w:val="none"/>
        </w:rPr>
        <w:t>hypermentalizing</w:t>
      </w:r>
      <w:r>
        <w:rPr>
          <w:rFonts w:hint="eastAsia"/>
          <w:highlight w:val="none"/>
        </w:rPr>
        <w:t xml:space="preserve"> (Corr = -0.548, </w:t>
      </w:r>
      <w:r>
        <w:rPr>
          <w:rFonts w:ascii="Times New Roman Italic" w:hAnsi="Times New Roman Italic" w:cs="Times New Roman Italic"/>
          <w:i/>
          <w:iCs/>
          <w:highlight w:val="none"/>
        </w:rPr>
        <w:t>p</w:t>
      </w:r>
      <w:r>
        <w:rPr>
          <w:rFonts w:hint="eastAsia"/>
          <w:highlight w:val="none"/>
        </w:rPr>
        <w:t xml:space="preserve">&lt;0.001) is negatively correlated with the level of cognitive bias, whereas the level of </w:t>
      </w:r>
      <w:r>
        <w:rPr>
          <w:highlight w:val="none"/>
        </w:rPr>
        <w:t>hypomentalizing</w:t>
      </w:r>
      <w:r>
        <w:rPr>
          <w:rFonts w:hint="eastAsia"/>
          <w:highlight w:val="none"/>
        </w:rPr>
        <w:t xml:space="preserve"> (Corr = 0.262, </w:t>
      </w:r>
      <w:r>
        <w:rPr>
          <w:rFonts w:ascii="Times New Roman Italic" w:hAnsi="Times New Roman Italic" w:cs="Times New Roman Italic"/>
          <w:i/>
          <w:iCs/>
          <w:highlight w:val="none"/>
        </w:rPr>
        <w:t>p</w:t>
      </w:r>
      <w:r>
        <w:rPr>
          <w:rFonts w:hint="eastAsia"/>
          <w:highlight w:val="none"/>
        </w:rPr>
        <w:t>&lt;0.001) is positively correlated with the level of cognitive bias.</w:t>
      </w:r>
    </w:p>
    <w:p w14:paraId="24E5CE6F">
      <w:pPr>
        <w:spacing w:line="360" w:lineRule="auto"/>
        <w:jc w:val="center"/>
        <w:rPr>
          <w:rFonts w:ascii="Times New Roman" w:hAnsi="Times New Roman" w:eastAsia="宋体" w:cs="Times New Roman"/>
          <w:sz w:val="24"/>
          <w:highlight w:val="none"/>
        </w:rPr>
      </w:pPr>
      <w:r>
        <w:rPr>
          <w:rFonts w:ascii="Times New Roman" w:hAnsi="Times New Roman" w:eastAsia="宋体" w:cs="Times New Roman"/>
          <w:sz w:val="24"/>
          <w:highlight w:val="none"/>
        </w:rPr>
        <w:drawing>
          <wp:inline distT="0" distB="0" distL="0" distR="0">
            <wp:extent cx="4860290" cy="2723515"/>
            <wp:effectExtent l="0" t="0" r="16510" b="19685"/>
            <wp:docPr id="1026" name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5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60290" cy="272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D225C7FF">
      <w:pPr>
        <w:pStyle w:val="10"/>
        <w:jc w:val="center"/>
        <w:rPr>
          <w:highlight w:val="none"/>
        </w:rPr>
      </w:pPr>
      <w:r>
        <w:rPr>
          <w:highlight w:val="none"/>
        </w:rPr>
        <w:t xml:space="preserve">Fig </w:t>
      </w:r>
      <w:r>
        <w:rPr>
          <w:rFonts w:hint="eastAsia"/>
          <w:highlight w:val="none"/>
          <w:lang w:val="en-US" w:eastAsia="zh-CN"/>
        </w:rPr>
        <w:t>S1</w:t>
      </w:r>
      <w:r>
        <w:rPr>
          <w:highlight w:val="none"/>
        </w:rPr>
        <w:t xml:space="preserve">  </w:t>
      </w:r>
      <w:r>
        <w:rPr>
          <w:rFonts w:hint="eastAsia"/>
          <w:highlight w:val="none"/>
        </w:rPr>
        <w:t xml:space="preserve">The schematic diagram of the correlation matrix for </w:t>
      </w:r>
      <w:r>
        <w:rPr>
          <w:highlight w:val="none"/>
        </w:rPr>
        <w:t>hypermentalizing</w:t>
      </w:r>
      <w:r>
        <w:rPr>
          <w:rFonts w:hint="eastAsia"/>
          <w:highlight w:val="none"/>
        </w:rPr>
        <w:t xml:space="preserve">, </w:t>
      </w:r>
      <w:r>
        <w:rPr>
          <w:highlight w:val="none"/>
        </w:rPr>
        <w:t>hypomentalizing</w:t>
      </w:r>
      <w:r>
        <w:rPr>
          <w:rFonts w:hint="eastAsia"/>
          <w:highlight w:val="none"/>
        </w:rPr>
        <w:t>, and cognitive bias</w:t>
      </w:r>
    </w:p>
    <w:p w14:paraId="7C4C351C">
      <w:pPr>
        <w:pStyle w:val="10"/>
        <w:jc w:val="center"/>
        <w:rPr>
          <w:highlight w:val="none"/>
        </w:rPr>
      </w:pPr>
      <w:r>
        <w:rPr>
          <w:highlight w:val="none"/>
        </w:rPr>
        <w:t>（RFQ_C=hypermentalizing，RFQ_U=hypomentalizing）</w:t>
      </w:r>
    </w:p>
    <w:p w14:paraId="B49358B1">
      <w:pPr>
        <w:numPr>
          <w:ilvl w:val="0"/>
          <w:numId w:val="2"/>
        </w:numPr>
        <w:rPr>
          <w:rFonts w:cs="Times New Roman"/>
          <w:b/>
          <w:bCs/>
          <w:sz w:val="22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4"/>
          <w:highlight w:val="none"/>
        </w:rPr>
        <w:t>T</w:t>
      </w:r>
      <w:r>
        <w:rPr>
          <w:rFonts w:hint="eastAsia" w:ascii="Times New Roman" w:hAnsi="Times New Roman" w:cs="Times New Roman"/>
          <w:b/>
          <w:bCs/>
          <w:sz w:val="24"/>
          <w:highlight w:val="none"/>
        </w:rPr>
        <w:t>he correlation between mentaliz</w:t>
      </w:r>
      <w:r>
        <w:rPr>
          <w:rFonts w:ascii="Times New Roman" w:hAnsi="Times New Roman" w:cs="Times New Roman"/>
          <w:b/>
          <w:bCs/>
          <w:sz w:val="24"/>
          <w:highlight w:val="none"/>
        </w:rPr>
        <w:t>ation</w:t>
      </w:r>
      <w:r>
        <w:rPr>
          <w:rFonts w:hint="eastAsia" w:ascii="Times New Roman" w:hAnsi="Times New Roman" w:cs="Times New Roman"/>
          <w:b/>
          <w:bCs/>
          <w:sz w:val="24"/>
          <w:highlight w:val="none"/>
        </w:rPr>
        <w:t xml:space="preserve"> and subthreshold depression</w:t>
      </w:r>
    </w:p>
    <w:p w14:paraId="9913B17B">
      <w:pPr>
        <w:pStyle w:val="7"/>
        <w:ind w:firstLine="420"/>
        <w:rPr>
          <w:color w:val="0070C0"/>
          <w:highlight w:val="none"/>
        </w:rPr>
      </w:pPr>
      <w:r>
        <w:rPr>
          <w:rFonts w:hint="eastAsia"/>
          <w:highlight w:val="none"/>
        </w:rPr>
        <w:t xml:space="preserve">Bivariate Spearman correlation analysis between mentalization and subthreshold depression reveals that the level of excessive mentalization (Corr = -0.564, </w:t>
      </w:r>
      <w:r>
        <w:rPr>
          <w:rFonts w:ascii="Times New Roman Italic" w:hAnsi="Times New Roman Italic" w:cs="Times New Roman Italic"/>
          <w:i/>
          <w:iCs/>
          <w:highlight w:val="none"/>
        </w:rPr>
        <w:t>p</w:t>
      </w:r>
      <w:r>
        <w:rPr>
          <w:rFonts w:hint="eastAsia"/>
          <w:highlight w:val="none"/>
        </w:rPr>
        <w:t xml:space="preserve">&lt;0.001) is negatively correlated with the level of subthreshold depression, while the level of mentalization deficits (Corr = 0.413, </w:t>
      </w:r>
      <w:r>
        <w:rPr>
          <w:rFonts w:ascii="Times New Roman Italic" w:hAnsi="Times New Roman Italic" w:cs="Times New Roman Italic"/>
          <w:i/>
          <w:iCs/>
          <w:highlight w:val="none"/>
        </w:rPr>
        <w:t>p</w:t>
      </w:r>
      <w:r>
        <w:rPr>
          <w:rFonts w:hint="eastAsia"/>
          <w:highlight w:val="none"/>
        </w:rPr>
        <w:t>&lt;0.001) is positively correlated with the level of subthreshold depression.</w:t>
      </w:r>
      <w:r>
        <w:rPr>
          <w:highlight w:val="none"/>
        </w:rPr>
        <w:t xml:space="preserve"> </w:t>
      </w:r>
    </w:p>
    <w:p w14:paraId="ADD9C96F">
      <w:pPr>
        <w:spacing w:line="360" w:lineRule="auto"/>
        <w:jc w:val="center"/>
        <w:rPr>
          <w:rFonts w:ascii="Times New Roman" w:hAnsi="Times New Roman" w:eastAsia="宋体" w:cs="Times New Roman"/>
          <w:sz w:val="24"/>
          <w:highlight w:val="none"/>
        </w:rPr>
      </w:pPr>
      <w:r>
        <w:rPr>
          <w:rFonts w:ascii="Times New Roman" w:hAnsi="Times New Roman" w:eastAsia="宋体" w:cs="Times New Roman"/>
          <w:sz w:val="24"/>
          <w:highlight w:val="none"/>
        </w:rPr>
        <w:drawing>
          <wp:inline distT="0" distB="0" distL="0" distR="0">
            <wp:extent cx="4859020" cy="2700020"/>
            <wp:effectExtent l="0" t="0" r="17780" b="17780"/>
            <wp:docPr id="1027" name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6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902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B55A5">
      <w:pPr>
        <w:pStyle w:val="10"/>
        <w:jc w:val="center"/>
        <w:rPr>
          <w:highlight w:val="none"/>
        </w:rPr>
      </w:pPr>
      <w:r>
        <w:rPr>
          <w:highlight w:val="none"/>
        </w:rPr>
        <w:t xml:space="preserve">Fig </w:t>
      </w:r>
      <w:r>
        <w:rPr>
          <w:rFonts w:hint="eastAsia"/>
          <w:highlight w:val="none"/>
          <w:lang w:val="en-US" w:eastAsia="zh-CN"/>
        </w:rPr>
        <w:t>S2</w:t>
      </w:r>
      <w:r>
        <w:rPr>
          <w:highlight w:val="none"/>
        </w:rPr>
        <w:t xml:space="preserve">  </w:t>
      </w:r>
      <w:r>
        <w:rPr>
          <w:rFonts w:hint="eastAsia"/>
          <w:highlight w:val="none"/>
        </w:rPr>
        <w:t xml:space="preserve">The schematic diagram of the correlation matrix for </w:t>
      </w:r>
      <w:r>
        <w:rPr>
          <w:highlight w:val="none"/>
        </w:rPr>
        <w:t>hypermentalizing</w:t>
      </w:r>
      <w:r>
        <w:rPr>
          <w:rFonts w:hint="eastAsia"/>
          <w:highlight w:val="none"/>
        </w:rPr>
        <w:t xml:space="preserve">, </w:t>
      </w:r>
      <w:r>
        <w:rPr>
          <w:highlight w:val="none"/>
        </w:rPr>
        <w:t>hypomentalizing</w:t>
      </w:r>
      <w:r>
        <w:rPr>
          <w:rFonts w:hint="eastAsia"/>
          <w:highlight w:val="none"/>
        </w:rPr>
        <w:t>, and subthreshold depression</w:t>
      </w:r>
    </w:p>
    <w:p w14:paraId="9C752A65">
      <w:pPr>
        <w:pStyle w:val="10"/>
        <w:jc w:val="center"/>
        <w:rPr>
          <w:highlight w:val="none"/>
        </w:rPr>
      </w:pPr>
      <w:r>
        <w:rPr>
          <w:highlight w:val="none"/>
        </w:rPr>
        <w:t>（RFQ_C=hypermentalizing，RFQ_U=hypomentalizing</w:t>
      </w:r>
      <w:r>
        <w:rPr>
          <w:rFonts w:hint="eastAsia"/>
          <w:highlight w:val="none"/>
        </w:rPr>
        <w:t>，</w:t>
      </w:r>
      <w:r>
        <w:rPr>
          <w:highlight w:val="none"/>
        </w:rPr>
        <w:t>SD=</w:t>
      </w:r>
      <w:r>
        <w:rPr>
          <w:rFonts w:hint="eastAsia"/>
          <w:highlight w:val="none"/>
        </w:rPr>
        <w:t>subthreshold depression</w:t>
      </w:r>
      <w:r>
        <w:rPr>
          <w:highlight w:val="none"/>
        </w:rPr>
        <w:t>）</w:t>
      </w:r>
    </w:p>
    <w:p w14:paraId="E5D265E7">
      <w:pPr>
        <w:rPr>
          <w:highlight w:val="none"/>
        </w:rPr>
      </w:pPr>
    </w:p>
    <w:p w14:paraId="D79895BB">
      <w:pPr>
        <w:pStyle w:val="7"/>
        <w:ind w:firstLine="0" w:firstLineChars="0"/>
        <w:jc w:val="center"/>
        <w:rPr>
          <w:rFonts w:cs="Times New Roman"/>
          <w:szCs w:val="21"/>
          <w:highlight w:val="none"/>
        </w:rPr>
      </w:pPr>
      <w:r>
        <w:rPr>
          <w:rFonts w:cs="Times New Roman"/>
          <w:szCs w:val="21"/>
          <w:highlight w:val="none"/>
        </w:rPr>
        <w:t xml:space="preserve">Table </w:t>
      </w:r>
      <w:r>
        <w:rPr>
          <w:rFonts w:hint="eastAsia" w:cs="Times New Roman"/>
          <w:szCs w:val="21"/>
          <w:highlight w:val="none"/>
          <w:lang w:val="en-US" w:eastAsia="zh-CN"/>
        </w:rPr>
        <w:t>S5</w:t>
      </w:r>
      <w:r>
        <w:rPr>
          <w:rFonts w:cs="Times New Roman"/>
          <w:szCs w:val="21"/>
          <w:highlight w:val="none"/>
        </w:rPr>
        <w:t xml:space="preserve">  </w:t>
      </w:r>
      <w:r>
        <w:rPr>
          <w:rFonts w:hint="eastAsia" w:cs="Times New Roman"/>
          <w:szCs w:val="21"/>
          <w:highlight w:val="none"/>
        </w:rPr>
        <w:t>One-way analysis of the correlation between subthreshold depression and mentalization</w:t>
      </w:r>
    </w:p>
    <w:tbl>
      <w:tblPr>
        <w:tblStyle w:val="11"/>
        <w:tblW w:w="5000" w:type="pct"/>
        <w:jc w:val="center"/>
        <w:tblBorders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1362"/>
        <w:gridCol w:w="1469"/>
        <w:gridCol w:w="1362"/>
        <w:gridCol w:w="1669"/>
      </w:tblGrid>
      <w:tr w14:paraId="23FFA919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1" w:type="pct"/>
            <w:vMerge w:val="restart"/>
            <w:tcBorders>
              <w:top w:val="single" w:color="auto" w:sz="12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63F911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/>
                <w:highlight w:val="none"/>
              </w:rPr>
              <w:t>Subthreshold depression</w:t>
            </w:r>
          </w:p>
        </w:tc>
        <w:tc>
          <w:tcPr>
            <w:tcW w:w="1661" w:type="pct"/>
            <w:gridSpan w:val="2"/>
            <w:tcBorders>
              <w:top w:val="single" w:color="auto" w:sz="12" w:space="0"/>
              <w:bottom w:val="nil"/>
              <w:right w:val="nil"/>
              <w:tl2br w:val="nil"/>
              <w:tr2bl w:val="nil"/>
            </w:tcBorders>
            <w:vAlign w:val="center"/>
          </w:tcPr>
          <w:p w14:paraId="5E1113D7">
            <w:pPr>
              <w:pStyle w:val="10"/>
              <w:pBdr>
                <w:bottom w:val="single" w:color="auto" w:sz="6" w:space="1"/>
              </w:pBdr>
              <w:wordWrap/>
              <w:spacing w:line="240" w:lineRule="auto"/>
              <w:jc w:val="center"/>
              <w:rPr>
                <w:rFonts w:ascii="Times New Roman" w:hAnsi="Times New Roman" w:eastAsia="宋体" w:cs="Times New Roman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/>
                <w:highlight w:val="none"/>
              </w:rPr>
              <w:t>RFQ_C</w:t>
            </w:r>
          </w:p>
        </w:tc>
        <w:tc>
          <w:tcPr>
            <w:tcW w:w="1778" w:type="pct"/>
            <w:gridSpan w:val="2"/>
            <w:tcBorders>
              <w:top w:val="single" w:color="auto" w:sz="12" w:space="0"/>
              <w:bottom w:val="nil"/>
              <w:right w:val="nil"/>
              <w:tl2br w:val="nil"/>
              <w:tr2bl w:val="nil"/>
            </w:tcBorders>
            <w:vAlign w:val="center"/>
          </w:tcPr>
          <w:p w14:paraId="C75E465E">
            <w:pPr>
              <w:pStyle w:val="10"/>
              <w:pBdr>
                <w:bottom w:val="single" w:color="auto" w:sz="6" w:space="1"/>
              </w:pBdr>
              <w:wordWrap/>
              <w:spacing w:line="240" w:lineRule="auto"/>
              <w:jc w:val="center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/>
                <w:highlight w:val="none"/>
              </w:rPr>
              <w:t>RFQ_U</w:t>
            </w:r>
          </w:p>
        </w:tc>
      </w:tr>
      <w:tr w14:paraId="02D9C44A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1" w:type="pct"/>
            <w:vMerge w:val="continue"/>
            <w:tcBorders>
              <w:bottom w:val="single" w:color="auto" w:sz="6" w:space="0"/>
            </w:tcBorders>
            <w:vAlign w:val="center"/>
          </w:tcPr>
          <w:p w14:paraId="F0BB4CFA">
            <w:pPr>
              <w:pStyle w:val="10"/>
              <w:jc w:val="both"/>
              <w:rPr>
                <w:rFonts w:cs="Times New Roman"/>
                <w:highlight w:val="none"/>
              </w:rPr>
            </w:pPr>
          </w:p>
        </w:tc>
        <w:tc>
          <w:tcPr>
            <w:tcW w:w="799" w:type="pct"/>
            <w:tcBorders>
              <w:bottom w:val="single" w:color="auto" w:sz="6" w:space="0"/>
            </w:tcBorders>
            <w:vAlign w:val="center"/>
          </w:tcPr>
          <w:p w14:paraId="B4ED15DF">
            <w:pPr>
              <w:pStyle w:val="1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Mean±SD</w:t>
            </w:r>
          </w:p>
        </w:tc>
        <w:tc>
          <w:tcPr>
            <w:tcW w:w="862" w:type="pct"/>
            <w:tcBorders>
              <w:bottom w:val="single" w:color="auto" w:sz="6" w:space="0"/>
            </w:tcBorders>
            <w:vAlign w:val="center"/>
          </w:tcPr>
          <w:p w14:paraId="D40F14EB">
            <w:pPr>
              <w:pStyle w:val="10"/>
              <w:jc w:val="both"/>
              <w:rPr>
                <w:rFonts w:cs="Times New Roman"/>
                <w:i/>
                <w:iCs/>
                <w:highlight w:val="none"/>
              </w:rPr>
            </w:pPr>
            <w:r>
              <w:rPr>
                <w:rFonts w:cs="Times New Roman"/>
                <w:highlight w:val="none"/>
              </w:rPr>
              <w:t>W，</w:t>
            </w:r>
            <w:r>
              <w:rPr>
                <w:rFonts w:cs="Times New Roman"/>
                <w:i/>
                <w:iCs/>
                <w:highlight w:val="none"/>
              </w:rPr>
              <w:t>p</w:t>
            </w:r>
            <w:r>
              <w:rPr>
                <w:rFonts w:cs="Times New Roman"/>
                <w:highlight w:val="none"/>
              </w:rPr>
              <w:t>-value</w:t>
            </w:r>
          </w:p>
        </w:tc>
        <w:tc>
          <w:tcPr>
            <w:tcW w:w="799" w:type="pct"/>
            <w:tcBorders>
              <w:bottom w:val="single" w:color="auto" w:sz="6" w:space="0"/>
            </w:tcBorders>
            <w:vAlign w:val="center"/>
          </w:tcPr>
          <w:p w14:paraId="F4F85730">
            <w:pPr>
              <w:pStyle w:val="1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Mean±SD</w:t>
            </w:r>
          </w:p>
        </w:tc>
        <w:tc>
          <w:tcPr>
            <w:tcW w:w="979" w:type="pct"/>
            <w:tcBorders>
              <w:bottom w:val="single" w:color="auto" w:sz="6" w:space="0"/>
            </w:tcBorders>
            <w:vAlign w:val="center"/>
          </w:tcPr>
          <w:p w14:paraId="72ABD38A">
            <w:pPr>
              <w:pStyle w:val="10"/>
              <w:jc w:val="both"/>
              <w:rPr>
                <w:rFonts w:cs="Times New Roman"/>
                <w:i/>
                <w:iCs/>
                <w:highlight w:val="none"/>
              </w:rPr>
            </w:pPr>
            <w:r>
              <w:rPr>
                <w:rFonts w:cs="Times New Roman"/>
                <w:highlight w:val="none"/>
              </w:rPr>
              <w:t>W，</w:t>
            </w:r>
            <w:r>
              <w:rPr>
                <w:rFonts w:cs="Times New Roman"/>
                <w:i/>
                <w:iCs/>
                <w:highlight w:val="none"/>
              </w:rPr>
              <w:t>p</w:t>
            </w:r>
            <w:r>
              <w:rPr>
                <w:rFonts w:cs="Times New Roman"/>
                <w:highlight w:val="none"/>
              </w:rPr>
              <w:t>-value</w:t>
            </w:r>
          </w:p>
        </w:tc>
      </w:tr>
      <w:tr w14:paraId="57AF9B8E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1" w:type="pct"/>
            <w:tcBorders>
              <w:top w:val="single" w:color="auto" w:sz="6" w:space="0"/>
            </w:tcBorders>
            <w:vAlign w:val="center"/>
          </w:tcPr>
          <w:p w14:paraId="21C2F3C8">
            <w:pPr>
              <w:pStyle w:val="10"/>
              <w:jc w:val="both"/>
              <w:rPr>
                <w:rFonts w:cs="Times New Roman"/>
                <w:highlight w:val="none"/>
              </w:rPr>
            </w:pPr>
            <w:r>
              <w:rPr>
                <w:rFonts w:hint="eastAsia" w:cs="Times New Roman"/>
                <w:highlight w:val="none"/>
              </w:rPr>
              <w:t>high level</w:t>
            </w:r>
            <w:r>
              <w:rPr>
                <w:rFonts w:cs="Times New Roman"/>
                <w:highlight w:val="none"/>
              </w:rPr>
              <w:t>（≥90）</w:t>
            </w:r>
          </w:p>
        </w:tc>
        <w:tc>
          <w:tcPr>
            <w:tcW w:w="799" w:type="pct"/>
            <w:tcBorders>
              <w:top w:val="single" w:color="auto" w:sz="6" w:space="0"/>
            </w:tcBorders>
            <w:vAlign w:val="center"/>
          </w:tcPr>
          <w:p w14:paraId="C2123F81">
            <w:pPr>
              <w:pStyle w:val="1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2.64±3.59</w:t>
            </w:r>
          </w:p>
        </w:tc>
        <w:tc>
          <w:tcPr>
            <w:tcW w:w="862" w:type="pct"/>
            <w:tcBorders>
              <w:top w:val="single" w:color="auto" w:sz="6" w:space="0"/>
            </w:tcBorders>
            <w:vAlign w:val="center"/>
          </w:tcPr>
          <w:p w14:paraId="A3D898A5">
            <w:pPr>
              <w:pStyle w:val="1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W=593816</w:t>
            </w:r>
          </w:p>
        </w:tc>
        <w:tc>
          <w:tcPr>
            <w:tcW w:w="799" w:type="pct"/>
            <w:tcBorders>
              <w:top w:val="single" w:color="auto" w:sz="6" w:space="0"/>
            </w:tcBorders>
            <w:vAlign w:val="center"/>
          </w:tcPr>
          <w:p w14:paraId="1849B216">
            <w:pPr>
              <w:pStyle w:val="1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4.22±4.00</w:t>
            </w:r>
          </w:p>
        </w:tc>
        <w:tc>
          <w:tcPr>
            <w:tcW w:w="979" w:type="pct"/>
            <w:tcBorders>
              <w:top w:val="single" w:color="auto" w:sz="6" w:space="0"/>
            </w:tcBorders>
            <w:vAlign w:val="center"/>
          </w:tcPr>
          <w:p w14:paraId="C3C5F78F">
            <w:pPr>
              <w:pStyle w:val="1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W= 1762357</w:t>
            </w:r>
          </w:p>
        </w:tc>
      </w:tr>
      <w:tr w14:paraId="5F15F58F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1" w:type="pct"/>
            <w:vAlign w:val="center"/>
          </w:tcPr>
          <w:p w14:paraId="4DB6A518">
            <w:pPr>
              <w:pStyle w:val="10"/>
              <w:jc w:val="both"/>
              <w:rPr>
                <w:rFonts w:cs="Times New Roman"/>
                <w:highlight w:val="none"/>
              </w:rPr>
            </w:pPr>
            <w:r>
              <w:rPr>
                <w:rFonts w:hint="eastAsia" w:cs="Times New Roman"/>
                <w:highlight w:val="none"/>
              </w:rPr>
              <w:t>low level</w:t>
            </w:r>
            <w:r>
              <w:rPr>
                <w:rFonts w:cs="Times New Roman"/>
                <w:highlight w:val="none"/>
              </w:rPr>
              <w:t>（&lt;90）</w:t>
            </w:r>
          </w:p>
        </w:tc>
        <w:tc>
          <w:tcPr>
            <w:tcW w:w="799" w:type="pct"/>
            <w:vAlign w:val="center"/>
          </w:tcPr>
          <w:p w14:paraId="CF3581BC">
            <w:pPr>
              <w:pStyle w:val="1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7.60±5.40</w:t>
            </w:r>
          </w:p>
        </w:tc>
        <w:tc>
          <w:tcPr>
            <w:tcW w:w="862" w:type="pct"/>
            <w:vAlign w:val="center"/>
          </w:tcPr>
          <w:p w14:paraId="E8C61077">
            <w:pPr>
              <w:pStyle w:val="1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i/>
                <w:iCs/>
                <w:color w:val="000000"/>
                <w:highlight w:val="none"/>
              </w:rPr>
              <w:t>p</w:t>
            </w:r>
            <w:r>
              <w:rPr>
                <w:rFonts w:cs="Times New Roman"/>
                <w:color w:val="000000"/>
                <w:highlight w:val="none"/>
              </w:rPr>
              <w:t>&lt;0.001</w:t>
            </w:r>
          </w:p>
        </w:tc>
        <w:tc>
          <w:tcPr>
            <w:tcW w:w="799" w:type="pct"/>
            <w:vAlign w:val="center"/>
          </w:tcPr>
          <w:p w14:paraId="F53A3357">
            <w:pPr>
              <w:pStyle w:val="1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highlight w:val="none"/>
              </w:rPr>
              <w:t>2.08±2.31</w:t>
            </w:r>
          </w:p>
        </w:tc>
        <w:tc>
          <w:tcPr>
            <w:tcW w:w="979" w:type="pct"/>
            <w:vAlign w:val="center"/>
          </w:tcPr>
          <w:p w14:paraId="68345DB1">
            <w:pPr>
              <w:pStyle w:val="10"/>
              <w:jc w:val="both"/>
              <w:rPr>
                <w:rFonts w:cs="Times New Roman"/>
                <w:highlight w:val="none"/>
              </w:rPr>
            </w:pPr>
            <w:r>
              <w:rPr>
                <w:rFonts w:cs="Times New Roman"/>
                <w:i/>
                <w:iCs/>
                <w:color w:val="000000"/>
                <w:highlight w:val="none"/>
              </w:rPr>
              <w:t>p</w:t>
            </w:r>
            <w:r>
              <w:rPr>
                <w:rFonts w:cs="Times New Roman"/>
                <w:color w:val="000000"/>
                <w:highlight w:val="none"/>
              </w:rPr>
              <w:t>&lt;0.001</w:t>
            </w:r>
          </w:p>
        </w:tc>
      </w:tr>
    </w:tbl>
    <w:p w14:paraId="D9AC64B4">
      <w:pPr>
        <w:rPr>
          <w:rFonts w:hint="default" w:ascii="Times New Roman Regular" w:hAnsi="Times New Roman Regular" w:eastAsia="Helvetica" w:cs="Times New Roman Regular"/>
          <w:kern w:val="0"/>
          <w:sz w:val="32"/>
          <w:szCs w:val="32"/>
          <w:highlight w:val="none"/>
          <w:lang w:val="en-US" w:eastAsia="zh-CN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Regular">
    <w:altName w:val="Times New Roman"/>
    <w:panose1 w:val="02020603050004020304"/>
    <w:charset w:val="00"/>
    <w:family w:val="auto"/>
    <w:pitch w:val="default"/>
    <w:sig w:usb0="00000000" w:usb1="00000000" w:usb2="00000009" w:usb3="00000000" w:csb0="400001FF" w:csb1="FFFF0000"/>
  </w:font>
  <w:font w:name="Songti SC">
    <w:altName w:val="宋体"/>
    <w:panose1 w:val="02010800040001010101"/>
    <w:charset w:val="86"/>
    <w:family w:val="auto"/>
    <w:pitch w:val="default"/>
    <w:sig w:usb0="00000000" w:usb1="00000000" w:usb2="00000000" w:usb3="00000000" w:csb0="00040000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Times New Roman Bold">
    <w:altName w:val="Times New Roman Bold"/>
    <w:panose1 w:val="02020603050004020304"/>
    <w:charset w:val="00"/>
    <w:family w:val="auto"/>
    <w:pitch w:val="default"/>
    <w:sig w:usb0="00000000" w:usb1="00000000" w:usb2="00000009" w:usb3="00000000" w:csb0="400001FF" w:csb1="FFFF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2000019F" w:csb1="4F010000"/>
  </w:font>
  <w:font w:name="SimSong">
    <w:altName w:val="宋体"/>
    <w:panose1 w:val="02020300000000000000"/>
    <w:charset w:val="86"/>
    <w:family w:val="auto"/>
    <w:pitch w:val="default"/>
    <w:sig w:usb0="00000000" w:usb1="00000000" w:usb2="00000016" w:usb3="00000000" w:csb0="0004000D" w:csb1="00000000"/>
  </w:font>
  <w:font w:name="Times New Roman Italic">
    <w:altName w:val="Times New Roman Italic"/>
    <w:panose1 w:val="02020603050004020304"/>
    <w:charset w:val="00"/>
    <w:family w:val="auto"/>
    <w:pitch w:val="default"/>
    <w:sig w:usb0="00000000" w:usb1="00000000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00000002"/>
    <w:multiLevelType w:val="singleLevel"/>
    <w:tmpl w:val="00000002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4B292B"/>
    <w:rsid w:val="12915003"/>
    <w:rsid w:val="19D41EA7"/>
    <w:rsid w:val="1D7E4CF8"/>
    <w:rsid w:val="5003209D"/>
    <w:rsid w:val="5F5F1D39"/>
    <w:rsid w:val="701F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annotation reference"/>
    <w:basedOn w:val="5"/>
    <w:qFormat/>
    <w:uiPriority w:val="0"/>
    <w:rPr>
      <w:sz w:val="21"/>
      <w:szCs w:val="21"/>
    </w:rPr>
  </w:style>
  <w:style w:type="paragraph" w:customStyle="1" w:styleId="7">
    <w:name w:val="正文格式"/>
    <w:qFormat/>
    <w:uiPriority w:val="0"/>
    <w:pPr>
      <w:spacing w:line="400" w:lineRule="atLeast"/>
      <w:ind w:firstLine="420" w:firstLineChars="200"/>
    </w:pPr>
    <w:rPr>
      <w:rFonts w:ascii="Times New Roman Regular" w:hAnsi="Times New Roman Regular" w:eastAsia="宋体" w:cs="Times New Roman"/>
      <w:color w:val="000000"/>
      <w:sz w:val="24"/>
      <w:szCs w:val="24"/>
    </w:rPr>
  </w:style>
  <w:style w:type="paragraph" w:customStyle="1" w:styleId="8">
    <w:name w:val="参考文献格式"/>
    <w:qFormat/>
    <w:uiPriority w:val="0"/>
    <w:pPr>
      <w:spacing w:line="400" w:lineRule="atLeast"/>
      <w:ind w:left="420" w:hanging="420" w:hangingChars="200"/>
    </w:pPr>
    <w:rPr>
      <w:rFonts w:ascii="Times New Roman Regular" w:hAnsi="Times New Roman Regular" w:eastAsia="宋体" w:cs="Times New Roman"/>
      <w:color w:val="000000"/>
      <w:kern w:val="2"/>
      <w:sz w:val="21"/>
      <w:szCs w:val="21"/>
    </w:rPr>
  </w:style>
  <w:style w:type="paragraph" w:customStyle="1" w:styleId="9">
    <w:name w:val="三级节标题"/>
    <w:next w:val="7"/>
    <w:qFormat/>
    <w:uiPriority w:val="0"/>
    <w:pPr>
      <w:spacing w:before="240" w:after="120" w:line="400" w:lineRule="atLeast"/>
      <w:outlineLvl w:val="2"/>
    </w:pPr>
    <w:rPr>
      <w:rFonts w:ascii="Times New Roman" w:hAnsi="Times New Roman" w:eastAsia="Songti SC" w:cs="Times New Roman"/>
      <w:color w:val="000000"/>
      <w:kern w:val="2"/>
      <w:sz w:val="24"/>
    </w:rPr>
  </w:style>
  <w:style w:type="paragraph" w:customStyle="1" w:styleId="10">
    <w:name w:val="表格"/>
    <w:qFormat/>
    <w:uiPriority w:val="0"/>
    <w:rPr>
      <w:rFonts w:ascii="Times New Roman" w:hAnsi="Times New Roman" w:eastAsia="宋体" w:cs="Times New Roman (正文 CS 字体)"/>
      <w:kern w:val="2"/>
      <w:sz w:val="21"/>
      <w:szCs w:val="21"/>
      <w:lang w:val="en-US" w:eastAsia="zh-CN" w:bidi="ar-SA"/>
      <w14:ligatures w14:val="standardContextual"/>
    </w:rPr>
  </w:style>
  <w:style w:type="table" w:customStyle="1" w:styleId="11">
    <w:name w:val="表格格式"/>
    <w:basedOn w:val="3"/>
    <w:qFormat/>
    <w:uiPriority w:val="99"/>
    <w:pPr>
      <w:jc w:val="both"/>
    </w:pPr>
    <w:rPr>
      <w:rFonts w:cs="Times New Roman (正文 CS 字体)"/>
      <w:kern w:val="2"/>
      <w:sz w:val="21"/>
      <w:szCs w:val="24"/>
      <w14:ligatures w14:val="standardContextual"/>
    </w:rPr>
    <w:tblPr>
      <w:jc w:val="center"/>
      <w:tblBorders>
        <w:bottom w:val="single" w:color="auto" w:sz="12" w:space="0"/>
      </w:tblBorders>
    </w:tblPr>
    <w:trPr>
      <w:jc w:val="center"/>
    </w:trPr>
    <w:tcPr>
      <w:vAlign w:val="center"/>
    </w:tcPr>
    <w:tblStylePr w:type="firstRow">
      <w:pPr>
        <w:wordWrap/>
        <w:spacing w:line="240" w:lineRule="auto"/>
        <w:jc w:val="center"/>
      </w:pPr>
      <w:rPr>
        <w:rFonts w:ascii="Times New Roman" w:hAnsi="Times New Roman" w:eastAsia="宋体"/>
        <w:sz w:val="21"/>
      </w:rPr>
      <w:tcPr>
        <w:tcBorders>
          <w:top w:val="single" w:color="auto" w:sz="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712</Words>
  <Characters>4905</Characters>
  <Paragraphs>494</Paragraphs>
  <TotalTime>0</TotalTime>
  <ScaleCrop>false</ScaleCrop>
  <LinksUpToDate>false</LinksUpToDate>
  <CharactersWithSpaces>5344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2024-02-14T21:21:00Z</dcterms:created>
  <dc:creator>刘倍余</dc:creator>
  <cp:lastModifiedBy>YHM</cp:lastModifiedBy>
  <dcterms:modified xsi:type="dcterms:W3CDTF">2025-10-25T12:40:57Z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19D7FEEF523D4B92960E8567EA6607C0_13</vt:lpwstr>
  </property>
  <property fmtid="{D5CDD505-2E9C-101B-9397-08002B2CF9AE}" pid="4" name="KSOTemplateDocerSaveRecord">
    <vt:lpwstr>eyJoZGlkIjoiZmUyYzJhNjQ5YzVkYzVjMzM5MmY0MTMxMTU0YjMyZTQiLCJ1c2VySWQiOiI4Njc1NTU5NzgifQ==</vt:lpwstr>
  </property>
</Properties>
</file>