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A6228">
      <w:pPr>
        <w:widowControl w:val="0"/>
        <w:tabs>
          <w:tab w:val="left" w:pos="9120"/>
        </w:tabs>
        <w:spacing w:line="480" w:lineRule="auto"/>
        <w:jc w:val="center"/>
        <w:rPr>
          <w:rFonts w:ascii="Times New Roman" w:hAnsi="Times New Roman" w:cs="Times New Roman" w:eastAsiaTheme="minorEastAsia"/>
          <w:b/>
          <w:bCs/>
          <w:sz w:val="28"/>
          <w:szCs w:val="36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36"/>
          <w:lang w:eastAsia="zh-CN"/>
        </w:rPr>
        <w:t>Dynamic Interplay of Atherogenic Index and Body Roundness in Cardio-Renal-Metabolic Disease: A Multi-State Analysis</w:t>
      </w:r>
    </w:p>
    <w:p w14:paraId="22743F12">
      <w:pPr>
        <w:pStyle w:val="11"/>
        <w:rPr>
          <w:rFonts w:ascii="Times New Roman" w:hAnsi="Times New Roman" w:cs="Times New Roman"/>
          <w:b/>
          <w:bCs/>
          <w:color w:val="auto"/>
          <w:sz w:val="21"/>
          <w:szCs w:val="21"/>
          <w:lang w:val="zh-CN"/>
        </w:rPr>
      </w:pPr>
    </w:p>
    <w:p w14:paraId="52EFFB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OLE_LINK54"/>
      <w:r>
        <w:rPr>
          <w:rFonts w:hint="eastAsia" w:ascii="Times New Roman" w:hAnsi="Times New Roman" w:cs="Times New Roman"/>
          <w:sz w:val="24"/>
          <w:szCs w:val="24"/>
        </w:rPr>
        <w:t>Chen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24"/>
        </w:rPr>
        <w:t>Xi Jin,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Le-Rong Liu, Qi Zhong, Xiao-Yan Wang, Jing-Jing Liang, Xiao-Meng Wang, Yi-Ning Xu, Jun-Yan Huang, Meixuan Li, Lu Liu, Hui Huang, Anying Liang, Jing Wang, Xian-Bo Wu, </w:t>
      </w:r>
      <w:r>
        <w:rPr>
          <w:rFonts w:ascii="Times New Roman" w:hAnsi="Times New Roman" w:cs="Times New Roman"/>
          <w:sz w:val="24"/>
          <w:szCs w:val="24"/>
        </w:rPr>
        <w:t>Meng-Chen Zou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054228BA">
      <w:pPr>
        <w:rPr>
          <w:lang w:val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CF13E37">
      <w:pPr>
        <w:pStyle w:val="1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zh-CN"/>
        </w:rPr>
        <w:t>Table of Contents</w:t>
      </w:r>
    </w:p>
    <w:p w14:paraId="3751CD5C">
      <w:pPr>
        <w:spacing w:before="0" w:beforeLines="0" w:after="0" w:afterLines="0" w:line="240" w:lineRule="auto"/>
        <w:ind w:left="0" w:leftChars="0" w:right="0" w:rightChars="0" w:firstLine="0" w:firstLineChars="0"/>
        <w:jc w:val="center"/>
      </w:pPr>
    </w:p>
    <w:p w14:paraId="23805CC1">
      <w:pPr>
        <w:pStyle w:val="5"/>
        <w:tabs>
          <w:tab w:val="right" w:leader="dot" w:pos="13958"/>
        </w:tabs>
      </w:pPr>
      <w:r>
        <w:rPr>
          <w:rFonts w:hint="eastAsia" w:eastAsiaTheme="minorEastAsia"/>
          <w:sz w:val="20"/>
          <w:szCs w:val="22"/>
          <w:lang w:eastAsia="zh-CN"/>
        </w:rPr>
        <w:fldChar w:fldCharType="begin"/>
      </w:r>
      <w:r>
        <w:rPr>
          <w:rFonts w:hint="eastAsia" w:eastAsiaTheme="minorEastAsia"/>
          <w:sz w:val="20"/>
          <w:szCs w:val="22"/>
          <w:lang w:eastAsia="zh-CN"/>
        </w:rPr>
        <w:instrText xml:space="preserve">TOC \o "1-1" \h \u </w:instrText>
      </w:r>
      <w:r>
        <w:rPr>
          <w:rFonts w:hint="eastAsia" w:eastAsiaTheme="minorEastAsia"/>
          <w:sz w:val="20"/>
          <w:szCs w:val="22"/>
          <w:lang w:eastAsia="zh-CN"/>
        </w:rPr>
        <w:fldChar w:fldCharType="separate"/>
      </w: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_Toc26665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</w:rPr>
        <w:t>Table S</w:t>
      </w:r>
      <w:r>
        <w:rPr>
          <w:rFonts w:hint="eastAsia" w:ascii="Times New Roman" w:hAnsi="Times New Roman" w:cs="Times New Roman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Cs w:val="24"/>
        </w:rPr>
        <w:t>. The UDI, definition and measurements of covariates and outcomes.</w:t>
      </w:r>
      <w:r>
        <w:tab/>
      </w:r>
      <w:r>
        <w:fldChar w:fldCharType="begin"/>
      </w:r>
      <w:r>
        <w:instrText xml:space="preserve"> PAGEREF _Toc26665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1CCDA48B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_Toc31223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</w:rPr>
        <w:t>Table S</w:t>
      </w:r>
      <w:r>
        <w:rPr>
          <w:rFonts w:hint="eastAsia" w:ascii="Times New Roman" w:hAnsi="Times New Roman" w:cs="Times New Roman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Cs w:val="24"/>
        </w:rPr>
        <w:t xml:space="preserve">. Assessment of the additive interaction between </w:t>
      </w:r>
      <w:r>
        <w:rPr>
          <w:rFonts w:hint="eastAsia" w:ascii="Times New Roman" w:hAnsi="Times New Roman" w:cs="Times New Roman"/>
          <w:szCs w:val="24"/>
          <w:lang w:val="en-US" w:eastAsia="zh-CN"/>
        </w:rPr>
        <w:t>AIP</w:t>
      </w:r>
      <w:r>
        <w:rPr>
          <w:rFonts w:hint="default" w:ascii="Times New Roman" w:hAnsi="Times New Roman" w:cs="Times New Roman"/>
          <w:szCs w:val="24"/>
        </w:rPr>
        <w:t xml:space="preserve"> and </w:t>
      </w:r>
      <w:r>
        <w:rPr>
          <w:rFonts w:hint="eastAsia" w:ascii="Times New Roman" w:hAnsi="Times New Roman" w:cs="Times New Roman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Cs w:val="24"/>
        </w:rPr>
        <w:t xml:space="preserve">RI on </w:t>
      </w:r>
      <w:r>
        <w:rPr>
          <w:rFonts w:hint="eastAsia" w:ascii="Times New Roman" w:hAnsi="Times New Roman" w:cs="Times New Roman"/>
          <w:szCs w:val="24"/>
          <w:lang w:val="en-US" w:eastAsia="zh-CN"/>
        </w:rPr>
        <w:t>the progress of CRM disease</w:t>
      </w:r>
      <w:r>
        <w:rPr>
          <w:rFonts w:hint="default" w:ascii="Times New Roman" w:hAnsi="Times New Roman" w:cs="Times New Roman"/>
          <w:szCs w:val="24"/>
        </w:rPr>
        <w:t>.</w:t>
      </w:r>
      <w:r>
        <w:tab/>
      </w:r>
      <w:r>
        <w:fldChar w:fldCharType="begin"/>
      </w:r>
      <w:r>
        <w:instrText xml:space="preserve"> PAGEREF _Toc31223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50E63D40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_Toc7534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</w:rPr>
        <w:t>Table S</w:t>
      </w:r>
      <w:r>
        <w:rPr>
          <w:rFonts w:hint="eastAsia" w:ascii="Times New Roman" w:hAnsi="Times New Roman" w:cs="Times New Roman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Cs w:val="24"/>
        </w:rPr>
        <w:t>. Results of sensitivity analyses after excluding cancer  (N=33,833)</w:t>
      </w:r>
      <w:r>
        <w:tab/>
      </w:r>
      <w:r>
        <w:fldChar w:fldCharType="begin"/>
      </w:r>
      <w:r>
        <w:instrText xml:space="preserve"> PAGEREF _Toc7534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73205985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_Toc1039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</w:rPr>
        <w:t>Table S</w:t>
      </w:r>
      <w:r>
        <w:rPr>
          <w:rFonts w:hint="eastAsia" w:ascii="Times New Roman" w:hAnsi="Times New Roman" w:cs="Times New Roman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Cs w:val="24"/>
        </w:rPr>
        <w:t>. Results of sensitivity analyses after excluding the maximum (&gt;99%) or minimum (1%) value of AIP-BRI (N=3,987)</w:t>
      </w:r>
      <w:r>
        <w:tab/>
      </w:r>
      <w:r>
        <w:fldChar w:fldCharType="begin"/>
      </w:r>
      <w:r>
        <w:instrText xml:space="preserve"> PAGEREF _Toc1039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24A30F8A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_Toc2569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</w:rPr>
        <w:t>Table S</w:t>
      </w:r>
      <w:r>
        <w:rPr>
          <w:rFonts w:hint="eastAsia" w:ascii="Times New Roman" w:hAnsi="Times New Roman" w:cs="Times New Roman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Cs w:val="24"/>
        </w:rPr>
        <w:t>. Results of sensitivity analyses after excluding the Follow-up was less than two years (N=18,892)</w:t>
      </w:r>
      <w:r>
        <w:tab/>
      </w:r>
      <w:r>
        <w:fldChar w:fldCharType="begin"/>
      </w:r>
      <w:r>
        <w:instrText xml:space="preserve"> PAGEREF _Toc2569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4173BA50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_Toc950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Table S6. 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Comparison of </w:t>
      </w:r>
      <w:r>
        <w:rPr>
          <w:rFonts w:hint="eastAsia" w:ascii="Times New Roman" w:hAnsi="Times New Roman" w:cs="Times New Roman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redictive </w:t>
      </w:r>
      <w:r>
        <w:rPr>
          <w:rFonts w:hint="eastAsia" w:ascii="Times New Roman" w:hAnsi="Times New Roman" w:cs="Times New Roman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erformance </w:t>
      </w:r>
      <w:r>
        <w:rPr>
          <w:rFonts w:hint="eastAsia" w:ascii="Times New Roman" w:hAnsi="Times New Roman" w:cs="Times New Roman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cross </w:t>
      </w:r>
      <w:r>
        <w:rPr>
          <w:rFonts w:hint="eastAsia" w:ascii="Times New Roman" w:hAnsi="Times New Roman" w:cs="Times New Roman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ifferent </w:t>
      </w:r>
      <w:r>
        <w:rPr>
          <w:rFonts w:hint="eastAsia" w:ascii="Times New Roman" w:hAnsi="Times New Roman" w:cs="Times New Roman"/>
          <w:szCs w:val="24"/>
          <w:lang w:val="en-US" w:eastAsia="zh-CN"/>
        </w:rPr>
        <w:t>m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odels for </w:t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the incidence of </w:t>
      </w:r>
      <w:r>
        <w:rPr>
          <w:rFonts w:hint="eastAsia" w:ascii="Times New Roman" w:hAnsi="Times New Roman" w:cs="Times New Roman"/>
          <w:szCs w:val="24"/>
          <w:lang w:eastAsia="zh-CN"/>
        </w:rPr>
        <w:t>C</w:t>
      </w:r>
      <w:r>
        <w:rPr>
          <w:rFonts w:hint="eastAsia" w:ascii="Times New Roman" w:hAnsi="Times New Roman" w:cs="Times New Roman"/>
          <w:szCs w:val="24"/>
          <w:lang w:val="en-US" w:eastAsia="zh-CN"/>
        </w:rPr>
        <w:t>R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M </w:t>
      </w:r>
      <w:r>
        <w:rPr>
          <w:rFonts w:hint="eastAsia" w:ascii="Times New Roman" w:hAnsi="Times New Roman" w:cs="Times New Roman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szCs w:val="24"/>
          <w:lang w:eastAsia="zh-CN"/>
        </w:rPr>
        <w:t>isease</w:t>
      </w:r>
      <w:r>
        <w:rPr>
          <w:rFonts w:hint="eastAsia" w:ascii="Times New Roman" w:hAnsi="Times New Roman" w:cs="Times New Roman"/>
          <w:szCs w:val="24"/>
          <w:lang w:val="en-US" w:eastAsia="zh-CN"/>
        </w:rPr>
        <w:t>s and its</w:t>
      </w:r>
      <w:r>
        <w:rPr>
          <w:rFonts w:hint="eastAsia" w:ascii="Times New Roman" w:hAnsi="Times New Roman" w:cs="Times New Roman"/>
          <w:szCs w:val="24"/>
          <w:lang w:eastAsia="zh-CN"/>
        </w:rPr>
        <w:t xml:space="preserve"> </w:t>
      </w:r>
      <w:r>
        <w:rPr>
          <w:rFonts w:hint="eastAsia" w:ascii="Times New Roman" w:hAnsi="Times New Roman" w:cs="Times New Roman"/>
          <w:szCs w:val="24"/>
          <w:lang w:val="en-US" w:eastAsia="zh-CN"/>
        </w:rPr>
        <w:t>dynamic p</w:t>
      </w:r>
      <w:r>
        <w:rPr>
          <w:rFonts w:hint="eastAsia" w:ascii="Times New Roman" w:hAnsi="Times New Roman" w:cs="Times New Roman"/>
          <w:szCs w:val="24"/>
          <w:lang w:eastAsia="zh-CN"/>
        </w:rPr>
        <w:t>rogression</w:t>
      </w:r>
      <w:r>
        <w:rPr>
          <w:rFonts w:hint="eastAsia" w:ascii="Times New Roman" w:hAnsi="Times New Roman" w:cs="Times New Roman"/>
          <w:szCs w:val="24"/>
          <w:lang w:val="en-US" w:eastAsia="zh-CN"/>
        </w:rPr>
        <w:t>.</w:t>
      </w:r>
      <w:r>
        <w:tab/>
      </w:r>
      <w:r>
        <w:fldChar w:fldCharType="begin"/>
      </w:r>
      <w:r>
        <w:instrText xml:space="preserve"> PAGEREF _Toc950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7EC0B8DA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_Toc2130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szCs w:val="24"/>
          <w:lang w:val="en-US" w:eastAsia="zh-CN"/>
        </w:rPr>
        <w:t>1.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Association between </w:t>
      </w:r>
      <w:r>
        <w:rPr>
          <w:rFonts w:hint="eastAsia" w:ascii="Times New Roman" w:hAnsi="Times New Roman" w:cs="Times New Roman"/>
          <w:szCs w:val="24"/>
          <w:lang w:val="en-US" w:eastAsia="zh-CN"/>
        </w:rPr>
        <w:t>AIP-BRI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szCs w:val="24"/>
          <w:lang w:val="en-US" w:eastAsia="zh-CN"/>
        </w:rPr>
        <w:t>FCRM disease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in subgroup analyses.</w:t>
      </w:r>
      <w:r>
        <w:tab/>
      </w:r>
      <w:r>
        <w:fldChar w:fldCharType="begin"/>
      </w:r>
      <w:r>
        <w:instrText xml:space="preserve"> PAGEREF _Toc2130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1EBF4C42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_Toc10314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szCs w:val="24"/>
          <w:lang w:val="en-US" w:eastAsia="zh-CN"/>
        </w:rPr>
        <w:t>2.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Association between </w:t>
      </w:r>
      <w:r>
        <w:rPr>
          <w:rFonts w:hint="eastAsia" w:ascii="Times New Roman" w:hAnsi="Times New Roman" w:cs="Times New Roman"/>
          <w:szCs w:val="24"/>
          <w:lang w:val="en-US" w:eastAsia="zh-CN"/>
        </w:rPr>
        <w:t>AIP-BRI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szCs w:val="24"/>
          <w:lang w:val="en-US" w:eastAsia="zh-CN"/>
        </w:rPr>
        <w:t>DCRM disease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in subgroup analyses.</w:t>
      </w:r>
      <w:r>
        <w:tab/>
      </w:r>
      <w:r>
        <w:fldChar w:fldCharType="begin"/>
      </w:r>
      <w:r>
        <w:instrText xml:space="preserve"> PAGEREF _Toc10314 \h </w:instrText>
      </w:r>
      <w:r>
        <w:fldChar w:fldCharType="separate"/>
      </w:r>
      <w:r>
        <w:t>14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45CAB936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_Toc30441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default" w:ascii="Times New Roman" w:hAnsi="Times New Roman" w:cs="Times New Roman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szCs w:val="24"/>
          <w:lang w:val="en-US" w:eastAsia="zh-CN"/>
        </w:rPr>
        <w:t>3.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Association between </w:t>
      </w:r>
      <w:r>
        <w:rPr>
          <w:rFonts w:hint="eastAsia" w:ascii="Times New Roman" w:hAnsi="Times New Roman" w:cs="Times New Roman"/>
          <w:szCs w:val="24"/>
          <w:lang w:val="en-US" w:eastAsia="zh-CN"/>
        </w:rPr>
        <w:t>AIP-BRI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szCs w:val="24"/>
          <w:lang w:val="en-US" w:eastAsia="zh-CN"/>
        </w:rPr>
        <w:t>TCRM disease</w:t>
      </w:r>
      <w:r>
        <w:rPr>
          <w:rFonts w:hint="default" w:ascii="Times New Roman" w:hAnsi="Times New Roman" w:cs="Times New Roman"/>
          <w:szCs w:val="24"/>
          <w:lang w:val="en-US" w:eastAsia="zh-CN"/>
        </w:rPr>
        <w:t xml:space="preserve"> in subgroup analyses.</w:t>
      </w:r>
      <w:r>
        <w:tab/>
      </w:r>
      <w:r>
        <w:fldChar w:fldCharType="begin"/>
      </w:r>
      <w:r>
        <w:instrText xml:space="preserve"> PAGEREF _Toc30441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6012F00D">
      <w:pPr>
        <w:pStyle w:val="5"/>
        <w:tabs>
          <w:tab w:val="right" w:leader="dot" w:pos="13958"/>
        </w:tabs>
      </w:pPr>
      <w:r>
        <w:rPr>
          <w:rFonts w:hint="eastAsia" w:eastAsiaTheme="minorEastAsia"/>
          <w:szCs w:val="22"/>
          <w:lang w:eastAsia="zh-CN"/>
        </w:rPr>
        <w:fldChar w:fldCharType="begin"/>
      </w:r>
      <w:r>
        <w:rPr>
          <w:rFonts w:hint="eastAsia" w:eastAsiaTheme="minorEastAsia"/>
          <w:szCs w:val="22"/>
          <w:lang w:eastAsia="zh-CN"/>
        </w:rPr>
        <w:instrText xml:space="preserve"> HYPERLINK \l _Toc6052 </w:instrText>
      </w:r>
      <w:r>
        <w:rPr>
          <w:rFonts w:hint="eastAsia" w:eastAsiaTheme="minorEastAsia"/>
          <w:szCs w:val="22"/>
          <w:lang w:eastAsia="zh-CN"/>
        </w:rPr>
        <w:fldChar w:fldCharType="separate"/>
      </w:r>
      <w:r>
        <w:rPr>
          <w:rFonts w:hint="eastAsia" w:ascii="Times New Roman" w:hAnsi="Times New Roman" w:cs="Times New Roman"/>
          <w:szCs w:val="24"/>
          <w:lang w:val="en-US" w:eastAsia="zh-CN"/>
        </w:rPr>
        <w:t>Figure S4. ROC curve analysis of prediction models for CRM diseases incidence and progression.</w:t>
      </w:r>
      <w:r>
        <w:tab/>
      </w:r>
      <w:r>
        <w:fldChar w:fldCharType="begin"/>
      </w:r>
      <w:r>
        <w:instrText xml:space="preserve"> PAGEREF _Toc6052 \h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eastAsiaTheme="minorEastAsia"/>
          <w:szCs w:val="22"/>
          <w:lang w:eastAsia="zh-CN"/>
        </w:rPr>
        <w:fldChar w:fldCharType="end"/>
      </w:r>
    </w:p>
    <w:p w14:paraId="75C8E7EB">
      <w:pPr>
        <w:ind w:left="0" w:leftChars="-495" w:hanging="1039" w:hangingChars="495"/>
        <w:rPr>
          <w:rFonts w:hint="default" w:ascii="Times New Roman" w:hAnsi="Times New Roman" w:cs="Times New Roman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eastAsiaTheme="minorEastAsia"/>
          <w:szCs w:val="22"/>
          <w:lang w:eastAsia="zh-CN"/>
        </w:rPr>
        <w:fldChar w:fldCharType="end"/>
      </w:r>
      <w:bookmarkStart w:id="15" w:name="_GoBack"/>
      <w:bookmarkEnd w:id="15"/>
    </w:p>
    <w:p w14:paraId="1D23443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1" w:name="_Toc26665"/>
      <w:r>
        <w:rPr>
          <w:rFonts w:hint="default"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>. The UDI, definition and measurements of covariates and outcomes.</w:t>
      </w:r>
      <w:bookmarkEnd w:id="1"/>
    </w:p>
    <w:tbl>
      <w:tblPr>
        <w:tblStyle w:val="9"/>
        <w:tblW w:w="1407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2705"/>
        <w:gridCol w:w="9469"/>
      </w:tblGrid>
      <w:tr w14:paraId="7EBD2E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tcBorders>
              <w:top w:val="single" w:color="auto" w:sz="12" w:space="0"/>
              <w:bottom w:val="single" w:color="auto" w:sz="4" w:space="0"/>
            </w:tcBorders>
          </w:tcPr>
          <w:p w14:paraId="27446FE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Variables</w:t>
            </w:r>
          </w:p>
        </w:tc>
        <w:tc>
          <w:tcPr>
            <w:tcW w:w="2705" w:type="dxa"/>
            <w:tcBorders>
              <w:top w:val="single" w:color="auto" w:sz="12" w:space="0"/>
              <w:bottom w:val="single" w:color="auto" w:sz="4" w:space="0"/>
            </w:tcBorders>
          </w:tcPr>
          <w:p w14:paraId="0784B3A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UDI</w:t>
            </w:r>
          </w:p>
        </w:tc>
        <w:tc>
          <w:tcPr>
            <w:tcW w:w="9469" w:type="dxa"/>
            <w:tcBorders>
              <w:top w:val="single" w:color="auto" w:sz="12" w:space="0"/>
              <w:bottom w:val="single" w:color="auto" w:sz="4" w:space="0"/>
            </w:tcBorders>
          </w:tcPr>
          <w:p w14:paraId="08ECC7E4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Notes</w:t>
            </w:r>
          </w:p>
        </w:tc>
      </w:tr>
      <w:tr w14:paraId="0CC1DF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</w:tcPr>
          <w:p w14:paraId="3AACBE1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Age</w:t>
            </w:r>
          </w:p>
        </w:tc>
        <w:tc>
          <w:tcPr>
            <w:tcW w:w="2705" w:type="dxa"/>
          </w:tcPr>
          <w:p w14:paraId="10051BA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21022</w:t>
            </w:r>
          </w:p>
        </w:tc>
        <w:tc>
          <w:tcPr>
            <w:tcW w:w="9469" w:type="dxa"/>
          </w:tcPr>
          <w:p w14:paraId="2F0277F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age of the participant on the day they attended an Initial Assessment Centre.</w:t>
            </w:r>
          </w:p>
        </w:tc>
      </w:tr>
      <w:tr w14:paraId="18183E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</w:tcPr>
          <w:p w14:paraId="04B0D2F7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Sex</w:t>
            </w:r>
          </w:p>
        </w:tc>
        <w:tc>
          <w:tcPr>
            <w:tcW w:w="2705" w:type="dxa"/>
          </w:tcPr>
          <w:p w14:paraId="0E9A12E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9469" w:type="dxa"/>
          </w:tcPr>
          <w:p w14:paraId="47D38168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Sex acquired from central registry at recruitment.</w:t>
            </w:r>
          </w:p>
        </w:tc>
      </w:tr>
      <w:tr w14:paraId="0D853A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</w:tcPr>
          <w:p w14:paraId="7529997C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Ethnicity</w:t>
            </w:r>
          </w:p>
        </w:tc>
        <w:tc>
          <w:tcPr>
            <w:tcW w:w="2705" w:type="dxa"/>
          </w:tcPr>
          <w:p w14:paraId="57F2290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21000</w:t>
            </w:r>
          </w:p>
        </w:tc>
        <w:tc>
          <w:tcPr>
            <w:tcW w:w="9469" w:type="dxa"/>
          </w:tcPr>
          <w:p w14:paraId="001DAD1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There are two categories: white and non-white.</w:t>
            </w:r>
          </w:p>
        </w:tc>
      </w:tr>
      <w:tr w14:paraId="2865F1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</w:tcPr>
          <w:p w14:paraId="4B2B757F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Smoking status</w:t>
            </w:r>
          </w:p>
        </w:tc>
        <w:tc>
          <w:tcPr>
            <w:tcW w:w="2705" w:type="dxa"/>
          </w:tcPr>
          <w:p w14:paraId="5D47759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20116</w:t>
            </w:r>
          </w:p>
        </w:tc>
        <w:tc>
          <w:tcPr>
            <w:tcW w:w="9469" w:type="dxa"/>
          </w:tcPr>
          <w:p w14:paraId="1977EA58">
            <w:pPr>
              <w:jc w:val="left"/>
              <w:rPr>
                <w:rFonts w:ascii="Times New Roman" w:hAnsi="Times New Roman" w:cs="Times New Roman"/>
                <w:sz w:val="24"/>
              </w:rPr>
            </w:pPr>
            <w:bookmarkStart w:id="2" w:name="OLE_LINK12"/>
            <w:r>
              <w:rPr>
                <w:rFonts w:ascii="Times New Roman" w:hAnsi="Times New Roman" w:cs="Times New Roman"/>
                <w:sz w:val="24"/>
              </w:rPr>
              <w:t>The current/past smoking status of the participant. Reference: never.</w:t>
            </w:r>
            <w:bookmarkEnd w:id="2"/>
          </w:p>
        </w:tc>
      </w:tr>
      <w:tr w14:paraId="569C19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</w:tcPr>
          <w:p w14:paraId="69EC0364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Drinking status </w:t>
            </w:r>
          </w:p>
        </w:tc>
        <w:tc>
          <w:tcPr>
            <w:tcW w:w="2705" w:type="dxa"/>
          </w:tcPr>
          <w:p w14:paraId="1E4B0BE4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20117</w:t>
            </w:r>
          </w:p>
        </w:tc>
        <w:tc>
          <w:tcPr>
            <w:tcW w:w="9469" w:type="dxa"/>
          </w:tcPr>
          <w:p w14:paraId="4013E74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current/past drinking status of the participant. Reference: never.</w:t>
            </w:r>
          </w:p>
        </w:tc>
      </w:tr>
      <w:tr w14:paraId="4017FE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vAlign w:val="top"/>
          </w:tcPr>
          <w:p w14:paraId="3D96E893">
            <w:pPr>
              <w:jc w:val="left"/>
              <w:rPr>
                <w:rFonts w:ascii="Times New Roman" w:hAnsi="Times New Roman" w:cs="Times New Roman"/>
                <w:sz w:val="24"/>
              </w:rPr>
            </w:pPr>
            <w:bookmarkStart w:id="3" w:name="_Hlk152063821"/>
            <w:r>
              <w:rPr>
                <w:rFonts w:ascii="Times New Roman" w:hAnsi="Times New Roman" w:cs="Times New Roman"/>
                <w:sz w:val="24"/>
              </w:rPr>
              <w:t>Hypertension</w:t>
            </w:r>
          </w:p>
        </w:tc>
        <w:tc>
          <w:tcPr>
            <w:tcW w:w="2705" w:type="dxa"/>
            <w:vAlign w:val="top"/>
          </w:tcPr>
          <w:p w14:paraId="24E0D969">
            <w:pPr>
              <w:ind w:left="-1539" w:leftChars="-1933" w:hanging="2520" w:hangingChars="105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93; 94; 6177</w:t>
            </w:r>
          </w:p>
        </w:tc>
        <w:tc>
          <w:tcPr>
            <w:tcW w:w="9469" w:type="dxa"/>
            <w:vAlign w:val="top"/>
          </w:tcPr>
          <w:p w14:paraId="2EAD76B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participants were classified as hypertension if their systolic blood pressure &gt;1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0mmHg or diastolic blood pressure &gt;90mmHg or ever had medication for blood pressure.</w:t>
            </w:r>
          </w:p>
          <w:p w14:paraId="2765515E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Reference: no history of hypertension.</w:t>
            </w:r>
          </w:p>
        </w:tc>
      </w:tr>
      <w:bookmarkEnd w:id="3"/>
      <w:tr w14:paraId="50EABE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shd w:val="clear" w:color="auto" w:fill="auto"/>
            <w:vAlign w:val="top"/>
          </w:tcPr>
          <w:p w14:paraId="73982703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Cancer</w:t>
            </w:r>
          </w:p>
        </w:tc>
        <w:tc>
          <w:tcPr>
            <w:tcW w:w="2705" w:type="dxa"/>
            <w:shd w:val="clear" w:color="auto" w:fill="auto"/>
            <w:vAlign w:val="top"/>
          </w:tcPr>
          <w:p w14:paraId="2F1DA509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2453; 20001; 40006</w:t>
            </w:r>
          </w:p>
        </w:tc>
        <w:tc>
          <w:tcPr>
            <w:tcW w:w="9469" w:type="dxa"/>
            <w:shd w:val="clear" w:color="auto" w:fill="auto"/>
            <w:vAlign w:val="top"/>
          </w:tcPr>
          <w:p w14:paraId="6EACC899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Cancer was extracted from the screening question, self-reported data, and national cancer registries. </w:t>
            </w:r>
          </w:p>
          <w:p w14:paraId="5DC2D3E2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Reference: no history of cancer.</w:t>
            </w:r>
          </w:p>
        </w:tc>
      </w:tr>
      <w:tr w14:paraId="3EEE9E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vAlign w:val="top"/>
          </w:tcPr>
          <w:p w14:paraId="5894F189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Residence</w:t>
            </w:r>
          </w:p>
        </w:tc>
        <w:tc>
          <w:tcPr>
            <w:tcW w:w="2705" w:type="dxa"/>
            <w:vAlign w:val="top"/>
          </w:tcPr>
          <w:p w14:paraId="6502FE1E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20118</w:t>
            </w:r>
          </w:p>
        </w:tc>
        <w:tc>
          <w:tcPr>
            <w:tcW w:w="9469" w:type="dxa"/>
            <w:vAlign w:val="top"/>
          </w:tcPr>
          <w:p w14:paraId="450E88CD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There are two categories: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urban</w:t>
            </w:r>
            <w:r>
              <w:rPr>
                <w:rFonts w:ascii="Times New Roman" w:hAnsi="Times New Roman" w:cs="Times New Roman"/>
                <w:sz w:val="24"/>
              </w:rPr>
              <w:t xml:space="preserve"> and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rural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14:paraId="799044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900" w:type="dxa"/>
            <w:tcBorders>
              <w:bottom w:val="nil"/>
            </w:tcBorders>
            <w:shd w:val="clear" w:color="auto" w:fill="auto"/>
            <w:vAlign w:val="top"/>
          </w:tcPr>
          <w:p w14:paraId="63480570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Physical activity</w:t>
            </w:r>
          </w:p>
        </w:tc>
        <w:tc>
          <w:tcPr>
            <w:tcW w:w="2705" w:type="dxa"/>
            <w:tcBorders>
              <w:bottom w:val="nil"/>
            </w:tcBorders>
            <w:shd w:val="clear" w:color="auto" w:fill="auto"/>
            <w:vAlign w:val="top"/>
          </w:tcPr>
          <w:p w14:paraId="5D05850F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22032</w:t>
            </w:r>
          </w:p>
        </w:tc>
        <w:tc>
          <w:tcPr>
            <w:tcW w:w="9469" w:type="dxa"/>
            <w:tcBorders>
              <w:bottom w:val="nil"/>
            </w:tcBorders>
            <w:shd w:val="clear" w:color="auto" w:fill="auto"/>
            <w:vAlign w:val="top"/>
          </w:tcPr>
          <w:p w14:paraId="2B377C8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Physical activity was classified according to International Physical Activity Questionnaire (IPAQ).</w:t>
            </w:r>
          </w:p>
          <w:p w14:paraId="1C7D662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Classification: High, Moderate, Low. </w:t>
            </w:r>
          </w:p>
          <w:p w14:paraId="6785E4BC">
            <w:pPr>
              <w:jc w:val="left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Reference: low level.</w:t>
            </w:r>
          </w:p>
        </w:tc>
      </w:tr>
      <w:tr w14:paraId="0C4293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vAlign w:val="top"/>
          </w:tcPr>
          <w:p w14:paraId="1BF2612F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Family history of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T2DM</w:t>
            </w:r>
          </w:p>
        </w:tc>
        <w:tc>
          <w:tcPr>
            <w:tcW w:w="2705" w:type="dxa"/>
            <w:vAlign w:val="top"/>
          </w:tcPr>
          <w:p w14:paraId="031E19F1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20107; 20110; 20111</w:t>
            </w:r>
          </w:p>
        </w:tc>
        <w:tc>
          <w:tcPr>
            <w:tcW w:w="9469" w:type="dxa"/>
            <w:vAlign w:val="top"/>
          </w:tcPr>
          <w:p w14:paraId="7AB14872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Family history included the illness of father, mother, and siblings.</w:t>
            </w:r>
          </w:p>
          <w:p w14:paraId="049D4FF8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Reference: no family history of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T2DM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14:paraId="51D615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vAlign w:val="top"/>
          </w:tcPr>
          <w:p w14:paraId="7124D69A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Family history of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stroke</w:t>
            </w:r>
          </w:p>
        </w:tc>
        <w:tc>
          <w:tcPr>
            <w:tcW w:w="2705" w:type="dxa"/>
            <w:vAlign w:val="top"/>
          </w:tcPr>
          <w:p w14:paraId="2D49CE7A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20107; 20110; 20111</w:t>
            </w:r>
          </w:p>
        </w:tc>
        <w:tc>
          <w:tcPr>
            <w:tcW w:w="9469" w:type="dxa"/>
            <w:vAlign w:val="top"/>
          </w:tcPr>
          <w:p w14:paraId="3F63D56B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Family history included the illness of father, mother, and siblings.</w:t>
            </w:r>
          </w:p>
          <w:p w14:paraId="7347635C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Reference: no family history of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stroke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14:paraId="0A592C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900" w:type="dxa"/>
            <w:vAlign w:val="top"/>
          </w:tcPr>
          <w:p w14:paraId="1D0F8031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Family history of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heart disease</w:t>
            </w:r>
          </w:p>
        </w:tc>
        <w:tc>
          <w:tcPr>
            <w:tcW w:w="2705" w:type="dxa"/>
            <w:vAlign w:val="top"/>
          </w:tcPr>
          <w:p w14:paraId="76B5910B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20107; 20110; 20111</w:t>
            </w:r>
          </w:p>
        </w:tc>
        <w:tc>
          <w:tcPr>
            <w:tcW w:w="9469" w:type="dxa"/>
            <w:vAlign w:val="top"/>
          </w:tcPr>
          <w:p w14:paraId="08FC4666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Family history included the illness of father, mother, and siblings.</w:t>
            </w:r>
          </w:p>
          <w:p w14:paraId="0EAE9A1F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Reference: no family history of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heart disease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14:paraId="7B807D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900" w:type="dxa"/>
            <w:tcBorders>
              <w:bottom w:val="nil"/>
            </w:tcBorders>
            <w:vAlign w:val="top"/>
          </w:tcPr>
          <w:p w14:paraId="1344D781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CVD</w:t>
            </w:r>
          </w:p>
        </w:tc>
        <w:tc>
          <w:tcPr>
            <w:tcW w:w="2705" w:type="dxa"/>
            <w:tcBorders>
              <w:bottom w:val="nil"/>
            </w:tcBorders>
            <w:vAlign w:val="top"/>
          </w:tcPr>
          <w:p w14:paraId="62477AD6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ICD-10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:I20-I25, I50, I60-I69</w:t>
            </w:r>
          </w:p>
        </w:tc>
        <w:tc>
          <w:tcPr>
            <w:tcW w:w="9469" w:type="dxa"/>
            <w:tcBorders>
              <w:bottom w:val="nil"/>
            </w:tcBorders>
            <w:vAlign w:val="top"/>
          </w:tcPr>
          <w:p w14:paraId="7535C857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Cardiovascular diseases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include ischaemic heart diseases, cerebrovascular diseases and heart failure.</w:t>
            </w:r>
          </w:p>
        </w:tc>
      </w:tr>
      <w:tr w14:paraId="3D87BB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900" w:type="dxa"/>
            <w:tcBorders>
              <w:top w:val="nil"/>
            </w:tcBorders>
            <w:vAlign w:val="top"/>
          </w:tcPr>
          <w:p w14:paraId="740B909E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CKD</w:t>
            </w:r>
          </w:p>
        </w:tc>
        <w:tc>
          <w:tcPr>
            <w:tcW w:w="2705" w:type="dxa"/>
            <w:tcBorders>
              <w:top w:val="nil"/>
            </w:tcBorders>
            <w:vAlign w:val="top"/>
          </w:tcPr>
          <w:p w14:paraId="2CB2D39F">
            <w:pPr>
              <w:jc w:val="left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ICD-10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:N18</w:t>
            </w:r>
          </w:p>
        </w:tc>
        <w:tc>
          <w:tcPr>
            <w:tcW w:w="9469" w:type="dxa"/>
            <w:tcBorders>
              <w:top w:val="nil"/>
            </w:tcBorders>
            <w:vAlign w:val="top"/>
          </w:tcPr>
          <w:p w14:paraId="4909F992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NA</w:t>
            </w:r>
          </w:p>
        </w:tc>
      </w:tr>
      <w:tr w14:paraId="1E77A3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900" w:type="dxa"/>
            <w:vAlign w:val="top"/>
          </w:tcPr>
          <w:p w14:paraId="2AB920ED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T2DM</w:t>
            </w:r>
          </w:p>
        </w:tc>
        <w:tc>
          <w:tcPr>
            <w:tcW w:w="2705" w:type="dxa"/>
            <w:vAlign w:val="top"/>
          </w:tcPr>
          <w:p w14:paraId="69D3351F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ICD-10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:E11</w:t>
            </w:r>
          </w:p>
        </w:tc>
        <w:tc>
          <w:tcPr>
            <w:tcW w:w="9469" w:type="dxa"/>
            <w:vAlign w:val="top"/>
          </w:tcPr>
          <w:p w14:paraId="119C2B7F"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NA</w:t>
            </w:r>
          </w:p>
        </w:tc>
      </w:tr>
    </w:tbl>
    <w:p w14:paraId="5925F8FB">
      <w:pP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  <w:t>Abbreviations: CVD, cardiovascular diseases; CKD, chronic kidney disease; T2DM, type 2 diabetes mellitus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; International Classification of Disease, Tenth version , ICD-10.</w:t>
      </w:r>
    </w:p>
    <w:p w14:paraId="38CAF77A">
      <w:pP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</w:pPr>
    </w:p>
    <w:p w14:paraId="7CCA28FD">
      <w:pP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</w:pPr>
    </w:p>
    <w:p w14:paraId="65817648">
      <w:pP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</w:pPr>
    </w:p>
    <w:p w14:paraId="71D29DF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4" w:name="_Toc31223"/>
      <w:r>
        <w:rPr>
          <w:rFonts w:hint="default"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 xml:space="preserve">. Assessment of the additive interaction between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AIP</w:t>
      </w:r>
      <w:r>
        <w:rPr>
          <w:rFonts w:hint="default" w:ascii="Times New Roman" w:hAnsi="Times New Roman" w:cs="Times New Roman"/>
          <w:sz w:val="24"/>
          <w:szCs w:val="24"/>
        </w:rPr>
        <w:t xml:space="preserve"> and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 xml:space="preserve">RI on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the progress of CRM disease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bookmarkEnd w:id="4"/>
    </w:p>
    <w:tbl>
      <w:tblPr>
        <w:tblStyle w:val="8"/>
        <w:tblpPr w:leftFromText="180" w:rightFromText="180" w:vertAnchor="text" w:horzAnchor="page" w:tblpX="1535" w:tblpY="300"/>
        <w:tblOverlap w:val="never"/>
        <w:tblW w:w="143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6"/>
        <w:gridCol w:w="2578"/>
        <w:gridCol w:w="2488"/>
        <w:gridCol w:w="2250"/>
        <w:gridCol w:w="2095"/>
      </w:tblGrid>
      <w:tr w14:paraId="56F73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494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9870DA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Transtion</w:t>
            </w:r>
          </w:p>
        </w:tc>
        <w:tc>
          <w:tcPr>
            <w:tcW w:w="257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880317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HR</w:t>
            </w:r>
          </w:p>
          <w:p w14:paraId="72A4E28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(95%CI)</w:t>
            </w:r>
          </w:p>
        </w:tc>
        <w:tc>
          <w:tcPr>
            <w:tcW w:w="248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936513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RERI</w:t>
            </w:r>
          </w:p>
          <w:p w14:paraId="22B6A1C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(95%CI)</w:t>
            </w:r>
          </w:p>
        </w:tc>
        <w:tc>
          <w:tcPr>
            <w:tcW w:w="225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3F5DCE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AP</w:t>
            </w:r>
          </w:p>
          <w:p w14:paraId="1E81647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(95%CI)</w:t>
            </w:r>
          </w:p>
        </w:tc>
        <w:tc>
          <w:tcPr>
            <w:tcW w:w="209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5AB0F6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SI</w:t>
            </w:r>
          </w:p>
          <w:p w14:paraId="0C39635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(95% CI)</w:t>
            </w:r>
          </w:p>
        </w:tc>
      </w:tr>
      <w:tr w14:paraId="0C8CD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94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D0E7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First CRM diseases</w:t>
            </w:r>
          </w:p>
        </w:tc>
        <w:tc>
          <w:tcPr>
            <w:tcW w:w="257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5D96B">
            <w:pPr>
              <w:pStyle w:val="7"/>
              <w:spacing w:after="12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1.248(1.241,1.255)</w:t>
            </w:r>
          </w:p>
        </w:tc>
        <w:tc>
          <w:tcPr>
            <w:tcW w:w="2488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 w14:paraId="4B5CB39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0.248(0.241,0.255)</w:t>
            </w:r>
          </w:p>
        </w:tc>
        <w:tc>
          <w:tcPr>
            <w:tcW w:w="2250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 w14:paraId="21A9151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0.199(0.194,0.203)</w:t>
            </w:r>
          </w:p>
        </w:tc>
        <w:tc>
          <w:tcPr>
            <w:tcW w:w="2095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 w14:paraId="7D45757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1.248(01.241,1.255)</w:t>
            </w:r>
          </w:p>
        </w:tc>
      </w:tr>
      <w:tr w14:paraId="199EB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82A2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First CRM diseases → Double CRM diseases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300C8">
            <w:pPr>
              <w:pStyle w:val="7"/>
              <w:spacing w:after="12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1.180(1.167,1.193) </w:t>
            </w:r>
          </w:p>
        </w:tc>
        <w:tc>
          <w:tcPr>
            <w:tcW w:w="248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C8A34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0.180(0.166,0.193)</w:t>
            </w:r>
          </w:p>
        </w:tc>
        <w:tc>
          <w:tcPr>
            <w:tcW w:w="22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3879D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0.153(0.143,0.162)</w:t>
            </w:r>
          </w:p>
        </w:tc>
        <w:tc>
          <w:tcPr>
            <w:tcW w:w="20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1B58F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1.180(1.166,1.193)</w:t>
            </w:r>
          </w:p>
        </w:tc>
      </w:tr>
      <w:tr w14:paraId="39971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CACC22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Double CRM diseases → Triple CRM diseases</w:t>
            </w:r>
          </w:p>
        </w:tc>
        <w:tc>
          <w:tcPr>
            <w:tcW w:w="25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844416F">
            <w:pPr>
              <w:pStyle w:val="7"/>
              <w:spacing w:after="12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1.120(1.086,1.155) </w:t>
            </w:r>
          </w:p>
        </w:tc>
        <w:tc>
          <w:tcPr>
            <w:tcW w:w="2488" w:type="dxa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00417D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0.120(0.085,0.154)</w:t>
            </w:r>
          </w:p>
        </w:tc>
        <w:tc>
          <w:tcPr>
            <w:tcW w:w="2250" w:type="dxa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A5E529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0.107(0.079,0.134)</w:t>
            </w:r>
          </w:p>
        </w:tc>
        <w:tc>
          <w:tcPr>
            <w:tcW w:w="2095" w:type="dxa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29EA17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1.120(1.085,1.541)</w:t>
            </w:r>
          </w:p>
        </w:tc>
      </w:tr>
    </w:tbl>
    <w:p w14:paraId="1EC15B25">
      <w:pPr>
        <w:rPr>
          <w:rFonts w:hint="default" w:ascii="Times New Roman" w:hAnsi="Times New Roman" w:eastAsia="宋体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32"/>
          <w:lang w:val="en-US" w:eastAsia="zh-CN"/>
        </w:rPr>
        <w:t xml:space="preserve">Abbreviations: AIP, atherogenic index of plasma; BRI, body roundness index; CRM,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GB" w:eastAsia="zh-CN"/>
        </w:rPr>
        <w:t>cardio-renal-metabolic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;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RERI: Relative excess risk due to interaction; AP: attributable proportion; SI:synergy index;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HR hazard ratio, CI, confidence interval.</w:t>
      </w:r>
    </w:p>
    <w:p w14:paraId="7A2BD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sz w:val="20"/>
          <w:szCs w:val="22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All models were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 xml:space="preserve">adjusted for age, sex, ethnic, smoking, drinking,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physical activity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, cancer, residential area, family history of diabetes, family history of stroke, family history of heart disease,hypertension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.</w:t>
      </w:r>
    </w:p>
    <w:p w14:paraId="7D112F69">
      <w:pPr>
        <w:rPr>
          <w:rFonts w:hint="default" w:ascii="Times New Roman" w:hAnsi="Times New Roman" w:cs="Times New Roman"/>
          <w:sz w:val="24"/>
          <w:szCs w:val="24"/>
        </w:rPr>
      </w:pPr>
    </w:p>
    <w:p w14:paraId="3577146E">
      <w:pPr>
        <w:rPr>
          <w:rFonts w:hint="default" w:ascii="Times New Roman" w:hAnsi="Times New Roman" w:cs="Times New Roman"/>
          <w:sz w:val="24"/>
          <w:szCs w:val="24"/>
        </w:rPr>
      </w:pPr>
    </w:p>
    <w:p w14:paraId="2754105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 w14:paraId="75AECA46">
      <w:pPr>
        <w:rPr>
          <w:rFonts w:hint="default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9A5519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5" w:name="_Toc7534"/>
      <w:r>
        <w:rPr>
          <w:rFonts w:hint="default"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. Results of sensitivity analyses after excluding cancer  (N=33,833)</w:t>
      </w:r>
      <w:bookmarkEnd w:id="5"/>
    </w:p>
    <w:tbl>
      <w:tblPr>
        <w:tblStyle w:val="8"/>
        <w:tblpPr w:leftFromText="180" w:rightFromText="180" w:vertAnchor="page" w:horzAnchor="page" w:tblpX="1511" w:tblpY="2221"/>
        <w:tblOverlap w:val="never"/>
        <w:tblW w:w="138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17"/>
        <w:gridCol w:w="1702"/>
        <w:gridCol w:w="1443"/>
        <w:gridCol w:w="1252"/>
        <w:gridCol w:w="1346"/>
        <w:gridCol w:w="1438"/>
      </w:tblGrid>
      <w:tr w14:paraId="3227B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717" w:type="dxa"/>
            <w:vMerge w:val="restart"/>
            <w:tcBorders>
              <w:top w:val="single" w:color="auto" w:sz="12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DDB3B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Transtion</w:t>
            </w:r>
          </w:p>
        </w:tc>
        <w:tc>
          <w:tcPr>
            <w:tcW w:w="1702" w:type="dxa"/>
            <w:vMerge w:val="restart"/>
            <w:tcBorders>
              <w:top w:val="single" w:color="auto" w:sz="12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7356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Case</w:t>
            </w:r>
          </w:p>
        </w:tc>
        <w:tc>
          <w:tcPr>
            <w:tcW w:w="5479" w:type="dxa"/>
            <w:gridSpan w:val="4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 w14:paraId="154190C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AIP-BRI</w:t>
            </w:r>
          </w:p>
        </w:tc>
      </w:tr>
      <w:tr w14:paraId="64AD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6717" w:type="dxa"/>
            <w:vMerge w:val="continue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50C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 w:val="continue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FD22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36E14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95% CI</w:t>
            </w:r>
          </w:p>
        </w:tc>
        <w:tc>
          <w:tcPr>
            <w:tcW w:w="1346" w:type="dxa"/>
            <w:vMerge w:val="restart"/>
            <w:tcBorders>
              <w:top w:val="single" w:color="auto" w:sz="12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2D4E3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1438" w:type="dxa"/>
            <w:vMerge w:val="restart"/>
            <w:tcBorders>
              <w:top w:val="single" w:color="auto" w:sz="12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0E1CD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 Value</w:t>
            </w:r>
          </w:p>
        </w:tc>
      </w:tr>
      <w:tr w14:paraId="79A0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6717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3DD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513D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28093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25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62A84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1346" w:type="dxa"/>
            <w:vMerge w:val="continue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A4EA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vMerge w:val="continue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820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4A26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3898" w:type="dxa"/>
            <w:gridSpan w:val="6"/>
            <w:tcBorders>
              <w:top w:val="single" w:color="auto" w:sz="12" w:space="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0B55F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Model 1: Baseline → First CRM disease → Double CRM diseases → Triple CRM diseases</w:t>
            </w:r>
          </w:p>
        </w:tc>
      </w:tr>
      <w:tr w14:paraId="2245D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E4BCF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First CRM diseases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91A7D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54939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9FC2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1.2434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00875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1.2578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819A2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1.2506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00E2F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37424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01CA6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First CRM diseases → Double CRM diseases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FC4E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9464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738E0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1.1661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6A4C5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1.1945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01F0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1.1802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5EA79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23CBE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3101B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Double CRM diseases → Triple CRM diseases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E856D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1179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E8560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1.0779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3744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1.1507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B8C7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1.1137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8CDD3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3B503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898" w:type="dxa"/>
            <w:gridSpan w:val="6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35A9C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Model 2: Baseline → First CRM disease subtypes (CVD, T2DM, and CKD) → Double CRM diseases → Triple CRM diseases</w:t>
            </w:r>
          </w:p>
        </w:tc>
      </w:tr>
      <w:tr w14:paraId="15A4D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DABDD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CVD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74216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30737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E591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1.1136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1717F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1.1325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0AA6C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1.1230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86C5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1734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8E209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CKD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A8D36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8749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466F7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1.1930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10D01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1.2289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45C29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1.2108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722D3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7B399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BFFF1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T2DM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252DD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15453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155B8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1.4794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BAB64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1.5063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DCE14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1.4928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E82C8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1D7D4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DA3DE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CVD → Double CRM diseases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619D0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4798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A5036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1.3071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EA7D4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1.3514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64FE7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1.3291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A54D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0D3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17208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CKD → Double CRM diseases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D93C6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3045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6D354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1.1583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B3D5D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1.2109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3A649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1.1843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E8C44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DB28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9BBE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T2DM → Double CRM diseases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CDE16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1621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8FEAF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0.9455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89A24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1.0048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C42B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0.9747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3C073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0.098</w:t>
            </w:r>
          </w:p>
        </w:tc>
      </w:tr>
      <w:tr w14:paraId="4C947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EE4004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CKD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657F9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1678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EA2C4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1.1578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8BC64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1.2311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5AA18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1.1939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58223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F0BF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4698BA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T2DM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FE1B3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3120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FB243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1.3715 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D451D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1.4274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F4F92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1.3992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2ACB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A726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7C3960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CKD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51EE7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1826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6696F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1.0291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B6277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1.0949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665A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1.0615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59FFD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2941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1E1B51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 &amp; T2DM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BC5D7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1219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9A7ED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1.3120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20F42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1.3971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9618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1.3538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8F2A5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1730E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AF6512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T2DM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T2DM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71CB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1321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8E14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 xml:space="preserve">0.9467 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FD82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1.0123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5638C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0.9789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44619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0.212</w:t>
            </w:r>
          </w:p>
        </w:tc>
      </w:tr>
      <w:tr w14:paraId="130A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A9060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T2DM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 &amp; T2DM</w:t>
            </w: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BB32A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44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23943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0.8904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1074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1.0295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8969A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0.9574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2F2B6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80808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808080"/>
                <w:sz w:val="24"/>
                <w:szCs w:val="24"/>
                <w:lang w:val="en-US" w:eastAsia="zh-CN"/>
              </w:rPr>
              <w:t>0.239</w:t>
            </w:r>
          </w:p>
        </w:tc>
      </w:tr>
      <w:tr w14:paraId="0043A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6717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8CE04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Double CRM diseases → Triple CRM diseases</w:t>
            </w:r>
          </w:p>
        </w:tc>
        <w:tc>
          <w:tcPr>
            <w:tcW w:w="1702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59039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1179</w:t>
            </w:r>
          </w:p>
        </w:tc>
        <w:tc>
          <w:tcPr>
            <w:tcW w:w="1443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8F025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1.0820</w:t>
            </w:r>
          </w:p>
        </w:tc>
        <w:tc>
          <w:tcPr>
            <w:tcW w:w="1252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3DD81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1.1551</w:t>
            </w:r>
          </w:p>
        </w:tc>
        <w:tc>
          <w:tcPr>
            <w:tcW w:w="1346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D0744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1.1179</w:t>
            </w:r>
          </w:p>
        </w:tc>
        <w:tc>
          <w:tcPr>
            <w:tcW w:w="1438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EB010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649D138E">
      <w:pPr>
        <w:rPr>
          <w:rFonts w:hint="default" w:ascii="Times New Roman" w:hAnsi="Times New Roman" w:eastAsia="宋体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32"/>
          <w:lang w:val="en-US" w:eastAsia="zh-CN"/>
        </w:rPr>
        <w:t xml:space="preserve">Abbreviations: AIP, atherogenic index of plasma; BRI, body roundness index; CRM,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GB" w:eastAsia="zh-CN"/>
        </w:rPr>
        <w:t>cardio-renal-metabolic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;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CVD, cardiovascular diseases; CKD, chronic kidney disease; T2DM, type 2 diabetes mellitus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HR hazard ratio, CI, confidence interval.</w:t>
      </w:r>
    </w:p>
    <w:p w14:paraId="3B643B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sz w:val="20"/>
          <w:szCs w:val="22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All models were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 xml:space="preserve">adjusted for age, sex, ethnic, smoking, drinking,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physical activity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, cancer, residential area, family history of diabetes, family history of stroke, family history of heart disease,hypertension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.</w:t>
      </w:r>
    </w:p>
    <w:p w14:paraId="0CC4BA9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7C4C6BE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5C1179F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62164C7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34BA68F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29ADDD02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541B9952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3191EEE7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64E65179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3BB97F84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br w:type="textWrapping"/>
      </w:r>
    </w:p>
    <w:p w14:paraId="03B48906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640C79D4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0366D923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28ADF7AC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300B1255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056F150B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03814256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7E97CFFC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51CF0CAE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6C2102F6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4CD12260">
      <w:pPr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8"/>
        <w:tblpPr w:leftFromText="180" w:rightFromText="180" w:vertAnchor="text" w:horzAnchor="page" w:tblpX="1343" w:tblpY="390"/>
        <w:tblOverlap w:val="never"/>
        <w:tblW w:w="13778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06"/>
        <w:gridCol w:w="1837"/>
        <w:gridCol w:w="1676"/>
        <w:gridCol w:w="1192"/>
        <w:gridCol w:w="1292"/>
        <w:gridCol w:w="1275"/>
      </w:tblGrid>
      <w:tr w14:paraId="17940B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506" w:type="dxa"/>
            <w:vMerge w:val="restart"/>
            <w:tcBorders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1D1CF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Transtion</w:t>
            </w:r>
          </w:p>
        </w:tc>
        <w:tc>
          <w:tcPr>
            <w:tcW w:w="1837" w:type="dxa"/>
            <w:vMerge w:val="restart"/>
            <w:tcBorders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ED11B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Case</w:t>
            </w:r>
          </w:p>
        </w:tc>
        <w:tc>
          <w:tcPr>
            <w:tcW w:w="5435" w:type="dxa"/>
            <w:gridSpan w:val="4"/>
            <w:tcBorders>
              <w:bottom w:val="single" w:color="auto" w:sz="12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 w14:paraId="19F8BFC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AIP-BRI</w:t>
            </w:r>
          </w:p>
        </w:tc>
      </w:tr>
      <w:tr w14:paraId="7A923B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506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DA99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90F2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BCF9B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95% CI</w:t>
            </w:r>
          </w:p>
        </w:tc>
        <w:tc>
          <w:tcPr>
            <w:tcW w:w="1292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63E44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1275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D8389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 Value</w:t>
            </w:r>
          </w:p>
        </w:tc>
      </w:tr>
      <w:tr w14:paraId="27C8C9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506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538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186B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F2818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19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8110C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129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025F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AB5F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1B554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3778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E8DED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Model 1: Baseline → First CRM disease → Double CRM diseases → Triple CRM diseases</w:t>
            </w:r>
          </w:p>
        </w:tc>
      </w:tr>
      <w:tr w14:paraId="07B7FE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765F9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First CRM diseases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9D9B1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59789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D6D17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1.2479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D223A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1.2642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E7CA9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1.2561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D96DF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757D00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12E5B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First CRM diseases → Double CRM diseases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13F00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10210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AE2E2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1.1775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7041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1.2117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CFE8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1.1945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E26D1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650073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EF4FE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Double CRM diseases → Triple CRM diseases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2D5D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D2407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1.0724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200AB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1.1614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5D319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1.1160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E103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31C54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3778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923AB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Model 2: Baseline → First CRM disease subtypes (CVD, T2DM, and CKD) → Double CRM diseases → Triple CRM diseases</w:t>
            </w:r>
          </w:p>
        </w:tc>
      </w:tr>
      <w:tr w14:paraId="2C997F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0755B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CVD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0BEB4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33830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161C5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1.1106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84494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1.1307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70C93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1.1206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CA88F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2EFA02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1DE97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CKD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A707D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9905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252EF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1.2023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8F622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1.2412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09792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1.2216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4BF9F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61E2B5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F859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T2DM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F9BF7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16054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AB4D4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1.5661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2C21E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1.6032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48BE5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1.5846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C03DA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47DD6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1F5A8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CVD → Double CRM diseases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1E903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5136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EF6D2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1.3199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45D7E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1.3749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69EC4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1.3471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2A16B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13F331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2F5E1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CKD → Double CRM diseases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2A6BF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3330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01D8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1.1581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379DE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1.2190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E1128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1.1882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C3FA2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6651F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9B730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T2DM → Double CRM diseases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0BC53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1744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5A816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0.9365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BA105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1.0031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85AA6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0.9692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4F69F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0.074</w:t>
            </w:r>
          </w:p>
        </w:tc>
      </w:tr>
      <w:tr w14:paraId="23F002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02E43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CKD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4016A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1906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80AAC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1.1505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EEF87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1.2318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4AB13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  <w:t>1.1905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599A1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3F775A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2E82E8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T2DM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8FF65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3230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98468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1.4090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04EEF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1.4832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DB43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1.4456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B1F4F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61265A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62874A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CKD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3C12B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2044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F889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1.0291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86907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1.1007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EDDDC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1.0643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BE872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392D91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B84EDF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 &amp; T2DM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20A19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1286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08F90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1.3399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9EB12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1.4512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BFF34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1.3944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C299E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E1F6F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360BBB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T2DM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T2DM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1E1D2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1411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7BF4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0.9357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CFE5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1.0099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316D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 xml:space="preserve">0.9721 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D93AE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0.145</w:t>
            </w:r>
          </w:p>
        </w:tc>
      </w:tr>
      <w:tr w14:paraId="6EAEAD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BD1D35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T2DM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 &amp; T2DM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AF036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644B2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0.8885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490D0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1.0407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F71E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0.9616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6342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0.331</w:t>
            </w:r>
          </w:p>
        </w:tc>
      </w:tr>
      <w:tr w14:paraId="554A13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6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E766F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Double CRM diseases → Triple CRM diseases</w:t>
            </w:r>
          </w:p>
        </w:tc>
        <w:tc>
          <w:tcPr>
            <w:tcW w:w="18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8C15D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  <w:tc>
          <w:tcPr>
            <w:tcW w:w="16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3CCA6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1.0757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BC4F9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1.1651</w:t>
            </w:r>
          </w:p>
        </w:tc>
        <w:tc>
          <w:tcPr>
            <w:tcW w:w="129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D8938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1.1195</w:t>
            </w:r>
          </w:p>
        </w:tc>
        <w:tc>
          <w:tcPr>
            <w:tcW w:w="12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A1DCC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11949A7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bookmarkStart w:id="6" w:name="_Toc1039"/>
      <w:r>
        <w:rPr>
          <w:rFonts w:hint="default"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sz w:val="24"/>
          <w:szCs w:val="24"/>
        </w:rPr>
        <w:t>. Results of sensitivity analyses after excluding the maximum (&gt;99%) or minimum (1%) value of AIP-BRI (N=3,987)</w:t>
      </w:r>
      <w:bookmarkEnd w:id="6"/>
    </w:p>
    <w:p w14:paraId="47D74A6C">
      <w:pPr>
        <w:rPr>
          <w:rFonts w:hint="default" w:ascii="Times New Roman" w:hAnsi="Times New Roman" w:eastAsia="宋体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32"/>
          <w:lang w:val="en-US" w:eastAsia="zh-CN"/>
        </w:rPr>
        <w:t xml:space="preserve">Abbreviations: AIP, atherogenic index of plasma; BRI, body roundness index; CRM,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GB" w:eastAsia="zh-CN"/>
        </w:rPr>
        <w:t>cardio-renal-metabolic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;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CVD, cardiovascular diseases; CKD, chronic kidney disease; T2DM, type 2 diabetes mellitus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HR hazard ratio, CI, confidence interval.</w:t>
      </w:r>
    </w:p>
    <w:p w14:paraId="7A690A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All models were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 xml:space="preserve">adjusted for age, sex, ethnic, smoking, drinking,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physical activity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, cancer, residential area, family history of diabetes, family history of stroke, family history of heart disease,hypertension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.</w:t>
      </w:r>
    </w:p>
    <w:p w14:paraId="6EA48471">
      <w:pPr>
        <w:ind w:left="-49" w:leftChars="-495" w:hanging="990" w:hangingChars="495"/>
        <w:rPr>
          <w:sz w:val="20"/>
          <w:szCs w:val="22"/>
        </w:rPr>
      </w:pPr>
    </w:p>
    <w:p w14:paraId="0830B64B">
      <w:pPr>
        <w:rPr>
          <w:sz w:val="20"/>
          <w:szCs w:val="22"/>
        </w:rPr>
      </w:pPr>
    </w:p>
    <w:p w14:paraId="32AFFDD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1D8B396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0DE68C6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5CF38E8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6683A4A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16A2E0D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70E4452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3EB6D1D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6A7589D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09A56B0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54B8048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100C8BC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6681BAA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451354E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424D7CA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65D0A3F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00AA5BC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353E733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3C9F811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2E03DFE1">
      <w:pPr>
        <w:rPr>
          <w:rFonts w:hint="default"/>
        </w:rPr>
      </w:pPr>
    </w:p>
    <w:p w14:paraId="692965B8">
      <w:pPr>
        <w:rPr>
          <w:rFonts w:hint="default"/>
        </w:rPr>
      </w:pPr>
    </w:p>
    <w:p w14:paraId="0C2A55E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/>
        </w:rPr>
      </w:pPr>
      <w:bookmarkStart w:id="7" w:name="_Toc2569"/>
      <w:r>
        <w:rPr>
          <w:rFonts w:hint="default"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sz w:val="24"/>
          <w:szCs w:val="24"/>
        </w:rPr>
        <w:t>. Results of sensitivity analyses after excluding the Follow-up was less than two years (N=18,892)</w:t>
      </w:r>
      <w:bookmarkEnd w:id="7"/>
    </w:p>
    <w:tbl>
      <w:tblPr>
        <w:tblStyle w:val="8"/>
        <w:tblW w:w="134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36"/>
        <w:gridCol w:w="1778"/>
        <w:gridCol w:w="1604"/>
        <w:gridCol w:w="1184"/>
        <w:gridCol w:w="1256"/>
        <w:gridCol w:w="1261"/>
      </w:tblGrid>
      <w:tr w14:paraId="42139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336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4657B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Transtion</w:t>
            </w:r>
          </w:p>
        </w:tc>
        <w:tc>
          <w:tcPr>
            <w:tcW w:w="1778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4650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Case</w:t>
            </w:r>
          </w:p>
        </w:tc>
        <w:tc>
          <w:tcPr>
            <w:tcW w:w="5305" w:type="dxa"/>
            <w:gridSpan w:val="4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 w14:paraId="5214F0A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AIP-BRI</w:t>
            </w:r>
          </w:p>
        </w:tc>
      </w:tr>
      <w:tr w14:paraId="0C11A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6336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B003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CC6F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  <w:gridSpan w:val="2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4A08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95% CI</w:t>
            </w:r>
          </w:p>
        </w:tc>
        <w:tc>
          <w:tcPr>
            <w:tcW w:w="1256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F5EB0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1261" w:type="dxa"/>
            <w:vMerge w:val="restar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0AF68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 Value</w:t>
            </w:r>
          </w:p>
        </w:tc>
      </w:tr>
      <w:tr w14:paraId="6E39E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336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D761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F0590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F616F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184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E7238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1256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3CD5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8566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6002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3419" w:type="dxa"/>
            <w:gridSpan w:val="6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91441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Model 1: Baseline → First CRM disease → Double CRM diseases → Triple CRM diseases</w:t>
            </w:r>
          </w:p>
        </w:tc>
      </w:tr>
      <w:tr w14:paraId="5DE16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5566C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First CRM diseases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99253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43849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1F5BE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1.2687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2A48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1.2848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47845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1.2767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2E26C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30E9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665F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First CRM diseases → Double CRM diseases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262AE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6298 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5B86A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1.1638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B2C4A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1.1989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E2916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1.1812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D1CC9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FDD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F4F52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Double CRM diseases → Triple CRM diseases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3808E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46668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1.0657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26DA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1.1643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DB90C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1.1139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763EB6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14670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3419" w:type="dxa"/>
            <w:gridSpan w:val="6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16318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Model 2: Baseline → First CRM disease subtypes (CVD, T2DM, and CKD) → Double CRM diseases → Triple CRM diseases</w:t>
            </w:r>
          </w:p>
        </w:tc>
      </w:tr>
      <w:tr w14:paraId="455D4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5F2B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CVD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10022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23857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798C7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1.1244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0C606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1.1456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20F70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1.1350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A48F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6F3A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B2CAF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CKD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F48DC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6358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DF57A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1.2067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A73C4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1.2496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859D6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1.2280 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73567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4F99D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90489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Baseline → T2DM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510D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13634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DD4D5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1.5094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4FAC9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1.5384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5A09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1.5238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FA177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2BEE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E3E07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CVD → Double CRM diseases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D3AC1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3218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1A03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1.3415 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8B24E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1.3993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FE629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1.3701 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FA97F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2D76E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453CC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CKD → Double CRM diseases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9CCE0F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1901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47B35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1.1744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ABF9F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1.2455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4FB61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1.2094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206E2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39A4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F5BC2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T2DM → Double CRM diseases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41B16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1179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6D016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0.9680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E440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1.0373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EE513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1.0021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37C85A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 xml:space="preserve"> 0.074</w:t>
            </w:r>
          </w:p>
        </w:tc>
      </w:tr>
      <w:tr w14:paraId="02191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CAF297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CKD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E44A7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973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5C28D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1.1971 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BE92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1.3010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99BF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1.2480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1A231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740D7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9B5F4E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T2DM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E76DE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2245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1E9F4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1.3857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D53C7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1.4552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06F92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1.4201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17C1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14A1C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F68A4F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CKD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48BEAD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1103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2398E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1.0318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71F26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1.1202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FDE63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1.0751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D8680B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78255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040EDE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 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 &amp; T2DM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E287A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798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BD9C8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1.3332 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09203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1.4505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23D0E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1.3906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959C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14:paraId="0A3CE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BF88C3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T2DM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CVD &amp; T2DM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241B8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988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54E6C7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0.9649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DE81E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1.0405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DB793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1.0020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FD743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0.916</w:t>
            </w:r>
          </w:p>
        </w:tc>
      </w:tr>
      <w:tr w14:paraId="715A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3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B5C246">
            <w:pPr>
              <w:pStyle w:val="7"/>
              <w:spacing w:after="12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T2DM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→ 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CKD &amp; T2DM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1A72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191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B20A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 xml:space="preserve">0.9222 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934418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1.0968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49C731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808080"/>
                <w:sz w:val="24"/>
                <w:szCs w:val="24"/>
              </w:rPr>
              <w:t>1.0057</w:t>
            </w:r>
          </w:p>
        </w:tc>
        <w:tc>
          <w:tcPr>
            <w:tcW w:w="126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2E772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 w:eastAsiaTheme="minorEastAsia"/>
                <w:color w:val="80808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808080"/>
                <w:sz w:val="24"/>
                <w:szCs w:val="24"/>
                <w:lang w:val="en-US" w:eastAsia="zh-CN"/>
              </w:rPr>
              <w:t>0.897</w:t>
            </w:r>
          </w:p>
        </w:tc>
      </w:tr>
      <w:tr w14:paraId="6273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6336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A4A7B4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Double CRM diseases → Triple CRM diseases</w:t>
            </w:r>
          </w:p>
        </w:tc>
        <w:tc>
          <w:tcPr>
            <w:tcW w:w="1778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1F060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604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BC5550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1.0678</w:t>
            </w:r>
          </w:p>
        </w:tc>
        <w:tc>
          <w:tcPr>
            <w:tcW w:w="1184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870989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1.1665</w:t>
            </w:r>
          </w:p>
        </w:tc>
        <w:tc>
          <w:tcPr>
            <w:tcW w:w="1256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B70D15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1.1161</w:t>
            </w:r>
          </w:p>
        </w:tc>
        <w:tc>
          <w:tcPr>
            <w:tcW w:w="1261" w:type="dxa"/>
            <w:tcBorders>
              <w:top w:val="nil"/>
              <w:bottom w:val="single" w:color="auto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179D6C">
            <w:pPr>
              <w:pStyle w:val="7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077754DC">
      <w:pPr>
        <w:rPr>
          <w:rFonts w:hint="default" w:ascii="Times New Roman" w:hAnsi="Times New Roman" w:eastAsia="宋体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32"/>
          <w:lang w:val="en-US" w:eastAsia="zh-CN"/>
        </w:rPr>
        <w:t xml:space="preserve">Abbreviations: AIP, atherogenic index of plasma; BRI, body roundness index; CRM,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GB" w:eastAsia="zh-CN"/>
        </w:rPr>
        <w:t>cardio-renal-metabolic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;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CVD, cardiovascular diseases; CKD, chronic kidney disease; T2DM, type 2 diabetes mellitus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HR hazard ratio, CI, confidence interval.</w:t>
      </w:r>
    </w:p>
    <w:p w14:paraId="3796E9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All models were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 xml:space="preserve">adjusted for age, sex, ethnic, smoking, drinking,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physical activity</w:t>
      </w:r>
      <w:r>
        <w:rPr>
          <w:rFonts w:hint="default" w:ascii="Times New Roman" w:hAnsi="Times New Roman" w:cs="Times New Roman" w:eastAsiaTheme="minorEastAsia"/>
          <w:sz w:val="24"/>
          <w:szCs w:val="32"/>
          <w:lang w:val="en-GB" w:eastAsia="zh-CN"/>
        </w:rPr>
        <w:t>, cancer, residential area, family history of diabetes, family history of stroke, family history of heart disease,hypertension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.</w:t>
      </w:r>
    </w:p>
    <w:p w14:paraId="1C8C50CF">
      <w:pPr>
        <w:rPr>
          <w:rFonts w:hint="default" w:ascii="Times New Roman" w:hAnsi="Times New Roman" w:cs="Times New Roman"/>
          <w:sz w:val="24"/>
          <w:szCs w:val="24"/>
        </w:rPr>
      </w:pPr>
    </w:p>
    <w:p w14:paraId="5F2D94F0">
      <w:pPr>
        <w:rPr>
          <w:rFonts w:hint="default" w:ascii="Times New Roman" w:hAnsi="Times New Roman" w:cs="Times New Roman"/>
          <w:sz w:val="24"/>
          <w:szCs w:val="24"/>
        </w:rPr>
      </w:pPr>
    </w:p>
    <w:p w14:paraId="7F2E2115">
      <w:pPr>
        <w:rPr>
          <w:rFonts w:hint="default" w:ascii="Times New Roman" w:hAnsi="Times New Roman" w:cs="Times New Roman"/>
          <w:sz w:val="24"/>
          <w:szCs w:val="24"/>
        </w:rPr>
      </w:pPr>
    </w:p>
    <w:p w14:paraId="5F10D248">
      <w:pPr>
        <w:rPr>
          <w:rFonts w:hint="default" w:ascii="Times New Roman" w:hAnsi="Times New Roman" w:cs="Times New Roman"/>
          <w:sz w:val="24"/>
          <w:szCs w:val="24"/>
        </w:rPr>
      </w:pPr>
    </w:p>
    <w:p w14:paraId="1A845B06">
      <w:pPr>
        <w:rPr>
          <w:rFonts w:hint="default" w:ascii="Times New Roman" w:hAnsi="Times New Roman" w:cs="Times New Roman"/>
          <w:sz w:val="24"/>
          <w:szCs w:val="24"/>
        </w:rPr>
      </w:pPr>
    </w:p>
    <w:p w14:paraId="05B1997B">
      <w:pPr>
        <w:rPr>
          <w:rFonts w:hint="default" w:ascii="Times New Roman" w:hAnsi="Times New Roman" w:cs="Times New Roman"/>
          <w:sz w:val="24"/>
          <w:szCs w:val="24"/>
        </w:rPr>
      </w:pPr>
    </w:p>
    <w:p w14:paraId="2421E52D">
      <w:pPr>
        <w:rPr>
          <w:rFonts w:hint="default" w:ascii="Times New Roman" w:hAnsi="Times New Roman" w:cs="Times New Roman"/>
          <w:sz w:val="24"/>
          <w:szCs w:val="24"/>
        </w:rPr>
      </w:pPr>
    </w:p>
    <w:p w14:paraId="019B2749">
      <w:pPr>
        <w:rPr>
          <w:rFonts w:hint="default" w:ascii="Times New Roman" w:hAnsi="Times New Roman" w:cs="Times New Roman"/>
          <w:sz w:val="24"/>
          <w:szCs w:val="24"/>
        </w:rPr>
      </w:pPr>
    </w:p>
    <w:p w14:paraId="1D26D481">
      <w:pPr>
        <w:rPr>
          <w:rFonts w:hint="default" w:ascii="Times New Roman" w:hAnsi="Times New Roman" w:cs="Times New Roman"/>
          <w:sz w:val="24"/>
          <w:szCs w:val="24"/>
        </w:rPr>
      </w:pPr>
    </w:p>
    <w:p w14:paraId="2F303406">
      <w:pPr>
        <w:rPr>
          <w:rFonts w:hint="default" w:ascii="Times New Roman" w:hAnsi="Times New Roman" w:cs="Times New Roman"/>
          <w:sz w:val="24"/>
          <w:szCs w:val="24"/>
        </w:rPr>
      </w:pPr>
    </w:p>
    <w:p w14:paraId="7BB169D4">
      <w:pPr>
        <w:rPr>
          <w:rFonts w:hint="default" w:ascii="Times New Roman" w:hAnsi="Times New Roman" w:cs="Times New Roman"/>
          <w:sz w:val="24"/>
          <w:szCs w:val="24"/>
        </w:rPr>
      </w:pPr>
    </w:p>
    <w:p w14:paraId="37D1E3A8">
      <w:pPr>
        <w:rPr>
          <w:rFonts w:hint="default" w:ascii="Times New Roman" w:hAnsi="Times New Roman" w:cs="Times New Roman"/>
          <w:sz w:val="24"/>
          <w:szCs w:val="24"/>
        </w:rPr>
      </w:pPr>
    </w:p>
    <w:p w14:paraId="6F29064F">
      <w:pPr>
        <w:rPr>
          <w:rFonts w:hint="default" w:ascii="Times New Roman" w:hAnsi="Times New Roman" w:cs="Times New Roman"/>
          <w:sz w:val="24"/>
          <w:szCs w:val="24"/>
        </w:rPr>
      </w:pPr>
    </w:p>
    <w:p w14:paraId="71D333FB">
      <w:pPr>
        <w:rPr>
          <w:rFonts w:hint="default" w:ascii="Times New Roman" w:hAnsi="Times New Roman" w:cs="Times New Roman"/>
          <w:sz w:val="24"/>
          <w:szCs w:val="24"/>
        </w:rPr>
      </w:pPr>
    </w:p>
    <w:p w14:paraId="4620DE66">
      <w:pPr>
        <w:rPr>
          <w:rFonts w:hint="default" w:ascii="Times New Roman" w:hAnsi="Times New Roman" w:cs="Times New Roman"/>
          <w:sz w:val="24"/>
          <w:szCs w:val="24"/>
        </w:rPr>
      </w:pPr>
    </w:p>
    <w:p w14:paraId="70815E81">
      <w:pPr>
        <w:rPr>
          <w:rFonts w:hint="default" w:ascii="Times New Roman" w:hAnsi="Times New Roman" w:cs="Times New Roman"/>
          <w:sz w:val="24"/>
          <w:szCs w:val="24"/>
        </w:rPr>
      </w:pPr>
    </w:p>
    <w:p w14:paraId="0B716D62">
      <w:pPr>
        <w:rPr>
          <w:rFonts w:hint="default" w:ascii="Times New Roman" w:hAnsi="Times New Roman" w:cs="Times New Roman"/>
          <w:sz w:val="24"/>
          <w:szCs w:val="24"/>
        </w:rPr>
      </w:pPr>
    </w:p>
    <w:p w14:paraId="40E99F4E">
      <w:pPr>
        <w:rPr>
          <w:rFonts w:hint="default" w:ascii="Times New Roman" w:hAnsi="Times New Roman" w:cs="Times New Roman"/>
          <w:sz w:val="24"/>
          <w:szCs w:val="24"/>
        </w:rPr>
      </w:pPr>
    </w:p>
    <w:p w14:paraId="65967E9B">
      <w:pPr>
        <w:rPr>
          <w:rFonts w:hint="default" w:ascii="Times New Roman" w:hAnsi="Times New Roman" w:cs="Times New Roman"/>
          <w:sz w:val="24"/>
          <w:szCs w:val="24"/>
        </w:rPr>
      </w:pPr>
    </w:p>
    <w:p w14:paraId="69EAAB41">
      <w:pPr>
        <w:rPr>
          <w:rFonts w:hint="default" w:ascii="Times New Roman" w:hAnsi="Times New Roman" w:cs="Times New Roman"/>
          <w:sz w:val="24"/>
          <w:szCs w:val="24"/>
        </w:rPr>
      </w:pPr>
    </w:p>
    <w:p w14:paraId="0B5C7DEE">
      <w:pPr>
        <w:rPr>
          <w:rFonts w:hint="default" w:ascii="Times New Roman" w:hAnsi="Times New Roman" w:cs="Times New Roman"/>
          <w:sz w:val="24"/>
          <w:szCs w:val="24"/>
        </w:rPr>
      </w:pPr>
    </w:p>
    <w:p w14:paraId="61C2B83B">
      <w:pPr>
        <w:rPr>
          <w:rFonts w:hint="default" w:ascii="Times New Roman" w:hAnsi="Times New Roman" w:cs="Times New Roman"/>
          <w:sz w:val="24"/>
          <w:szCs w:val="24"/>
        </w:rPr>
      </w:pPr>
    </w:p>
    <w:p w14:paraId="03D89211">
      <w:pPr>
        <w:rPr>
          <w:rFonts w:hint="default" w:ascii="Times New Roman" w:hAnsi="Times New Roman" w:cs="Times New Roman"/>
          <w:sz w:val="24"/>
          <w:szCs w:val="24"/>
        </w:rPr>
      </w:pPr>
    </w:p>
    <w:p w14:paraId="049BDC6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bookmarkStart w:id="8" w:name="_Toc950"/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Table S6. 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Comparison of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redictive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erformance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cross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ifferent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m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odels for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the incidence of 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C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R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M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isease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s and its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dynamic p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rogression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.</w:t>
      </w:r>
      <w:bookmarkEnd w:id="8"/>
    </w:p>
    <w:tbl>
      <w:tblPr>
        <w:tblStyle w:val="8"/>
        <w:tblpPr w:leftFromText="180" w:rightFromText="180" w:vertAnchor="page" w:horzAnchor="page" w:tblpX="1653" w:tblpY="2533"/>
        <w:tblOverlap w:val="never"/>
        <w:tblW w:w="1381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4"/>
        <w:gridCol w:w="2853"/>
        <w:gridCol w:w="2713"/>
        <w:gridCol w:w="2967"/>
        <w:gridCol w:w="2712"/>
      </w:tblGrid>
      <w:tr w14:paraId="61188E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574" w:type="dxa"/>
            <w:vMerge w:val="restart"/>
            <w:tcBorders>
              <w:top w:val="single" w:color="auto" w:sz="12" w:space="0"/>
              <w:left w:val="nil"/>
              <w:bottom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3DC8D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Models</w:t>
            </w:r>
          </w:p>
        </w:tc>
        <w:tc>
          <w:tcPr>
            <w:tcW w:w="11245" w:type="dxa"/>
            <w:gridSpan w:val="4"/>
            <w:tcBorders>
              <w:top w:val="single" w:color="auto" w:sz="12" w:space="0"/>
              <w:bottom w:val="single" w:color="auto" w:sz="12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480479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 statistic (95% Cl</w:t>
            </w:r>
            <w:r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  <w:t>)</w:t>
            </w:r>
          </w:p>
        </w:tc>
      </w:tr>
      <w:tr w14:paraId="75A04C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574" w:type="dxa"/>
            <w:vMerge w:val="continue"/>
            <w:tcBorders>
              <w:top w:val="single" w:color="auto" w:sz="8" w:space="0"/>
              <w:left w:val="nil"/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57C56D77">
            <w:pPr>
              <w:pStyle w:val="7"/>
              <w:spacing w:beforeAutospacing="1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53" w:type="dxa"/>
            <w:vMerge w:val="restart"/>
            <w:tcBorders>
              <w:top w:val="single" w:color="auto" w:sz="12" w:space="0"/>
              <w:bottom w:val="single" w:color="auto" w:sz="12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5E5B20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 w:line="80" w:lineRule="atLeas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multi-state model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14:paraId="02AD871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line="8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(three main transition stages)</w:t>
            </w:r>
          </w:p>
        </w:tc>
        <w:tc>
          <w:tcPr>
            <w:tcW w:w="8392" w:type="dxa"/>
            <w:gridSpan w:val="3"/>
            <w:tcBorders>
              <w:top w:val="single" w:color="auto" w:sz="12" w:space="0"/>
              <w:bottom w:val="single" w:color="auto" w:sz="12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35991C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traditional cox model</w:t>
            </w:r>
          </w:p>
        </w:tc>
      </w:tr>
      <w:tr w14:paraId="3B569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2574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4492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3" w:type="dxa"/>
            <w:vMerge w:val="continue"/>
            <w:tcBorders>
              <w:top w:val="single" w:color="auto" w:sz="12" w:space="0"/>
              <w:bottom w:val="single" w:color="auto" w:sz="12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99CE324">
            <w:pPr>
              <w:pStyle w:val="7"/>
              <w:spacing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color="auto" w:sz="12" w:space="0"/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2FCE864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 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CRM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diseases</w:t>
            </w:r>
          </w:p>
        </w:tc>
        <w:tc>
          <w:tcPr>
            <w:tcW w:w="2967" w:type="dxa"/>
            <w:tcBorders>
              <w:top w:val="single" w:color="auto" w:sz="12" w:space="0"/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7D83514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Double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CRM diseases</w:t>
            </w:r>
          </w:p>
        </w:tc>
        <w:tc>
          <w:tcPr>
            <w:tcW w:w="2712" w:type="dxa"/>
            <w:tcBorders>
              <w:top w:val="single" w:color="auto" w:sz="12" w:space="0"/>
              <w:bottom w:val="single" w:color="auto" w:sz="12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E98E29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Triple 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CRM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diseases</w:t>
            </w:r>
          </w:p>
        </w:tc>
      </w:tr>
      <w:tr w14:paraId="49DF71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574" w:type="dxa"/>
            <w:tcBorders>
              <w:top w:val="single" w:color="auto" w:sz="12" w:space="0"/>
              <w:left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3AB8FF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Empty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Model</w:t>
            </w:r>
          </w:p>
        </w:tc>
        <w:tc>
          <w:tcPr>
            <w:tcW w:w="2853" w:type="dxa"/>
            <w:tcBorders>
              <w:top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430A885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0.686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(0.684,0.688)</w:t>
            </w:r>
          </w:p>
        </w:tc>
        <w:tc>
          <w:tcPr>
            <w:tcW w:w="2713" w:type="dxa"/>
            <w:tcBorders>
              <w:top w:val="single" w:color="auto" w:sz="12" w:space="0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E0FC1E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0.689 (0.687,0.691)</w:t>
            </w:r>
          </w:p>
        </w:tc>
        <w:tc>
          <w:tcPr>
            <w:tcW w:w="2967" w:type="dxa"/>
            <w:tcBorders>
              <w:top w:val="single" w:color="auto" w:sz="12" w:space="0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CE5024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0.751 (0.749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0.753)</w:t>
            </w:r>
          </w:p>
        </w:tc>
        <w:tc>
          <w:tcPr>
            <w:tcW w:w="2712" w:type="dxa"/>
            <w:tcBorders>
              <w:top w:val="single" w:color="auto" w:sz="12" w:space="0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178442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0.802 (0.792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0.812)</w:t>
            </w:r>
          </w:p>
        </w:tc>
      </w:tr>
      <w:tr w14:paraId="0F3218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574" w:type="dxa"/>
            <w:tcBorders>
              <w:top w:val="nil"/>
              <w:left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A266D3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Basic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Obesity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Model</w:t>
            </w:r>
          </w:p>
        </w:tc>
        <w:tc>
          <w:tcPr>
            <w:tcW w:w="2853" w:type="dxa"/>
            <w:tcMar>
              <w:left w:w="108" w:type="dxa"/>
              <w:right w:w="108" w:type="dxa"/>
            </w:tcMar>
            <w:vAlign w:val="center"/>
          </w:tcPr>
          <w:p w14:paraId="18ACDBD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0.719 (0.717,0.721)</w:t>
            </w:r>
          </w:p>
        </w:tc>
        <w:tc>
          <w:tcPr>
            <w:tcW w:w="2713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6E69DA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0.720 (0.718,0.722)</w:t>
            </w:r>
          </w:p>
        </w:tc>
        <w:tc>
          <w:tcPr>
            <w:tcW w:w="296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2B4FFFE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0.799 (0.797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0.801)</w:t>
            </w:r>
          </w:p>
        </w:tc>
        <w:tc>
          <w:tcPr>
            <w:tcW w:w="2712" w:type="dxa"/>
            <w:tcBorders>
              <w:top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35430F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0.861 (0.851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0.871)</w:t>
            </w:r>
          </w:p>
        </w:tc>
      </w:tr>
      <w:tr w14:paraId="06FEA4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574" w:type="dxa"/>
            <w:tcBorders>
              <w:top w:val="nil"/>
              <w:left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720AD14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Basic Lipid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 Model</w:t>
            </w:r>
          </w:p>
        </w:tc>
        <w:tc>
          <w:tcPr>
            <w:tcW w:w="2853" w:type="dxa"/>
            <w:tcMar>
              <w:left w:w="108" w:type="dxa"/>
              <w:right w:w="108" w:type="dxa"/>
            </w:tcMar>
            <w:vAlign w:val="center"/>
          </w:tcPr>
          <w:p w14:paraId="1C8F3D0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0.705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 (0.703,0.707)</w:t>
            </w:r>
          </w:p>
        </w:tc>
        <w:tc>
          <w:tcPr>
            <w:tcW w:w="2713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28F358A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0.707 (0.705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0.709)</w:t>
            </w:r>
          </w:p>
        </w:tc>
        <w:tc>
          <w:tcPr>
            <w:tcW w:w="296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23FF67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0.786 (0.784,0.788)</w:t>
            </w:r>
          </w:p>
        </w:tc>
        <w:tc>
          <w:tcPr>
            <w:tcW w:w="2712" w:type="dxa"/>
            <w:tcBorders>
              <w:top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A661EA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0.845 (0.835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0.855)</w:t>
            </w:r>
          </w:p>
        </w:tc>
      </w:tr>
      <w:tr w14:paraId="27EA09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574" w:type="dxa"/>
            <w:tcBorders>
              <w:top w:val="nil"/>
              <w:left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71ADBE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Full Reference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 Model</w:t>
            </w:r>
          </w:p>
        </w:tc>
        <w:tc>
          <w:tcPr>
            <w:tcW w:w="2853" w:type="dxa"/>
            <w:tcMar>
              <w:left w:w="108" w:type="dxa"/>
              <w:right w:w="108" w:type="dxa"/>
            </w:tcMar>
            <w:vAlign w:val="center"/>
          </w:tcPr>
          <w:p w14:paraId="34E871D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0.724 (0.722,0.726)</w:t>
            </w:r>
          </w:p>
        </w:tc>
        <w:tc>
          <w:tcPr>
            <w:tcW w:w="2713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816DFC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0.725 (0.723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0.727)</w:t>
            </w:r>
          </w:p>
        </w:tc>
        <w:tc>
          <w:tcPr>
            <w:tcW w:w="296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56C7F8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0.811 (0.809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0.813)</w:t>
            </w:r>
          </w:p>
        </w:tc>
        <w:tc>
          <w:tcPr>
            <w:tcW w:w="2712" w:type="dxa"/>
            <w:tcBorders>
              <w:top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62C1E4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0.875 (0.865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0.885)</w:t>
            </w:r>
          </w:p>
        </w:tc>
      </w:tr>
      <w:tr w14:paraId="1339F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574" w:type="dxa"/>
            <w:tcBorders>
              <w:top w:val="nil"/>
              <w:left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535CB9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 xml:space="preserve">ommon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 xml:space="preserve">atio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odel</w:t>
            </w:r>
          </w:p>
        </w:tc>
        <w:tc>
          <w:tcPr>
            <w:tcW w:w="2853" w:type="dxa"/>
            <w:tcMar>
              <w:left w:w="108" w:type="dxa"/>
              <w:right w:w="108" w:type="dxa"/>
            </w:tcMar>
            <w:vAlign w:val="center"/>
          </w:tcPr>
          <w:p w14:paraId="265EF0E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0.718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 (0.716,0.720)</w:t>
            </w:r>
          </w:p>
        </w:tc>
        <w:tc>
          <w:tcPr>
            <w:tcW w:w="2713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C2C3C7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 xml:space="preserve"> (0.71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7,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67" w:type="dxa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1B5EAE9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0.797 (0.795,0.799)</w:t>
            </w:r>
          </w:p>
        </w:tc>
        <w:tc>
          <w:tcPr>
            <w:tcW w:w="2712" w:type="dxa"/>
            <w:tcBorders>
              <w:top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5D632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0.857 (0.847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0.867)</w:t>
            </w:r>
          </w:p>
        </w:tc>
      </w:tr>
      <w:tr w14:paraId="1B20FF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574" w:type="dxa"/>
            <w:tcBorders>
              <w:top w:val="nil"/>
              <w:left w:val="nil"/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42418F2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Proposed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Model</w:t>
            </w:r>
          </w:p>
        </w:tc>
        <w:tc>
          <w:tcPr>
            <w:tcW w:w="2853" w:type="dxa"/>
            <w:tcBorders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52E525E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0.704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(0.702,0.706)</w:t>
            </w:r>
          </w:p>
        </w:tc>
        <w:tc>
          <w:tcPr>
            <w:tcW w:w="2713" w:type="dxa"/>
            <w:tcBorders>
              <w:top w:val="nil"/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6619EC1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0.706 (0.704,0.708)</w:t>
            </w:r>
          </w:p>
        </w:tc>
        <w:tc>
          <w:tcPr>
            <w:tcW w:w="2967" w:type="dxa"/>
            <w:tcBorders>
              <w:top w:val="nil"/>
              <w:bottom w:val="single" w:color="auto" w:sz="12" w:space="0"/>
            </w:tcBorders>
            <w:tcMar>
              <w:left w:w="108" w:type="dxa"/>
              <w:right w:w="108" w:type="dxa"/>
            </w:tcMar>
            <w:vAlign w:val="center"/>
          </w:tcPr>
          <w:p w14:paraId="6E35BCA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0.778 (0.776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0.780)</w:t>
            </w:r>
          </w:p>
        </w:tc>
        <w:tc>
          <w:tcPr>
            <w:tcW w:w="2712" w:type="dxa"/>
            <w:tcBorders>
              <w:top w:val="nil"/>
              <w:bottom w:val="single" w:color="auto" w:sz="12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6BA5B0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0.831 (0.821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0.841)</w:t>
            </w:r>
          </w:p>
        </w:tc>
      </w:tr>
    </w:tbl>
    <w:p w14:paraId="52202EC1">
      <w:pP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Multi-state model captures the entire disease progression pathway from baseline through sequential development of single, double, and triple CRM conditions.</w:t>
      </w:r>
    </w:p>
    <w:p w14:paraId="61CEA66B">
      <w:pP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Empty Model: adjusted for age, sex, ethnic, smoking, drinking, physical activity, cancer, residential area, family history of diabetes, family history of stroke, family history of heart disease, and history of hypertension.</w:t>
      </w:r>
    </w:p>
    <w:p w14:paraId="1171D162">
      <w:pP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Basic Obesity Model: Empty Model + weight, height, hip circumference, and WC.</w:t>
      </w:r>
    </w:p>
    <w:p w14:paraId="472BFE33">
      <w:pP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  <w:t>Basic Lipid Model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: Empty Model + TG, HDL-C, TC, and LDL-C.</w:t>
      </w:r>
    </w:p>
    <w:p w14:paraId="7237D6B8">
      <w:pP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Full Reference Model: Empty Model +all basic obesity and lipid measurements (weight, height, hip circumference, WC, TG, HDL-C, TC, and LDL-C).</w:t>
      </w:r>
    </w:p>
    <w:p w14:paraId="00248E75">
      <w:pP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  <w:t>Common Ratio Model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: Empty Model + BMI, TC to HDL-C ratio, and WHtR.</w:t>
      </w:r>
    </w:p>
    <w:p w14:paraId="0716E867">
      <w:pP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Proposed Model: Empty Model + AIP-BRI.</w:t>
      </w:r>
    </w:p>
    <w:p w14:paraId="3F49E190">
      <w:pPr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 xml:space="preserve">Abbreviations: CRM, 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GB" w:eastAsia="zh-CN"/>
        </w:rPr>
        <w:t>cardio-renal-metabolic</w:t>
      </w:r>
      <w:r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  <w:t>; CI, confidence interval; WC, waist circumference; TG, triglyceride; HDL-C, high-density lipoprotein cholesterol; TC, total cholesterol; LDL-C, low-density lipoprotein cholesterol; BMI, body mass index; WHtR, waist-to-height ratio; AIP, atherogenic index of plasma; BRI, body roundness index.</w:t>
      </w:r>
    </w:p>
    <w:p w14:paraId="541F5521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640DEC0">
      <w:pPr>
        <w:rPr>
          <w:rFonts w:hint="default" w:ascii="Times New Roman" w:hAnsi="Times New Roman" w:cs="Times New Roman"/>
          <w:sz w:val="24"/>
          <w:szCs w:val="24"/>
        </w:rPr>
      </w:pPr>
    </w:p>
    <w:p w14:paraId="5077204C">
      <w:pPr>
        <w:rPr>
          <w:rFonts w:hint="default" w:ascii="Times New Roman" w:hAnsi="Times New Roman" w:cs="Times New Roman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093B095">
      <w:pPr>
        <w:ind w:left="149" w:leftChars="-495" w:hanging="1188" w:hangingChars="495"/>
        <w:rPr>
          <w:rFonts w:hint="default" w:ascii="Times New Roman" w:hAnsi="Times New Roman" w:cs="Times New Roman"/>
          <w:sz w:val="24"/>
          <w:szCs w:val="24"/>
        </w:rPr>
      </w:pPr>
    </w:p>
    <w:p w14:paraId="3ADC3B20">
      <w:pPr>
        <w:ind w:left="147" w:leftChars="70" w:firstLine="69" w:firstLineChars="2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72405" cy="6678930"/>
            <wp:effectExtent l="0" t="0" r="10795" b="1270"/>
            <wp:docPr id="1" name="图片 1" descr="Figure S1.su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.sub1"/>
                    <pic:cNvPicPr>
                      <a:picLocks noChangeAspect="1"/>
                    </pic:cNvPicPr>
                  </pic:nvPicPr>
                  <pic:blipFill>
                    <a:blip r:embed="rId5"/>
                    <a:srcRect t="6785" b="649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67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9047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bookmarkStart w:id="9" w:name="_Toc2130"/>
      <w:bookmarkStart w:id="10" w:name="_Toc183881929"/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bookmarkStart w:id="11" w:name="_Hlk183424443"/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Association between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AIP-BRI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and </w:t>
      </w:r>
      <w:bookmarkEnd w:id="11"/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FCRM disease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in subgroup analyses.</w:t>
      </w:r>
      <w:bookmarkEnd w:id="9"/>
      <w:bookmarkEnd w:id="10"/>
    </w:p>
    <w:p w14:paraId="4C0FD92D"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kern w:val="44"/>
          <w:sz w:val="24"/>
          <w:szCs w:val="24"/>
        </w:rPr>
        <w:t xml:space="preserve">Abbreviations: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AIP, atherogenic index of plasma; BRI, body roundness index; FCRM, first cardio-renal-metabolic; HR hazard ratio, CI, confidence interval.</w:t>
      </w:r>
    </w:p>
    <w:p w14:paraId="7C0D30C6">
      <w:pPr>
        <w:jc w:val="left"/>
        <w:rPr>
          <w:rFonts w:ascii="Times New Roman" w:hAnsi="Times New Roman" w:eastAsia="宋体" w:cs="Times New Roman"/>
          <w:sz w:val="24"/>
        </w:rPr>
      </w:pPr>
    </w:p>
    <w:p w14:paraId="1F1F7094">
      <w:pPr>
        <w:ind w:left="149" w:leftChars="-495" w:hanging="1188" w:hangingChars="495"/>
        <w:rPr>
          <w:rFonts w:hint="default" w:ascii="Times New Roman" w:hAnsi="Times New Roman" w:cs="Times New Roman"/>
          <w:sz w:val="24"/>
          <w:szCs w:val="24"/>
        </w:rPr>
      </w:pPr>
    </w:p>
    <w:p w14:paraId="365D69BB">
      <w:pPr>
        <w:ind w:left="149" w:leftChars="-495" w:hanging="1188" w:hangingChars="495"/>
        <w:rPr>
          <w:rFonts w:hint="default" w:ascii="Times New Roman" w:hAnsi="Times New Roman" w:cs="Times New Roman"/>
          <w:sz w:val="24"/>
          <w:szCs w:val="24"/>
        </w:rPr>
      </w:pPr>
    </w:p>
    <w:p w14:paraId="0C62B972">
      <w:pPr>
        <w:ind w:left="149" w:leftChars="-495" w:hanging="1188" w:hangingChars="495"/>
        <w:rPr>
          <w:rFonts w:hint="default" w:ascii="Times New Roman" w:hAnsi="Times New Roman" w:cs="Times New Roman"/>
          <w:sz w:val="24"/>
          <w:szCs w:val="24"/>
        </w:rPr>
      </w:pPr>
    </w:p>
    <w:p w14:paraId="16C83C5B">
      <w:pPr>
        <w:ind w:left="149" w:leftChars="-495" w:hanging="1188" w:hangingChars="495"/>
        <w:rPr>
          <w:rFonts w:hint="default" w:ascii="Times New Roman" w:hAnsi="Times New Roman" w:cs="Times New Roman"/>
          <w:sz w:val="24"/>
          <w:szCs w:val="24"/>
        </w:rPr>
      </w:pPr>
    </w:p>
    <w:p w14:paraId="608E59C1">
      <w:pPr>
        <w:ind w:left="148" w:leftChars="0" w:hanging="148" w:hangingChars="62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9865" cy="6736715"/>
            <wp:effectExtent l="0" t="0" r="635" b="6985"/>
            <wp:docPr id="2" name="图片 2" descr="Figure S2.su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.sub2"/>
                    <pic:cNvPicPr>
                      <a:picLocks noChangeAspect="1"/>
                    </pic:cNvPicPr>
                  </pic:nvPicPr>
                  <pic:blipFill>
                    <a:blip r:embed="rId6"/>
                    <a:srcRect t="6646" b="610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73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CB7C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bookmarkStart w:id="12" w:name="_Toc10314"/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Association between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AIP-BRI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DCRM disease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in subgroup analyses.</w:t>
      </w:r>
      <w:bookmarkEnd w:id="12"/>
    </w:p>
    <w:p w14:paraId="082369AC"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kern w:val="44"/>
          <w:sz w:val="24"/>
          <w:szCs w:val="24"/>
        </w:rPr>
        <w:t xml:space="preserve">Abbreviations: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AIP, atherogenic index of plasma; BRI, body roundness index; DCRM, double cardio-renal-metabolic; HR hazard ratio, CI, confidence interval.</w:t>
      </w:r>
    </w:p>
    <w:p w14:paraId="6818D7F4">
      <w:pPr>
        <w:ind w:left="148" w:leftChars="0" w:hanging="148" w:hangingChars="62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3AB5E636">
      <w:pPr>
        <w:ind w:left="148" w:leftChars="0" w:hanging="148" w:hangingChars="62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6A71C1A6">
      <w:pPr>
        <w:ind w:left="148" w:leftChars="0" w:hanging="148" w:hangingChars="62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5644FAC">
      <w:pPr>
        <w:ind w:left="148" w:leftChars="0" w:hanging="148" w:hangingChars="62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71429C3D">
      <w:pPr>
        <w:ind w:left="148" w:leftChars="0" w:hanging="148" w:hangingChars="62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6B707F16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9865" cy="6499860"/>
            <wp:effectExtent l="0" t="0" r="635" b="2540"/>
            <wp:docPr id="3" name="图片 3" descr="Figure S3.su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.sub3"/>
                    <pic:cNvPicPr>
                      <a:picLocks noChangeAspect="1"/>
                    </pic:cNvPicPr>
                  </pic:nvPicPr>
                  <pic:blipFill>
                    <a:blip r:embed="rId7"/>
                    <a:srcRect t="7180" b="799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9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470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bookmarkStart w:id="13" w:name="_Toc30441"/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Association between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AIP-BRI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TCRM disease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in subgroup analyses.</w:t>
      </w:r>
      <w:bookmarkEnd w:id="13"/>
    </w:p>
    <w:p w14:paraId="6C140B4B"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kern w:val="44"/>
          <w:sz w:val="24"/>
          <w:szCs w:val="24"/>
        </w:rPr>
        <w:t xml:space="preserve">Abbreviations: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AIP, atherogenic index of plasma; BRI, body roundness index; TCRM, triple cardio-renal-metabolic; HR hazard ratio, CI, confidence interval.</w:t>
      </w:r>
    </w:p>
    <w:p w14:paraId="3D22CCDC">
      <w:pPr>
        <w:ind w:left="148" w:leftChars="0" w:hanging="148" w:hangingChars="62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0854BCB3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E85ACA7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06DE5895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6845AC1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6758289C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BCEFBAD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2E8104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="0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47335" cy="3760470"/>
            <wp:effectExtent l="0" t="0" r="12065" b="11430"/>
            <wp:docPr id="4" name="图片 4" descr="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OC"/>
                    <pic:cNvPicPr>
                      <a:picLocks noChangeAspect="1"/>
                    </pic:cNvPicPr>
                  </pic:nvPicPr>
                  <pic:blipFill>
                    <a:blip r:embed="rId8"/>
                    <a:srcRect l="1194" t="836" r="2351" b="8729"/>
                    <a:stretch>
                      <a:fillRect/>
                    </a:stretch>
                  </pic:blipFill>
                  <pic:spPr>
                    <a:xfrm>
                      <a:off x="0" y="0"/>
                      <a:ext cx="5347335" cy="376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DF57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bookmarkStart w:id="14" w:name="_Toc6052"/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Figure S4. ROC curve analysis of prediction models for CRM diseases incidence and progression.</w:t>
      </w:r>
      <w:bookmarkEnd w:id="14"/>
    </w:p>
    <w:p w14:paraId="00E76197">
      <w:pP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 xml:space="preserve">Transtion1: Baseline→FCRM diseases; Transition 2: FCRM disease→DCRM disease; Transition 3: DCRM disease→TCRM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disease</w:t>
      </w:r>
    </w:p>
    <w:p w14:paraId="5A5B444A">
      <w:pPr>
        <w:rPr>
          <w:rFonts w:hint="default" w:ascii="Times New Roman" w:hAnsi="Times New Roman" w:eastAsia="Times New Roman" w:cs="Times New Roman"/>
          <w:kern w:val="44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 xml:space="preserve">Empty Model: adjusted for </w:t>
      </w:r>
      <w:r>
        <w:rPr>
          <w:rFonts w:ascii="Times New Roman" w:hAnsi="Times New Roman" w:eastAsia="Times New Roman" w:cs="Times New Roman"/>
          <w:kern w:val="44"/>
          <w:sz w:val="24"/>
          <w:szCs w:val="24"/>
        </w:rPr>
        <w:t xml:space="preserve">age, sex, ethnic, smoking, drinking,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>physical activity</w:t>
      </w:r>
      <w:r>
        <w:rPr>
          <w:rFonts w:ascii="Times New Roman" w:hAnsi="Times New Roman" w:eastAsia="Times New Roman" w:cs="Times New Roman"/>
          <w:kern w:val="44"/>
          <w:sz w:val="24"/>
          <w:szCs w:val="24"/>
        </w:rPr>
        <w:t>, cancer, residential area, family history of diabetes, family history of stroke, family history of heart disease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 xml:space="preserve"> and history of </w:t>
      </w:r>
      <w:r>
        <w:rPr>
          <w:rFonts w:ascii="Times New Roman" w:hAnsi="Times New Roman" w:eastAsia="Times New Roman" w:cs="Times New Roman"/>
          <w:kern w:val="44"/>
          <w:sz w:val="24"/>
          <w:szCs w:val="24"/>
        </w:rPr>
        <w:t>hypertension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.</w:t>
      </w:r>
    </w:p>
    <w:p w14:paraId="2251FA44">
      <w:pPr>
        <w:rPr>
          <w:rFonts w:hint="default" w:ascii="Times New Roman" w:hAnsi="Times New Roman" w:eastAsia="Times New Roman" w:cs="Times New Roman"/>
          <w:kern w:val="44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Proposed Model: Empty Model + AIP-BRI.</w:t>
      </w:r>
    </w:p>
    <w:p w14:paraId="7A6D92E6">
      <w:pPr>
        <w:rPr>
          <w:rFonts w:hint="default" w:ascii="Times New Roman" w:hAnsi="Times New Roman" w:eastAsia="Times New Roman" w:cs="Times New Roman"/>
          <w:kern w:val="44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Full Reference Model: Empty Model +all basic obesity and lipid measurements (weight, height, hip circumference, WC, TG, HDL-C, TC, and LDL-C).</w:t>
      </w:r>
    </w:p>
    <w:p w14:paraId="4DD1C94B">
      <w:pPr>
        <w:rPr>
          <w:rFonts w:ascii="Times New Roman" w:hAnsi="Times New Roman" w:eastAsia="Times New Roman" w:cs="Times New Roman"/>
          <w:kern w:val="44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kern w:val="44"/>
          <w:sz w:val="24"/>
          <w:szCs w:val="24"/>
        </w:rPr>
        <w:t>Abbreviations</w:t>
      </w:r>
      <w:r>
        <w:rPr>
          <w:rFonts w:hint="eastAsia" w:ascii="Times New Roman" w:hAnsi="Times New Roman" w:eastAsia="宋体" w:cs="Times New Roman"/>
          <w:kern w:val="44"/>
          <w:sz w:val="24"/>
          <w:szCs w:val="24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>ROC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, r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>eceiver operating characteristic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 xml:space="preserve">FCRM, first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GB" w:eastAsia="zh-CN"/>
        </w:rPr>
        <w:t>cardio-renal-metabolic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 xml:space="preserve">; DCRM, double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GB" w:eastAsia="zh-CN"/>
        </w:rPr>
        <w:t>cardio-renal-metabolic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 xml:space="preserve">; TCRM, triple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GB" w:eastAsia="zh-CN"/>
        </w:rPr>
        <w:t>cardio-renal-metabolic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; WC, w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>aist circumference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; TG, t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>riglyceride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; HDL-C, h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>igh-density lipoprotein cholesterol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 xml:space="preserve">; TC, total cholesterol; LDL-C, low-density lipoprotein cholesterol; 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eastAsia="zh-CN"/>
        </w:rPr>
        <w:t>AIP, atherogenic index of plasma; BRI, body roundness index</w:t>
      </w:r>
      <w:r>
        <w:rPr>
          <w:rFonts w:hint="eastAsia" w:ascii="Times New Roman" w:hAnsi="Times New Roman" w:eastAsia="Times New Roman" w:cs="Times New Roman"/>
          <w:kern w:val="44"/>
          <w:sz w:val="24"/>
          <w:szCs w:val="24"/>
          <w:lang w:val="en-US" w:eastAsia="zh-CN"/>
        </w:rPr>
        <w:t>.</w:t>
      </w:r>
    </w:p>
    <w:p w14:paraId="5F796E4A">
      <w:pP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4101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43013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43013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33869"/>
    <w:rsid w:val="042F4508"/>
    <w:rsid w:val="05AD1B88"/>
    <w:rsid w:val="0633208D"/>
    <w:rsid w:val="07036F3E"/>
    <w:rsid w:val="08253C58"/>
    <w:rsid w:val="08461EBA"/>
    <w:rsid w:val="08F31FA8"/>
    <w:rsid w:val="08FF6B9F"/>
    <w:rsid w:val="0B3C4C39"/>
    <w:rsid w:val="0D7C256C"/>
    <w:rsid w:val="0DA41AC3"/>
    <w:rsid w:val="0DC932D7"/>
    <w:rsid w:val="0ECD6DF7"/>
    <w:rsid w:val="11BF511D"/>
    <w:rsid w:val="121F3C82"/>
    <w:rsid w:val="144731A8"/>
    <w:rsid w:val="15FA6724"/>
    <w:rsid w:val="170E3AE7"/>
    <w:rsid w:val="17EF3AE2"/>
    <w:rsid w:val="19B54A6A"/>
    <w:rsid w:val="1A4A39F2"/>
    <w:rsid w:val="1AD03EF7"/>
    <w:rsid w:val="1B76659A"/>
    <w:rsid w:val="1C125103"/>
    <w:rsid w:val="1D9037E8"/>
    <w:rsid w:val="1E3314F9"/>
    <w:rsid w:val="1F114ADE"/>
    <w:rsid w:val="209B208C"/>
    <w:rsid w:val="20A2627F"/>
    <w:rsid w:val="20B87907"/>
    <w:rsid w:val="247D49B5"/>
    <w:rsid w:val="283F1F87"/>
    <w:rsid w:val="2B5E0A5C"/>
    <w:rsid w:val="2BB77950"/>
    <w:rsid w:val="2BBC22DC"/>
    <w:rsid w:val="2D340315"/>
    <w:rsid w:val="2D406CBA"/>
    <w:rsid w:val="2E975000"/>
    <w:rsid w:val="2E9A689E"/>
    <w:rsid w:val="30513288"/>
    <w:rsid w:val="320D57E5"/>
    <w:rsid w:val="329C1DE9"/>
    <w:rsid w:val="332B3F69"/>
    <w:rsid w:val="33944547"/>
    <w:rsid w:val="33ED7470"/>
    <w:rsid w:val="37F76B0F"/>
    <w:rsid w:val="382E4D98"/>
    <w:rsid w:val="38F53377"/>
    <w:rsid w:val="396F7310"/>
    <w:rsid w:val="399F2A94"/>
    <w:rsid w:val="39A47DA1"/>
    <w:rsid w:val="3A1219DE"/>
    <w:rsid w:val="3AF47336"/>
    <w:rsid w:val="3C6F2B10"/>
    <w:rsid w:val="3D8B21D4"/>
    <w:rsid w:val="422531EA"/>
    <w:rsid w:val="423170C2"/>
    <w:rsid w:val="433E55F2"/>
    <w:rsid w:val="44316F05"/>
    <w:rsid w:val="450D7972"/>
    <w:rsid w:val="46434697"/>
    <w:rsid w:val="46607C32"/>
    <w:rsid w:val="46911EDD"/>
    <w:rsid w:val="47094169"/>
    <w:rsid w:val="47D67F9D"/>
    <w:rsid w:val="482C4B73"/>
    <w:rsid w:val="48FD1AAC"/>
    <w:rsid w:val="4B1742F3"/>
    <w:rsid w:val="4B3E36B9"/>
    <w:rsid w:val="4BCB40E3"/>
    <w:rsid w:val="554255C1"/>
    <w:rsid w:val="55E65283"/>
    <w:rsid w:val="56075D18"/>
    <w:rsid w:val="56660B60"/>
    <w:rsid w:val="575256B8"/>
    <w:rsid w:val="588D7208"/>
    <w:rsid w:val="59897866"/>
    <w:rsid w:val="5AEB4CB8"/>
    <w:rsid w:val="5C694B67"/>
    <w:rsid w:val="5DC10597"/>
    <w:rsid w:val="615C33BC"/>
    <w:rsid w:val="61C67CFC"/>
    <w:rsid w:val="61C96577"/>
    <w:rsid w:val="61DE2022"/>
    <w:rsid w:val="62A21B1D"/>
    <w:rsid w:val="63BC45E5"/>
    <w:rsid w:val="65AA089B"/>
    <w:rsid w:val="65DF37BF"/>
    <w:rsid w:val="69450296"/>
    <w:rsid w:val="6B482C03"/>
    <w:rsid w:val="6CE8240B"/>
    <w:rsid w:val="6D9E3785"/>
    <w:rsid w:val="6FBB39A3"/>
    <w:rsid w:val="70B07280"/>
    <w:rsid w:val="710B095A"/>
    <w:rsid w:val="711A2E68"/>
    <w:rsid w:val="71593BAB"/>
    <w:rsid w:val="72871D35"/>
    <w:rsid w:val="72F571CC"/>
    <w:rsid w:val="730438B3"/>
    <w:rsid w:val="749B3DA3"/>
    <w:rsid w:val="76333BBD"/>
    <w:rsid w:val="768A40CF"/>
    <w:rsid w:val="78760DAF"/>
    <w:rsid w:val="78B84031"/>
    <w:rsid w:val="79E3287F"/>
    <w:rsid w:val="7B473AF5"/>
    <w:rsid w:val="7B476A33"/>
    <w:rsid w:val="7B690757"/>
    <w:rsid w:val="7BAE0860"/>
    <w:rsid w:val="7D842159"/>
    <w:rsid w:val="7E08406E"/>
    <w:rsid w:val="7E3A69F0"/>
    <w:rsid w:val="7EE8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1747</Words>
  <Characters>11229</Characters>
  <Lines>0</Lines>
  <Paragraphs>0</Paragraphs>
  <TotalTime>0</TotalTime>
  <ScaleCrop>false</ScaleCrop>
  <LinksUpToDate>false</LinksUpToDate>
  <CharactersWithSpaces>12515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2025-08-09T02:00:00Z</dcterms:created>
  <dc:creator>11604</dc:creator>
  <cp:lastModifiedBy>小八</cp:lastModifiedBy>
  <dcterms:modified xsi:type="dcterms:W3CDTF">2025-10-19T16:37:38Z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KSOTemplateDocerSaveRecord">
    <vt:lpwstr>eyJoZGlkIjoiMzEwNTM5NzYwMDRjMzkwZTVkZjY2ODkwMGIxNGU0OTUiLCJ1c2VySWQiOiI2NjI2ODE2NzkifQ==</vt:lpwstr>
  </property>
  <property fmtid="{D5CDD505-2E9C-101B-9397-08002B2CF9AE}" pid="4" name="ICV">
    <vt:lpwstr>9617AE94AD394272B147EC384BEA61B5_12</vt:lpwstr>
  </property>
</Properties>
</file>