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E5F47" w14:textId="420F0699" w:rsidR="00F40CA5" w:rsidRPr="00C763EF" w:rsidRDefault="00F40CA5" w:rsidP="00F40CA5">
      <w:pPr>
        <w:spacing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</w:t>
      </w:r>
      <w:r w:rsidRPr="00C763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907CDE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C763E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763EF">
        <w:rPr>
          <w:rFonts w:ascii="Times New Roman" w:hAnsi="Times New Roman" w:cs="Times New Roman"/>
          <w:sz w:val="24"/>
          <w:szCs w:val="24"/>
          <w:lang w:val="en-US"/>
        </w:rPr>
        <w:t xml:space="preserve"> Summary of Certainty Assessment using GRADE pro for Nutrition and WASH Interventions on the Academic Performance of Students in Ethiopia (n = 19)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2"/>
        <w:gridCol w:w="570"/>
        <w:gridCol w:w="925"/>
        <w:gridCol w:w="836"/>
        <w:gridCol w:w="829"/>
        <w:gridCol w:w="800"/>
        <w:gridCol w:w="666"/>
        <w:gridCol w:w="866"/>
        <w:gridCol w:w="800"/>
        <w:gridCol w:w="637"/>
        <w:gridCol w:w="866"/>
        <w:gridCol w:w="733"/>
      </w:tblGrid>
      <w:tr w:rsidR="00F40CA5" w:rsidRPr="00C763EF" w14:paraId="7282C434" w14:textId="77777777" w:rsidTr="00793165">
        <w:tc>
          <w:tcPr>
            <w:tcW w:w="2913" w:type="pct"/>
            <w:gridSpan w:val="7"/>
            <w:hideMark/>
          </w:tcPr>
          <w:p w14:paraId="5969D2A0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Certainty assessment</w:t>
            </w:r>
          </w:p>
        </w:tc>
        <w:tc>
          <w:tcPr>
            <w:tcW w:w="2087" w:type="pct"/>
            <w:gridSpan w:val="5"/>
            <w:hideMark/>
          </w:tcPr>
          <w:p w14:paraId="4BC227EE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Summary of findings</w:t>
            </w:r>
          </w:p>
        </w:tc>
      </w:tr>
      <w:tr w:rsidR="00F40CA5" w:rsidRPr="00C763EF" w14:paraId="05EC2AD9" w14:textId="77777777" w:rsidTr="00793165">
        <w:tc>
          <w:tcPr>
            <w:tcW w:w="439" w:type="pct"/>
            <w:vMerge w:val="restart"/>
            <w:hideMark/>
          </w:tcPr>
          <w:p w14:paraId="1DADEA91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Participants</w:t>
            </w:r>
            <w:r w:rsidRPr="00C763EF">
              <w:rPr>
                <w:rFonts w:ascii="Times New Roman" w:hAnsi="Times New Roman" w:cs="Times New Roman"/>
                <w:color w:val="000000" w:themeColor="text1"/>
              </w:rPr>
              <w:br/>
              <w:t>(studies)</w:t>
            </w:r>
            <w:r w:rsidRPr="00C763EF">
              <w:rPr>
                <w:rFonts w:ascii="Times New Roman" w:hAnsi="Times New Roman" w:cs="Times New Roman"/>
                <w:color w:val="000000" w:themeColor="text1"/>
              </w:rPr>
              <w:br/>
              <w:t>Follow-up</w:t>
            </w:r>
          </w:p>
        </w:tc>
        <w:tc>
          <w:tcPr>
            <w:tcW w:w="306" w:type="pct"/>
            <w:vMerge w:val="restart"/>
            <w:hideMark/>
          </w:tcPr>
          <w:p w14:paraId="340C70E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Risk of bias</w:t>
            </w:r>
          </w:p>
        </w:tc>
        <w:tc>
          <w:tcPr>
            <w:tcW w:w="494" w:type="pct"/>
            <w:vMerge w:val="restart"/>
            <w:hideMark/>
          </w:tcPr>
          <w:p w14:paraId="5C54188C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Inconsistency</w:t>
            </w:r>
          </w:p>
        </w:tc>
        <w:tc>
          <w:tcPr>
            <w:tcW w:w="447" w:type="pct"/>
            <w:vMerge w:val="restart"/>
            <w:hideMark/>
          </w:tcPr>
          <w:p w14:paraId="213E896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Indirectness</w:t>
            </w:r>
          </w:p>
        </w:tc>
        <w:tc>
          <w:tcPr>
            <w:tcW w:w="443" w:type="pct"/>
            <w:vMerge w:val="restart"/>
            <w:hideMark/>
          </w:tcPr>
          <w:p w14:paraId="772A066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Imprecision</w:t>
            </w:r>
          </w:p>
        </w:tc>
        <w:tc>
          <w:tcPr>
            <w:tcW w:w="428" w:type="pct"/>
            <w:vMerge w:val="restart"/>
            <w:hideMark/>
          </w:tcPr>
          <w:p w14:paraId="2243F93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Publication bias</w:t>
            </w:r>
          </w:p>
        </w:tc>
        <w:tc>
          <w:tcPr>
            <w:tcW w:w="357" w:type="pct"/>
            <w:vMerge w:val="restart"/>
            <w:hideMark/>
          </w:tcPr>
          <w:p w14:paraId="24BD0A40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Overall certainty of evidence</w:t>
            </w:r>
          </w:p>
        </w:tc>
        <w:tc>
          <w:tcPr>
            <w:tcW w:w="891" w:type="pct"/>
            <w:gridSpan w:val="2"/>
            <w:hideMark/>
          </w:tcPr>
          <w:p w14:paraId="033F0D7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Study event rates (%)</w:t>
            </w:r>
          </w:p>
        </w:tc>
        <w:tc>
          <w:tcPr>
            <w:tcW w:w="342" w:type="pct"/>
            <w:vMerge w:val="restart"/>
            <w:hideMark/>
          </w:tcPr>
          <w:p w14:paraId="24F494B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Relative effect</w:t>
            </w:r>
            <w:r w:rsidRPr="00C763EF">
              <w:rPr>
                <w:rFonts w:ascii="Times New Roman" w:hAnsi="Times New Roman" w:cs="Times New Roman"/>
                <w:color w:val="000000" w:themeColor="text1"/>
              </w:rPr>
              <w:br/>
              <w:t>(95% CI)</w:t>
            </w:r>
          </w:p>
        </w:tc>
        <w:tc>
          <w:tcPr>
            <w:tcW w:w="855" w:type="pct"/>
            <w:gridSpan w:val="2"/>
            <w:hideMark/>
          </w:tcPr>
          <w:p w14:paraId="55FA7F22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Anticipated absolute effects</w:t>
            </w:r>
          </w:p>
        </w:tc>
      </w:tr>
      <w:tr w:rsidR="00F40CA5" w:rsidRPr="00C763EF" w14:paraId="1B8FC40B" w14:textId="77777777" w:rsidTr="00793165">
        <w:tc>
          <w:tcPr>
            <w:tcW w:w="439" w:type="pct"/>
            <w:vMerge/>
            <w:hideMark/>
          </w:tcPr>
          <w:p w14:paraId="5034851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306" w:type="pct"/>
            <w:vMerge/>
            <w:hideMark/>
          </w:tcPr>
          <w:p w14:paraId="09E2E7C0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494" w:type="pct"/>
            <w:vMerge/>
            <w:hideMark/>
          </w:tcPr>
          <w:p w14:paraId="60E17828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" w:type="pct"/>
            <w:vMerge/>
            <w:hideMark/>
          </w:tcPr>
          <w:p w14:paraId="44CB745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3" w:type="pct"/>
            <w:vMerge/>
            <w:hideMark/>
          </w:tcPr>
          <w:p w14:paraId="4C3B175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8" w:type="pct"/>
            <w:vMerge/>
            <w:hideMark/>
          </w:tcPr>
          <w:p w14:paraId="11FAD6AC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7" w:type="pct"/>
            <w:vMerge/>
            <w:hideMark/>
          </w:tcPr>
          <w:p w14:paraId="5F0A403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3" w:type="pct"/>
            <w:hideMark/>
          </w:tcPr>
          <w:p w14:paraId="274DDBD1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With Academic performance</w:t>
            </w:r>
          </w:p>
        </w:tc>
        <w:tc>
          <w:tcPr>
            <w:tcW w:w="428" w:type="pct"/>
            <w:hideMark/>
          </w:tcPr>
          <w:p w14:paraId="70F69AFE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 xml:space="preserve">With Nutrition or WASH Predictor variables </w:t>
            </w:r>
          </w:p>
        </w:tc>
        <w:tc>
          <w:tcPr>
            <w:tcW w:w="342" w:type="pct"/>
            <w:vMerge/>
            <w:hideMark/>
          </w:tcPr>
          <w:p w14:paraId="3FA4F9B6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3" w:type="pct"/>
            <w:hideMark/>
          </w:tcPr>
          <w:p w14:paraId="370C8346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>Risk with Academic performance</w:t>
            </w:r>
          </w:p>
        </w:tc>
        <w:tc>
          <w:tcPr>
            <w:tcW w:w="392" w:type="pct"/>
            <w:hideMark/>
          </w:tcPr>
          <w:p w14:paraId="7614EB32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hAnsi="Times New Roman" w:cs="Times New Roman"/>
                <w:color w:val="000000" w:themeColor="text1"/>
              </w:rPr>
            </w:pPr>
            <w:r w:rsidRPr="00C763EF">
              <w:rPr>
                <w:rFonts w:ascii="Times New Roman" w:hAnsi="Times New Roman" w:cs="Times New Roman"/>
                <w:color w:val="000000" w:themeColor="text1"/>
              </w:rPr>
              <w:t xml:space="preserve">Risk difference with Nutrition or WASH Predictor variables </w:t>
            </w:r>
          </w:p>
        </w:tc>
      </w:tr>
      <w:tr w:rsidR="00F40CA5" w:rsidRPr="00C763EF" w14:paraId="1664D282" w14:textId="77777777" w:rsidTr="00793165">
        <w:tc>
          <w:tcPr>
            <w:tcW w:w="5000" w:type="pct"/>
            <w:gridSpan w:val="12"/>
            <w:hideMark/>
          </w:tcPr>
          <w:p w14:paraId="75609C9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Style w:val="label"/>
                <w:rFonts w:ascii="Times New Roman" w:eastAsia="Times New Roman" w:hAnsi="Times New Roman" w:cs="Times New Roman"/>
                <w:sz w:val="20"/>
                <w:szCs w:val="20"/>
              </w:rPr>
              <w:t>New outcome (follow-up: range 1 months to 12 months; assessed with: Adjusted odd ratio)</w:t>
            </w:r>
          </w:p>
        </w:tc>
      </w:tr>
      <w:tr w:rsidR="00F40CA5" w:rsidRPr="00C763EF" w14:paraId="58AF4A45" w14:textId="77777777" w:rsidTr="00793165">
        <w:tc>
          <w:tcPr>
            <w:tcW w:w="439" w:type="pct"/>
            <w:vMerge w:val="restart"/>
            <w:hideMark/>
          </w:tcPr>
          <w:p w14:paraId="34EC83C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15474</w:t>
            </w:r>
            <w:r w:rsidRPr="00C763EF">
              <w:rPr>
                <w:rFonts w:ascii="Times New Roman" w:eastAsia="Times New Roman" w:hAnsi="Times New Roman" w:cs="Times New Roman"/>
              </w:rPr>
              <w:br/>
              <w:t xml:space="preserve">(15 non-randomised </w:t>
            </w:r>
            <w:proofErr w:type="gramStart"/>
            <w:r w:rsidRPr="00C763EF">
              <w:rPr>
                <w:rFonts w:ascii="Times New Roman" w:eastAsia="Times New Roman" w:hAnsi="Times New Roman" w:cs="Times New Roman"/>
              </w:rPr>
              <w:t>studies)</w:t>
            </w:r>
            <w:r w:rsidRPr="00C763EF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306" w:type="pct"/>
            <w:vMerge w:val="restart"/>
            <w:hideMark/>
          </w:tcPr>
          <w:p w14:paraId="7088CFE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not serious</w:t>
            </w:r>
          </w:p>
        </w:tc>
        <w:tc>
          <w:tcPr>
            <w:tcW w:w="494" w:type="pct"/>
            <w:vMerge w:val="restart"/>
            <w:hideMark/>
          </w:tcPr>
          <w:p w14:paraId="4B9D6E05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not serious</w:t>
            </w:r>
          </w:p>
        </w:tc>
        <w:tc>
          <w:tcPr>
            <w:tcW w:w="447" w:type="pct"/>
            <w:vMerge w:val="restart"/>
            <w:hideMark/>
          </w:tcPr>
          <w:p w14:paraId="7192953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not serious</w:t>
            </w:r>
          </w:p>
        </w:tc>
        <w:tc>
          <w:tcPr>
            <w:tcW w:w="443" w:type="pct"/>
            <w:vMerge w:val="restart"/>
            <w:hideMark/>
          </w:tcPr>
          <w:p w14:paraId="1F72A82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not serious</w:t>
            </w:r>
          </w:p>
        </w:tc>
        <w:tc>
          <w:tcPr>
            <w:tcW w:w="428" w:type="pct"/>
            <w:vMerge w:val="restart"/>
            <w:hideMark/>
          </w:tcPr>
          <w:p w14:paraId="0CA8FBB1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357" w:type="pct"/>
            <w:vMerge w:val="restart"/>
            <w:hideMark/>
          </w:tcPr>
          <w:p w14:paraId="49CC78E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⨁⨁⨁⨁</w:t>
            </w:r>
            <w:r w:rsidRPr="00C763EF">
              <w:rPr>
                <w:rFonts w:ascii="Times New Roman" w:eastAsia="Times New Roman" w:hAnsi="Times New Roman" w:cs="Times New Roman"/>
              </w:rPr>
              <w:br/>
            </w:r>
            <w:r w:rsidRPr="00C763EF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463" w:type="pct"/>
            <w:vMerge w:val="restart"/>
            <w:hideMark/>
          </w:tcPr>
          <w:p w14:paraId="4446702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4198/7836</w:t>
            </w:r>
          </w:p>
        </w:tc>
        <w:tc>
          <w:tcPr>
            <w:tcW w:w="428" w:type="pct"/>
            <w:vMerge w:val="restart"/>
            <w:hideMark/>
          </w:tcPr>
          <w:p w14:paraId="5D49AA9C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3638/7638</w:t>
            </w:r>
            <w:r w:rsidRPr="00C763EF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342" w:type="pct"/>
            <w:vMerge w:val="restart"/>
            <w:hideMark/>
          </w:tcPr>
          <w:p w14:paraId="6E231B1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Style w:val="block"/>
                <w:rFonts w:ascii="Times New Roman" w:eastAsia="Times New Roman" w:hAnsi="Times New Roman" w:cs="Times New Roman"/>
                <w:sz w:val="20"/>
                <w:szCs w:val="20"/>
              </w:rPr>
              <w:t>Rate ratio 2.17</w:t>
            </w:r>
            <w:r w:rsidRPr="00C763EF">
              <w:rPr>
                <w:rFonts w:ascii="Times New Roman" w:eastAsia="Times New Roman" w:hAnsi="Times New Roman" w:cs="Times New Roman"/>
              </w:rPr>
              <w:br/>
            </w:r>
            <w:r w:rsidRPr="00C763EF">
              <w:rPr>
                <w:rStyle w:val="cell"/>
                <w:rFonts w:ascii="Times New Roman" w:eastAsia="Times New Roman" w:hAnsi="Times New Roman" w:cs="Times New Roman"/>
                <w:sz w:val="20"/>
                <w:szCs w:val="20"/>
              </w:rPr>
              <w:t>(1.01 to 3.33)</w:t>
            </w:r>
          </w:p>
        </w:tc>
        <w:tc>
          <w:tcPr>
            <w:tcW w:w="855" w:type="pct"/>
            <w:gridSpan w:val="2"/>
            <w:hideMark/>
          </w:tcPr>
          <w:p w14:paraId="53D2CA7F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Study population</w:t>
            </w:r>
          </w:p>
        </w:tc>
      </w:tr>
      <w:tr w:rsidR="00F40CA5" w:rsidRPr="00C763EF" w14:paraId="3B6028F6" w14:textId="77777777" w:rsidTr="00793165">
        <w:tc>
          <w:tcPr>
            <w:tcW w:w="439" w:type="pct"/>
            <w:vMerge/>
            <w:hideMark/>
          </w:tcPr>
          <w:p w14:paraId="57C114A1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pct"/>
            <w:vMerge/>
            <w:hideMark/>
          </w:tcPr>
          <w:p w14:paraId="25413CF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vMerge/>
            <w:hideMark/>
          </w:tcPr>
          <w:p w14:paraId="52CD308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7" w:type="pct"/>
            <w:vMerge/>
            <w:hideMark/>
          </w:tcPr>
          <w:p w14:paraId="24CB0ECC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vMerge/>
            <w:hideMark/>
          </w:tcPr>
          <w:p w14:paraId="1D036F98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27DCD8A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vMerge/>
            <w:hideMark/>
          </w:tcPr>
          <w:p w14:paraId="5E6FA47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vMerge/>
            <w:hideMark/>
          </w:tcPr>
          <w:p w14:paraId="7C04DBAA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616C0DAE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pct"/>
            <w:vMerge/>
            <w:hideMark/>
          </w:tcPr>
          <w:p w14:paraId="0955AF0C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pct"/>
            <w:gridSpan w:val="2"/>
            <w:hideMark/>
          </w:tcPr>
          <w:p w14:paraId="372902E0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4198/7836</w:t>
            </w:r>
          </w:p>
        </w:tc>
      </w:tr>
      <w:tr w:rsidR="00F40CA5" w:rsidRPr="00C763EF" w14:paraId="72ACFC0C" w14:textId="77777777" w:rsidTr="00793165">
        <w:tc>
          <w:tcPr>
            <w:tcW w:w="439" w:type="pct"/>
            <w:vMerge/>
            <w:hideMark/>
          </w:tcPr>
          <w:p w14:paraId="73103A2F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pct"/>
            <w:vMerge/>
            <w:hideMark/>
          </w:tcPr>
          <w:p w14:paraId="50950E9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vMerge/>
            <w:hideMark/>
          </w:tcPr>
          <w:p w14:paraId="015D97E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7" w:type="pct"/>
            <w:vMerge/>
            <w:hideMark/>
          </w:tcPr>
          <w:p w14:paraId="7E98C1E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vMerge/>
            <w:hideMark/>
          </w:tcPr>
          <w:p w14:paraId="4554482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4D603E28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vMerge/>
            <w:hideMark/>
          </w:tcPr>
          <w:p w14:paraId="003D5D6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vMerge/>
            <w:hideMark/>
          </w:tcPr>
          <w:p w14:paraId="4D34D5DD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7EFD67E2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pct"/>
            <w:vMerge/>
            <w:hideMark/>
          </w:tcPr>
          <w:p w14:paraId="5A87473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pct"/>
            <w:gridSpan w:val="2"/>
            <w:hideMark/>
          </w:tcPr>
          <w:p w14:paraId="12C38AB5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Low</w:t>
            </w:r>
            <w:r>
              <w:rPr>
                <w:rFonts w:ascii="Times New Roman" w:eastAsia="Times New Roman" w:hAnsi="Times New Roman" w:cs="Times New Roman"/>
              </w:rPr>
              <w:t xml:space="preserve"> bias</w:t>
            </w:r>
          </w:p>
        </w:tc>
      </w:tr>
      <w:tr w:rsidR="00F40CA5" w:rsidRPr="00C763EF" w14:paraId="1887A51C" w14:textId="77777777" w:rsidTr="00793165">
        <w:tc>
          <w:tcPr>
            <w:tcW w:w="439" w:type="pct"/>
            <w:vMerge/>
            <w:hideMark/>
          </w:tcPr>
          <w:p w14:paraId="714E3E56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pct"/>
            <w:vMerge/>
            <w:hideMark/>
          </w:tcPr>
          <w:p w14:paraId="61BA4B52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vMerge/>
            <w:hideMark/>
          </w:tcPr>
          <w:p w14:paraId="42E88026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7" w:type="pct"/>
            <w:vMerge/>
            <w:hideMark/>
          </w:tcPr>
          <w:p w14:paraId="6C89193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vMerge/>
            <w:hideMark/>
          </w:tcPr>
          <w:p w14:paraId="6298D33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1BEB60B6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vMerge/>
            <w:hideMark/>
          </w:tcPr>
          <w:p w14:paraId="2FE9F265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vMerge/>
            <w:hideMark/>
          </w:tcPr>
          <w:p w14:paraId="3D04E316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7F888706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pct"/>
            <w:vMerge/>
            <w:hideMark/>
          </w:tcPr>
          <w:p w14:paraId="33B0EEB0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hideMark/>
          </w:tcPr>
          <w:p w14:paraId="25C19302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pct"/>
            <w:hideMark/>
          </w:tcPr>
          <w:p w14:paraId="0E3168A1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</w:tr>
      <w:tr w:rsidR="00F40CA5" w:rsidRPr="00C763EF" w14:paraId="744AD377" w14:textId="77777777" w:rsidTr="00793165">
        <w:tc>
          <w:tcPr>
            <w:tcW w:w="5000" w:type="pct"/>
            <w:gridSpan w:val="12"/>
            <w:hideMark/>
          </w:tcPr>
          <w:p w14:paraId="26D5D4A0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Style w:val="label"/>
                <w:rFonts w:ascii="Times New Roman" w:eastAsia="Times New Roman" w:hAnsi="Times New Roman" w:cs="Times New Roman"/>
                <w:sz w:val="20"/>
                <w:szCs w:val="20"/>
              </w:rPr>
              <w:t>New outcome (follow-up: range 1 months to 12 months; assessed with: score)</w:t>
            </w:r>
          </w:p>
        </w:tc>
      </w:tr>
      <w:tr w:rsidR="00F40CA5" w:rsidRPr="00C763EF" w14:paraId="2E4AE219" w14:textId="77777777" w:rsidTr="00793165">
        <w:tc>
          <w:tcPr>
            <w:tcW w:w="439" w:type="pct"/>
            <w:vMerge w:val="restart"/>
            <w:hideMark/>
          </w:tcPr>
          <w:p w14:paraId="759F782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3552</w:t>
            </w:r>
            <w:r w:rsidRPr="00C763EF">
              <w:rPr>
                <w:rFonts w:ascii="Times New Roman" w:eastAsia="Times New Roman" w:hAnsi="Times New Roman" w:cs="Times New Roman"/>
              </w:rPr>
              <w:br/>
              <w:t>(4 RCTs)</w:t>
            </w:r>
          </w:p>
        </w:tc>
        <w:tc>
          <w:tcPr>
            <w:tcW w:w="306" w:type="pct"/>
            <w:vMerge w:val="restart"/>
            <w:hideMark/>
          </w:tcPr>
          <w:p w14:paraId="01D1A786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not serious</w:t>
            </w:r>
          </w:p>
        </w:tc>
        <w:tc>
          <w:tcPr>
            <w:tcW w:w="494" w:type="pct"/>
            <w:vMerge w:val="restart"/>
            <w:hideMark/>
          </w:tcPr>
          <w:p w14:paraId="63145F1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not serious</w:t>
            </w:r>
          </w:p>
        </w:tc>
        <w:tc>
          <w:tcPr>
            <w:tcW w:w="447" w:type="pct"/>
            <w:vMerge w:val="restart"/>
            <w:hideMark/>
          </w:tcPr>
          <w:p w14:paraId="1F9039DE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not serious</w:t>
            </w:r>
          </w:p>
        </w:tc>
        <w:tc>
          <w:tcPr>
            <w:tcW w:w="443" w:type="pct"/>
            <w:vMerge w:val="restart"/>
            <w:hideMark/>
          </w:tcPr>
          <w:p w14:paraId="7B08BB95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not serious</w:t>
            </w:r>
          </w:p>
        </w:tc>
        <w:tc>
          <w:tcPr>
            <w:tcW w:w="428" w:type="pct"/>
            <w:vMerge w:val="restart"/>
            <w:hideMark/>
          </w:tcPr>
          <w:p w14:paraId="19113D5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357" w:type="pct"/>
            <w:vMerge w:val="restart"/>
            <w:hideMark/>
          </w:tcPr>
          <w:p w14:paraId="456AEFF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⨁⨁⨁⨁</w:t>
            </w:r>
            <w:r w:rsidRPr="00C763EF">
              <w:rPr>
                <w:rFonts w:ascii="Times New Roman" w:eastAsia="Times New Roman" w:hAnsi="Times New Roman" w:cs="Times New Roman"/>
              </w:rPr>
              <w:br/>
            </w:r>
            <w:r w:rsidRPr="00C763EF">
              <w:rPr>
                <w:rStyle w:val="quality-text"/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463" w:type="pct"/>
            <w:vMerge w:val="restart"/>
            <w:hideMark/>
          </w:tcPr>
          <w:p w14:paraId="3284F43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 xml:space="preserve">852/1776 (48.0%) </w:t>
            </w:r>
          </w:p>
        </w:tc>
        <w:tc>
          <w:tcPr>
            <w:tcW w:w="428" w:type="pct"/>
            <w:vMerge w:val="restart"/>
            <w:hideMark/>
          </w:tcPr>
          <w:p w14:paraId="319A4DEE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 xml:space="preserve">924/1776 (52.0%) </w:t>
            </w:r>
          </w:p>
        </w:tc>
        <w:tc>
          <w:tcPr>
            <w:tcW w:w="342" w:type="pct"/>
            <w:vMerge w:val="restart"/>
            <w:hideMark/>
          </w:tcPr>
          <w:p w14:paraId="07AC7CC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Style w:val="block"/>
                <w:rFonts w:ascii="Times New Roman" w:eastAsia="Times New Roman" w:hAnsi="Times New Roman" w:cs="Times New Roman"/>
                <w:sz w:val="20"/>
                <w:szCs w:val="20"/>
              </w:rPr>
              <w:t>OR 2.17</w:t>
            </w:r>
            <w:r w:rsidRPr="00C763EF">
              <w:rPr>
                <w:rFonts w:ascii="Times New Roman" w:eastAsia="Times New Roman" w:hAnsi="Times New Roman" w:cs="Times New Roman"/>
              </w:rPr>
              <w:br/>
            </w:r>
            <w:r w:rsidRPr="00C763EF">
              <w:rPr>
                <w:rStyle w:val="cell"/>
                <w:rFonts w:ascii="Times New Roman" w:eastAsia="Times New Roman" w:hAnsi="Times New Roman" w:cs="Times New Roman"/>
                <w:sz w:val="20"/>
                <w:szCs w:val="20"/>
              </w:rPr>
              <w:t>(1.01 to 3.33)</w:t>
            </w:r>
          </w:p>
        </w:tc>
        <w:tc>
          <w:tcPr>
            <w:tcW w:w="855" w:type="pct"/>
            <w:gridSpan w:val="2"/>
            <w:hideMark/>
          </w:tcPr>
          <w:p w14:paraId="7F3BA58C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Study population</w:t>
            </w:r>
          </w:p>
        </w:tc>
      </w:tr>
      <w:tr w:rsidR="00F40CA5" w:rsidRPr="00C763EF" w14:paraId="281ADF10" w14:textId="77777777" w:rsidTr="00793165">
        <w:tc>
          <w:tcPr>
            <w:tcW w:w="439" w:type="pct"/>
            <w:vMerge/>
            <w:hideMark/>
          </w:tcPr>
          <w:p w14:paraId="09D0A4D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pct"/>
            <w:vMerge/>
            <w:hideMark/>
          </w:tcPr>
          <w:p w14:paraId="245071B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vMerge/>
            <w:hideMark/>
          </w:tcPr>
          <w:p w14:paraId="3D2780BA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7" w:type="pct"/>
            <w:vMerge/>
            <w:hideMark/>
          </w:tcPr>
          <w:p w14:paraId="2F82341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vMerge/>
            <w:hideMark/>
          </w:tcPr>
          <w:p w14:paraId="31152C00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1445C715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vMerge/>
            <w:hideMark/>
          </w:tcPr>
          <w:p w14:paraId="53F32441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vMerge/>
            <w:hideMark/>
          </w:tcPr>
          <w:p w14:paraId="31C2B13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1515A8D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pct"/>
            <w:vMerge/>
            <w:hideMark/>
          </w:tcPr>
          <w:p w14:paraId="7AFBA888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hideMark/>
          </w:tcPr>
          <w:p w14:paraId="237D547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 xml:space="preserve">852/1776 (48.0%) </w:t>
            </w:r>
          </w:p>
        </w:tc>
        <w:tc>
          <w:tcPr>
            <w:tcW w:w="392" w:type="pct"/>
            <w:hideMark/>
          </w:tcPr>
          <w:p w14:paraId="1A1EBBE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187 more per 1,000</w:t>
            </w:r>
            <w:r w:rsidRPr="00C763EF">
              <w:rPr>
                <w:rFonts w:ascii="Times New Roman" w:eastAsia="Times New Roman" w:hAnsi="Times New Roman" w:cs="Times New Roman"/>
              </w:rPr>
              <w:br/>
              <w:t>(from 2 more to 275 more)</w:t>
            </w:r>
          </w:p>
        </w:tc>
      </w:tr>
      <w:tr w:rsidR="00F40CA5" w:rsidRPr="00C763EF" w14:paraId="3CD2BBD6" w14:textId="77777777" w:rsidTr="00793165">
        <w:tc>
          <w:tcPr>
            <w:tcW w:w="439" w:type="pct"/>
            <w:vMerge/>
            <w:hideMark/>
          </w:tcPr>
          <w:p w14:paraId="29EC3C5C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pct"/>
            <w:vMerge/>
            <w:hideMark/>
          </w:tcPr>
          <w:p w14:paraId="66D45D3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vMerge/>
            <w:hideMark/>
          </w:tcPr>
          <w:p w14:paraId="7C086E2D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7" w:type="pct"/>
            <w:vMerge/>
            <w:hideMark/>
          </w:tcPr>
          <w:p w14:paraId="6A77AFD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vMerge/>
            <w:hideMark/>
          </w:tcPr>
          <w:p w14:paraId="0CA13F0C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20FC597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vMerge/>
            <w:hideMark/>
          </w:tcPr>
          <w:p w14:paraId="0C012D95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vMerge/>
            <w:hideMark/>
          </w:tcPr>
          <w:p w14:paraId="243E7091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0A713070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pct"/>
            <w:vMerge/>
            <w:hideMark/>
          </w:tcPr>
          <w:p w14:paraId="335BF04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pct"/>
            <w:gridSpan w:val="2"/>
            <w:hideMark/>
          </w:tcPr>
          <w:p w14:paraId="691DF1D1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  <w:r w:rsidRPr="00C763EF">
              <w:rPr>
                <w:rFonts w:ascii="Times New Roman" w:eastAsia="Times New Roman" w:hAnsi="Times New Roman" w:cs="Times New Roman"/>
              </w:rPr>
              <w:t>Low</w:t>
            </w:r>
            <w:r>
              <w:rPr>
                <w:rFonts w:ascii="Times New Roman" w:eastAsia="Times New Roman" w:hAnsi="Times New Roman" w:cs="Times New Roman"/>
              </w:rPr>
              <w:t xml:space="preserve"> bias</w:t>
            </w:r>
          </w:p>
        </w:tc>
      </w:tr>
      <w:tr w:rsidR="00F40CA5" w:rsidRPr="00C763EF" w14:paraId="2B636519" w14:textId="77777777" w:rsidTr="00793165">
        <w:trPr>
          <w:trHeight w:val="20"/>
        </w:trPr>
        <w:tc>
          <w:tcPr>
            <w:tcW w:w="439" w:type="pct"/>
            <w:vMerge/>
            <w:hideMark/>
          </w:tcPr>
          <w:p w14:paraId="7B7CE392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pct"/>
            <w:vMerge/>
            <w:hideMark/>
          </w:tcPr>
          <w:p w14:paraId="01334849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vMerge/>
            <w:hideMark/>
          </w:tcPr>
          <w:p w14:paraId="2768CFE5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7" w:type="pct"/>
            <w:vMerge/>
            <w:hideMark/>
          </w:tcPr>
          <w:p w14:paraId="7AFC4095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vMerge/>
            <w:hideMark/>
          </w:tcPr>
          <w:p w14:paraId="3A4688E8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3EFEF663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vMerge/>
            <w:hideMark/>
          </w:tcPr>
          <w:p w14:paraId="563F0017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vMerge/>
            <w:hideMark/>
          </w:tcPr>
          <w:p w14:paraId="49F3612D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vMerge/>
            <w:hideMark/>
          </w:tcPr>
          <w:p w14:paraId="18E3C7A1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pct"/>
            <w:vMerge/>
            <w:hideMark/>
          </w:tcPr>
          <w:p w14:paraId="756E1B84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pct"/>
            <w:hideMark/>
          </w:tcPr>
          <w:p w14:paraId="1C22815B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" w:type="pct"/>
            <w:hideMark/>
          </w:tcPr>
          <w:p w14:paraId="72C930D6" w14:textId="77777777" w:rsidR="00F40CA5" w:rsidRPr="00C763EF" w:rsidRDefault="00F40CA5" w:rsidP="00793165">
            <w:pPr>
              <w:pStyle w:val="NoSpacing"/>
              <w:ind w:left="-39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F2A4487" w14:textId="77777777" w:rsidR="00F40CA5" w:rsidRDefault="00F40CA5" w:rsidP="00F40CA5">
      <w:pPr>
        <w:pStyle w:val="NormalWeb"/>
        <w:spacing w:before="0" w:beforeAutospacing="0" w:after="0" w:afterAutospacing="0"/>
        <w:rPr>
          <w:rFonts w:ascii="Verdana" w:eastAsiaTheme="minorEastAsia" w:hAnsi="Verdana"/>
          <w:color w:val="000000"/>
          <w:sz w:val="16"/>
          <w:szCs w:val="16"/>
          <w:lang w:val="en"/>
        </w:rPr>
      </w:pPr>
      <w:r>
        <w:rPr>
          <w:rFonts w:ascii="Verdana" w:hAnsi="Verdana"/>
          <w:b/>
          <w:bCs/>
          <w:color w:val="000000"/>
          <w:sz w:val="16"/>
          <w:szCs w:val="16"/>
          <w:lang w:val="en"/>
        </w:rPr>
        <w:t>CI:</w:t>
      </w:r>
      <w:r>
        <w:rPr>
          <w:rFonts w:ascii="Verdana" w:hAnsi="Verdana"/>
          <w:color w:val="000000"/>
          <w:sz w:val="16"/>
          <w:szCs w:val="16"/>
          <w:lang w:val="en"/>
        </w:rPr>
        <w:t xml:space="preserve"> confidence interval; </w:t>
      </w:r>
      <w:r>
        <w:rPr>
          <w:rFonts w:ascii="Verdana" w:hAnsi="Verdana"/>
          <w:b/>
          <w:bCs/>
          <w:color w:val="000000"/>
          <w:sz w:val="16"/>
          <w:szCs w:val="16"/>
          <w:lang w:val="en"/>
        </w:rPr>
        <w:t>OR:</w:t>
      </w:r>
      <w:r>
        <w:rPr>
          <w:rFonts w:ascii="Verdana" w:hAnsi="Verdana"/>
          <w:color w:val="000000"/>
          <w:sz w:val="16"/>
          <w:szCs w:val="16"/>
          <w:lang w:val="en"/>
        </w:rPr>
        <w:t xml:space="preserve"> odds ratio</w:t>
      </w:r>
    </w:p>
    <w:p w14:paraId="3393BDB8" w14:textId="77777777" w:rsidR="00F40CA5" w:rsidRDefault="00F40CA5" w:rsidP="00F40CA5">
      <w:pPr>
        <w:pStyle w:val="Heading4"/>
        <w:rPr>
          <w:rFonts w:ascii="Verdana" w:eastAsia="Times New Roman" w:hAnsi="Verdana"/>
          <w:color w:val="000000"/>
          <w:sz w:val="24"/>
          <w:szCs w:val="24"/>
          <w:lang w:val="en"/>
        </w:rPr>
      </w:pPr>
      <w:r>
        <w:rPr>
          <w:rFonts w:ascii="Verdana" w:eastAsia="Times New Roman" w:hAnsi="Verdana"/>
          <w:color w:val="000000"/>
          <w:lang w:val="en"/>
        </w:rPr>
        <w:t>Explanations</w:t>
      </w:r>
    </w:p>
    <w:p w14:paraId="45E20B0B" w14:textId="77777777" w:rsidR="00F40CA5" w:rsidRDefault="00F40CA5" w:rsidP="00F40CA5">
      <w:pPr>
        <w:pStyle w:val="ListParagraph"/>
        <w:numPr>
          <w:ilvl w:val="0"/>
          <w:numId w:val="1"/>
        </w:numPr>
        <w:spacing w:line="259" w:lineRule="auto"/>
        <w:rPr>
          <w:rFonts w:ascii="Verdana" w:eastAsia="Times New Roman" w:hAnsi="Verdana"/>
          <w:color w:val="000000"/>
          <w:sz w:val="16"/>
          <w:szCs w:val="16"/>
          <w:lang w:val="en"/>
        </w:rPr>
      </w:pPr>
      <w:r w:rsidRPr="000D59D8">
        <w:rPr>
          <w:rFonts w:ascii="Verdana" w:eastAsia="Times New Roman" w:hAnsi="Verdana"/>
          <w:color w:val="000000"/>
          <w:sz w:val="16"/>
          <w:szCs w:val="16"/>
          <w:lang w:val="en"/>
        </w:rPr>
        <w:t>Nutrition and WASH</w:t>
      </w:r>
    </w:p>
    <w:p w14:paraId="1BB98562" w14:textId="77777777" w:rsidR="00DB3DC0" w:rsidRDefault="00DB3DC0"/>
    <w:sectPr w:rsidR="00DB3DC0" w:rsidSect="00F95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E0E5D"/>
    <w:multiLevelType w:val="hybridMultilevel"/>
    <w:tmpl w:val="79761A02"/>
    <w:lvl w:ilvl="0" w:tplc="045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E0019" w:tentative="1">
      <w:start w:val="1"/>
      <w:numFmt w:val="lowerLetter"/>
      <w:lvlText w:val="%2."/>
      <w:lvlJc w:val="left"/>
      <w:pPr>
        <w:ind w:left="1440" w:hanging="360"/>
      </w:pPr>
    </w:lvl>
    <w:lvl w:ilvl="2" w:tplc="045E001B" w:tentative="1">
      <w:start w:val="1"/>
      <w:numFmt w:val="lowerRoman"/>
      <w:lvlText w:val="%3."/>
      <w:lvlJc w:val="right"/>
      <w:pPr>
        <w:ind w:left="2160" w:hanging="180"/>
      </w:pPr>
    </w:lvl>
    <w:lvl w:ilvl="3" w:tplc="045E000F" w:tentative="1">
      <w:start w:val="1"/>
      <w:numFmt w:val="decimal"/>
      <w:lvlText w:val="%4."/>
      <w:lvlJc w:val="left"/>
      <w:pPr>
        <w:ind w:left="2880" w:hanging="360"/>
      </w:pPr>
    </w:lvl>
    <w:lvl w:ilvl="4" w:tplc="045E0019" w:tentative="1">
      <w:start w:val="1"/>
      <w:numFmt w:val="lowerLetter"/>
      <w:lvlText w:val="%5."/>
      <w:lvlJc w:val="left"/>
      <w:pPr>
        <w:ind w:left="3600" w:hanging="360"/>
      </w:pPr>
    </w:lvl>
    <w:lvl w:ilvl="5" w:tplc="045E001B" w:tentative="1">
      <w:start w:val="1"/>
      <w:numFmt w:val="lowerRoman"/>
      <w:lvlText w:val="%6."/>
      <w:lvlJc w:val="right"/>
      <w:pPr>
        <w:ind w:left="4320" w:hanging="180"/>
      </w:pPr>
    </w:lvl>
    <w:lvl w:ilvl="6" w:tplc="045E000F" w:tentative="1">
      <w:start w:val="1"/>
      <w:numFmt w:val="decimal"/>
      <w:lvlText w:val="%7."/>
      <w:lvlJc w:val="left"/>
      <w:pPr>
        <w:ind w:left="5040" w:hanging="360"/>
      </w:pPr>
    </w:lvl>
    <w:lvl w:ilvl="7" w:tplc="045E0019" w:tentative="1">
      <w:start w:val="1"/>
      <w:numFmt w:val="lowerLetter"/>
      <w:lvlText w:val="%8."/>
      <w:lvlJc w:val="left"/>
      <w:pPr>
        <w:ind w:left="5760" w:hanging="360"/>
      </w:pPr>
    </w:lvl>
    <w:lvl w:ilvl="8" w:tplc="045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A5"/>
    <w:rsid w:val="002B4CAE"/>
    <w:rsid w:val="00676715"/>
    <w:rsid w:val="00907CDE"/>
    <w:rsid w:val="00DB3DC0"/>
    <w:rsid w:val="00F40CA5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44CC9"/>
  <w15:chartTrackingRefBased/>
  <w15:docId w15:val="{AA93C138-EE4C-4479-918B-E0806B94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am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CA5"/>
    <w:rPr>
      <w:rFonts w:eastAsiaTheme="minorEastAsia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C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F40CA5"/>
    <w:rPr>
      <w:rFonts w:asciiTheme="majorHAnsi" w:eastAsiaTheme="majorEastAsia" w:hAnsiTheme="majorHAnsi" w:cstheme="majorBidi"/>
      <w:i/>
      <w:iCs/>
      <w:color w:val="2F5496" w:themeColor="accent1" w:themeShade="BF"/>
      <w:lang w:val="en-AU"/>
    </w:rPr>
  </w:style>
  <w:style w:type="paragraph" w:styleId="NoSpacing">
    <w:name w:val="No Spacing"/>
    <w:uiPriority w:val="1"/>
    <w:qFormat/>
    <w:rsid w:val="00F40CA5"/>
    <w:pPr>
      <w:spacing w:after="0" w:line="240" w:lineRule="auto"/>
    </w:pPr>
    <w:rPr>
      <w:rFonts w:eastAsiaTheme="minorEastAsia"/>
      <w:lang w:val="en-AU"/>
    </w:rPr>
  </w:style>
  <w:style w:type="paragraph" w:styleId="ListParagraph">
    <w:name w:val="List Paragraph"/>
    <w:basedOn w:val="Normal"/>
    <w:uiPriority w:val="34"/>
    <w:qFormat/>
    <w:rsid w:val="00F40CA5"/>
    <w:pPr>
      <w:spacing w:line="256" w:lineRule="auto"/>
      <w:ind w:left="720"/>
      <w:contextualSpacing/>
    </w:pPr>
    <w:rPr>
      <w:rFonts w:eastAsiaTheme="minorHAnsi"/>
      <w:lang w:val="am-ET"/>
    </w:rPr>
  </w:style>
  <w:style w:type="paragraph" w:styleId="NormalWeb">
    <w:name w:val="Normal (Web)"/>
    <w:basedOn w:val="Normal"/>
    <w:uiPriority w:val="99"/>
    <w:unhideWhenUsed/>
    <w:rsid w:val="00F40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am-ET" w:eastAsia="am-ET"/>
    </w:rPr>
  </w:style>
  <w:style w:type="character" w:customStyle="1" w:styleId="label">
    <w:name w:val="label"/>
    <w:basedOn w:val="DefaultParagraphFont"/>
    <w:rsid w:val="00F40CA5"/>
  </w:style>
  <w:style w:type="character" w:customStyle="1" w:styleId="quality-sign">
    <w:name w:val="quality-sign"/>
    <w:basedOn w:val="DefaultParagraphFont"/>
    <w:rsid w:val="00F40CA5"/>
  </w:style>
  <w:style w:type="character" w:customStyle="1" w:styleId="quality-text">
    <w:name w:val="quality-text"/>
    <w:basedOn w:val="DefaultParagraphFont"/>
    <w:rsid w:val="00F40CA5"/>
  </w:style>
  <w:style w:type="character" w:customStyle="1" w:styleId="cell">
    <w:name w:val="cell"/>
    <w:basedOn w:val="DefaultParagraphFont"/>
    <w:rsid w:val="00F40CA5"/>
  </w:style>
  <w:style w:type="character" w:customStyle="1" w:styleId="block">
    <w:name w:val="block"/>
    <w:basedOn w:val="DefaultParagraphFont"/>
    <w:rsid w:val="00F40CA5"/>
  </w:style>
  <w:style w:type="table" w:styleId="TableGrid">
    <w:name w:val="Table Grid"/>
    <w:basedOn w:val="TableNormal"/>
    <w:uiPriority w:val="39"/>
    <w:rsid w:val="00F40CA5"/>
    <w:pPr>
      <w:spacing w:after="0" w:line="240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yimer mihretie</dc:creator>
  <cp:keywords/>
  <dc:description/>
  <cp:lastModifiedBy>yimer mihretie</cp:lastModifiedBy>
  <cp:revision>2</cp:revision>
  <dcterms:created xsi:type="dcterms:W3CDTF">2025-04-08T18:09:00Z</dcterms:created>
  <dcterms:modified xsi:type="dcterms:W3CDTF">2025-04-11T05:40:00Z</dcterms:modified>
</cp:coreProperties>
</file>