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E1E9F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ascii="Times New Roman" w:hAnsi="Times New Roman" w:cs="Times New Roman"/>
          <w:b/>
          <w:bCs/>
          <w:kern w:val="0"/>
          <w:sz w:val="30"/>
          <w:szCs w:val="30"/>
          <w:lang w:val="en-CA"/>
        </w:rPr>
      </w:pPr>
      <w:r>
        <w:rPr>
          <w:rFonts w:ascii="Times New Roman" w:hAnsi="Times New Roman" w:cs="Times New Roman"/>
          <w:b/>
          <w:bCs/>
          <w:kern w:val="0"/>
          <w:sz w:val="30"/>
          <w:szCs w:val="30"/>
          <w:lang w:val="en-CA"/>
        </w:rPr>
        <w:t>Supplementary materials</w:t>
      </w:r>
    </w:p>
    <w:p w14:paraId="60564CE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00" w:themeColor="text1"/>
          <w:sz w:val="24"/>
          <w:szCs w:val="24"/>
          <w14:textFill>
            <w14:solidFill>
              <w14:schemeClr w14:val="tx1"/>
            </w14:solidFill>
          </w14:textFill>
        </w:rPr>
      </w:pPr>
      <w:bookmarkStart w:id="0" w:name="OLE_LINK9"/>
      <w:bookmarkStart w:id="1" w:name="OLE_LINK10"/>
      <w:r>
        <w:rPr>
          <w:rFonts w:hint="default" w:ascii="Times New Roman" w:hAnsi="Times New Roman" w:cs="Times New Roman"/>
          <w:b/>
          <w:color w:val="000000" w:themeColor="text1"/>
          <w:sz w:val="24"/>
          <w:szCs w:val="24"/>
          <w14:textFill>
            <w14:solidFill>
              <w14:schemeClr w14:val="tx1"/>
            </w14:solidFill>
          </w14:textFill>
        </w:rPr>
        <w:t>Relative Risk and DALYs Assessment of Indoor Air Pollutants in Residential Buildings - Taking Dalian as An Example</w:t>
      </w:r>
    </w:p>
    <w:bookmarkEnd w:id="0"/>
    <w:bookmarkEnd w:id="1"/>
    <w:p w14:paraId="4C234B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6690" cy="1676400"/>
            <wp:effectExtent l="0" t="0" r="6350" b="0"/>
            <wp:docPr id="1" name="图片 1" descr="Temp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emperature"/>
                    <pic:cNvPicPr>
                      <a:picLocks noChangeAspect="1"/>
                    </pic:cNvPicPr>
                  </pic:nvPicPr>
                  <pic:blipFill>
                    <a:blip r:embed="rId4"/>
                    <a:stretch>
                      <a:fillRect/>
                    </a:stretch>
                  </pic:blipFill>
                  <pic:spPr>
                    <a:xfrm>
                      <a:off x="0" y="0"/>
                      <a:ext cx="5266690" cy="1676400"/>
                    </a:xfrm>
                    <a:prstGeom prst="rect">
                      <a:avLst/>
                    </a:prstGeom>
                  </pic:spPr>
                </pic:pic>
              </a:graphicData>
            </a:graphic>
          </wp:inline>
        </w:drawing>
      </w:r>
    </w:p>
    <w:p w14:paraId="76765E85">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T</w:t>
      </w:r>
      <w:r>
        <w:rPr>
          <w:rFonts w:hint="default" w:ascii="Times New Roman" w:hAnsi="Times New Roman" w:cs="Times New Roman" w:eastAsiaTheme="minorEastAsia"/>
          <w:sz w:val="21"/>
          <w:szCs w:val="21"/>
          <w:lang w:val="en-US" w:eastAsia="zh-CN"/>
        </w:rPr>
        <w:t>emperature</w:t>
      </w:r>
    </w:p>
    <w:p w14:paraId="7EEABB8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58435" cy="1708785"/>
            <wp:effectExtent l="0" t="0" r="14605" b="13335"/>
            <wp:docPr id="2" name="图片 2" descr="Relative humid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elative humidity"/>
                    <pic:cNvPicPr>
                      <a:picLocks noChangeAspect="1"/>
                    </pic:cNvPicPr>
                  </pic:nvPicPr>
                  <pic:blipFill>
                    <a:blip r:embed="rId5"/>
                    <a:stretch>
                      <a:fillRect/>
                    </a:stretch>
                  </pic:blipFill>
                  <pic:spPr>
                    <a:xfrm>
                      <a:off x="0" y="0"/>
                      <a:ext cx="5258435" cy="1708785"/>
                    </a:xfrm>
                    <a:prstGeom prst="rect">
                      <a:avLst/>
                    </a:prstGeom>
                  </pic:spPr>
                </pic:pic>
              </a:graphicData>
            </a:graphic>
          </wp:inline>
        </w:drawing>
      </w:r>
    </w:p>
    <w:p w14:paraId="501FC0DC">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Relative humidity</w:t>
      </w:r>
    </w:p>
    <w:p w14:paraId="4D24F6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2245" cy="1670050"/>
            <wp:effectExtent l="0" t="0" r="10795" b="6350"/>
            <wp:docPr id="3" name="图片 3" descr="PM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PM2.5"/>
                    <pic:cNvPicPr>
                      <a:picLocks noChangeAspect="1"/>
                    </pic:cNvPicPr>
                  </pic:nvPicPr>
                  <pic:blipFill>
                    <a:blip r:embed="rId6"/>
                    <a:stretch>
                      <a:fillRect/>
                    </a:stretch>
                  </pic:blipFill>
                  <pic:spPr>
                    <a:xfrm>
                      <a:off x="0" y="0"/>
                      <a:ext cx="5262245" cy="1670050"/>
                    </a:xfrm>
                    <a:prstGeom prst="rect">
                      <a:avLst/>
                    </a:prstGeom>
                  </pic:spPr>
                </pic:pic>
              </a:graphicData>
            </a:graphic>
          </wp:inline>
        </w:drawing>
      </w:r>
    </w:p>
    <w:p w14:paraId="7A8CCE5C">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PM</w:t>
      </w:r>
      <w:r>
        <w:rPr>
          <w:rFonts w:hint="eastAsia" w:ascii="Times New Roman" w:hAnsi="Times New Roman" w:cs="Times New Roman"/>
          <w:sz w:val="21"/>
          <w:szCs w:val="21"/>
          <w:vertAlign w:val="subscript"/>
          <w:lang w:val="en-US" w:eastAsia="zh-CN"/>
        </w:rPr>
        <w:t>2.5</w:t>
      </w:r>
    </w:p>
    <w:p w14:paraId="7DA7166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7325" cy="1680845"/>
            <wp:effectExtent l="0" t="0" r="5715" b="10795"/>
            <wp:docPr id="4" name="图片 4" descr="P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PM10"/>
                    <pic:cNvPicPr>
                      <a:picLocks noChangeAspect="1"/>
                    </pic:cNvPicPr>
                  </pic:nvPicPr>
                  <pic:blipFill>
                    <a:blip r:embed="rId7"/>
                    <a:stretch>
                      <a:fillRect/>
                    </a:stretch>
                  </pic:blipFill>
                  <pic:spPr>
                    <a:xfrm>
                      <a:off x="0" y="0"/>
                      <a:ext cx="5267325" cy="1680845"/>
                    </a:xfrm>
                    <a:prstGeom prst="rect">
                      <a:avLst/>
                    </a:prstGeom>
                  </pic:spPr>
                </pic:pic>
              </a:graphicData>
            </a:graphic>
          </wp:inline>
        </w:drawing>
      </w:r>
    </w:p>
    <w:p w14:paraId="4B6FE4B2">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PM</w:t>
      </w:r>
      <w:r>
        <w:rPr>
          <w:rFonts w:hint="eastAsia" w:ascii="Times New Roman" w:hAnsi="Times New Roman" w:cs="Times New Roman"/>
          <w:sz w:val="21"/>
          <w:szCs w:val="21"/>
          <w:vertAlign w:val="subscript"/>
          <w:lang w:val="en-US" w:eastAsia="zh-CN"/>
        </w:rPr>
        <w:t>10</w:t>
      </w:r>
    </w:p>
    <w:p w14:paraId="31381BF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61610" cy="1650365"/>
            <wp:effectExtent l="0" t="0" r="11430" b="10795"/>
            <wp:docPr id="5" name="图片 5" descr="S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O2"/>
                    <pic:cNvPicPr>
                      <a:picLocks noChangeAspect="1"/>
                    </pic:cNvPicPr>
                  </pic:nvPicPr>
                  <pic:blipFill>
                    <a:blip r:embed="rId8"/>
                    <a:stretch>
                      <a:fillRect/>
                    </a:stretch>
                  </pic:blipFill>
                  <pic:spPr>
                    <a:xfrm>
                      <a:off x="0" y="0"/>
                      <a:ext cx="5261610" cy="1650365"/>
                    </a:xfrm>
                    <a:prstGeom prst="rect">
                      <a:avLst/>
                    </a:prstGeom>
                  </pic:spPr>
                </pic:pic>
              </a:graphicData>
            </a:graphic>
          </wp:inline>
        </w:drawing>
      </w:r>
    </w:p>
    <w:p w14:paraId="226FAAA5">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SO</w:t>
      </w:r>
      <w:r>
        <w:rPr>
          <w:rFonts w:hint="eastAsia" w:ascii="Times New Roman" w:hAnsi="Times New Roman" w:cs="Times New Roman"/>
          <w:sz w:val="21"/>
          <w:szCs w:val="21"/>
          <w:vertAlign w:val="subscript"/>
          <w:lang w:val="en-US" w:eastAsia="zh-CN"/>
        </w:rPr>
        <w:t>2</w:t>
      </w:r>
    </w:p>
    <w:p w14:paraId="4DC091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57800" cy="1696085"/>
            <wp:effectExtent l="0" t="0" r="0" b="10795"/>
            <wp:docPr id="6" name="图片 6" descr="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NO2"/>
                    <pic:cNvPicPr>
                      <a:picLocks noChangeAspect="1"/>
                    </pic:cNvPicPr>
                  </pic:nvPicPr>
                  <pic:blipFill>
                    <a:blip r:embed="rId9"/>
                    <a:stretch>
                      <a:fillRect/>
                    </a:stretch>
                  </pic:blipFill>
                  <pic:spPr>
                    <a:xfrm>
                      <a:off x="0" y="0"/>
                      <a:ext cx="5257800" cy="1696085"/>
                    </a:xfrm>
                    <a:prstGeom prst="rect">
                      <a:avLst/>
                    </a:prstGeom>
                  </pic:spPr>
                </pic:pic>
              </a:graphicData>
            </a:graphic>
          </wp:inline>
        </w:drawing>
      </w:r>
    </w:p>
    <w:p w14:paraId="7735F775">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NO</w:t>
      </w:r>
      <w:r>
        <w:rPr>
          <w:rFonts w:hint="eastAsia" w:ascii="Times New Roman" w:hAnsi="Times New Roman" w:cs="Times New Roman"/>
          <w:sz w:val="21"/>
          <w:szCs w:val="21"/>
          <w:vertAlign w:val="subscript"/>
          <w:lang w:val="en-US" w:eastAsia="zh-CN"/>
        </w:rPr>
        <w:t>2</w:t>
      </w:r>
    </w:p>
    <w:p w14:paraId="735B9AE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5256530" cy="1678940"/>
            <wp:effectExtent l="0" t="0" r="1270" b="12700"/>
            <wp:docPr id="7" name="图片 7" desc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O"/>
                    <pic:cNvPicPr>
                      <a:picLocks noChangeAspect="1"/>
                    </pic:cNvPicPr>
                  </pic:nvPicPr>
                  <pic:blipFill>
                    <a:blip r:embed="rId10"/>
                    <a:stretch>
                      <a:fillRect/>
                    </a:stretch>
                  </pic:blipFill>
                  <pic:spPr>
                    <a:xfrm>
                      <a:off x="0" y="0"/>
                      <a:ext cx="5256530" cy="1678940"/>
                    </a:xfrm>
                    <a:prstGeom prst="rect">
                      <a:avLst/>
                    </a:prstGeom>
                  </pic:spPr>
                </pic:pic>
              </a:graphicData>
            </a:graphic>
          </wp:inline>
        </w:drawing>
      </w:r>
    </w:p>
    <w:p w14:paraId="304F0FA0">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eastAsiaTheme="minorEastAsia"/>
          <w:sz w:val="21"/>
          <w:szCs w:val="21"/>
          <w:lang w:val="en-US" w:eastAsia="zh-CN"/>
        </w:rPr>
      </w:pPr>
      <w:r>
        <w:rPr>
          <w:rFonts w:hint="eastAsia" w:ascii="Times New Roman" w:hAnsi="Times New Roman" w:cs="Times New Roman"/>
          <w:sz w:val="21"/>
          <w:szCs w:val="21"/>
          <w:lang w:val="en-US" w:eastAsia="zh-CN"/>
        </w:rPr>
        <w:t>CO</w:t>
      </w:r>
    </w:p>
    <w:p w14:paraId="096AD349">
      <w:pPr>
        <w:keepNext w:val="0"/>
        <w:keepLines w:val="0"/>
        <w:pageBreakBefore w:val="0"/>
        <w:widowControl w:val="0"/>
        <w:kinsoku/>
        <w:wordWrap/>
        <w:overflowPunct/>
        <w:topLinePunct w:val="0"/>
        <w:autoSpaceDE/>
        <w:autoSpaceDN/>
        <w:bidi w:val="0"/>
        <w:adjustRightInd/>
        <w:snapToGrid/>
        <w:spacing w:before="60" w:after="60" w:line="240" w:lineRule="auto"/>
        <w:ind w:firstLine="0" w:firstLineChars="0"/>
        <w:jc w:val="center"/>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Fig. S1 Boxplots of monthly distributions of key indoor parameters (temperature, humidity, and air pollutants)</w:t>
      </w:r>
    </w:p>
    <w:p w14:paraId="64CA04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sz w:val="24"/>
          <w:szCs w:val="24"/>
          <w:lang w:val="en-US" w:eastAsia="zh-CN"/>
        </w:rPr>
      </w:pPr>
    </w:p>
    <w:p w14:paraId="5942A020">
      <w:pPr>
        <w:keepNext w:val="0"/>
        <w:keepLines w:val="0"/>
        <w:pageBreakBefore/>
        <w:widowControl w:val="0"/>
        <w:kinsoku/>
        <w:wordWrap/>
        <w:overflowPunct/>
        <w:topLinePunct w:val="0"/>
        <w:autoSpaceDE/>
        <w:autoSpaceDN/>
        <w:bidi w:val="0"/>
        <w:adjustRightInd/>
        <w:snapToGrid/>
        <w:spacing w:before="60" w:after="60" w:line="240" w:lineRule="auto"/>
        <w:ind w:firstLine="0" w:firstLineChars="0"/>
        <w:jc w:val="center"/>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S1 Descriptive statistics of indoor air pollutant concentrations and meteorological parameters across the study area</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2"/>
        <w:gridCol w:w="2260"/>
        <w:gridCol w:w="2310"/>
        <w:gridCol w:w="2310"/>
      </w:tblGrid>
      <w:tr w14:paraId="7A1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single" w:color="000000" w:sz="12" w:space="0"/>
              <w:left w:val="nil"/>
              <w:bottom w:val="single" w:color="000000" w:sz="4" w:space="0"/>
              <w:right w:val="nil"/>
              <w:tl2br w:val="nil"/>
            </w:tcBorders>
            <w:shd w:val="clear" w:color="auto" w:fill="FFFFFF"/>
            <w:vAlign w:val="center"/>
          </w:tcPr>
          <w:p w14:paraId="4FA21BBD">
            <w:pPr>
              <w:keepNext w:val="0"/>
              <w:keepLines/>
              <w:pageBreakBefore w:val="0"/>
              <w:widowControl/>
              <w:suppressLineNumbers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default" w:ascii="Times New Roman" w:hAnsi="Times New Roman" w:eastAsia="Segoe UI" w:cs="Times New Roman"/>
                <w:b w:val="0"/>
                <w:i w:val="0"/>
                <w:iCs w:val="0"/>
                <w:caps w:val="0"/>
                <w:color w:val="000000"/>
                <w:spacing w:val="0"/>
                <w:kern w:val="0"/>
                <w:sz w:val="21"/>
                <w:szCs w:val="21"/>
                <w:lang w:val="en-US" w:eastAsia="zh-CN" w:bidi="ar"/>
              </w:rPr>
              <w:t>Parameter</w:t>
            </w:r>
          </w:p>
        </w:tc>
        <w:tc>
          <w:tcPr>
            <w:tcW w:w="2260" w:type="dxa"/>
            <w:tcBorders>
              <w:top w:val="single" w:color="000000" w:sz="12" w:space="0"/>
              <w:left w:val="nil"/>
              <w:bottom w:val="single" w:color="000000" w:sz="4" w:space="0"/>
              <w:right w:val="nil"/>
            </w:tcBorders>
            <w:shd w:val="clear" w:color="auto" w:fill="FFFFFF"/>
            <w:vAlign w:val="center"/>
          </w:tcPr>
          <w:p w14:paraId="501973B4">
            <w:pPr>
              <w:keepNext w:val="0"/>
              <w:keepLines/>
              <w:pageBreakBefore w:val="0"/>
              <w:widowControl/>
              <w:suppressLineNumbers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default" w:ascii="Times New Roman" w:hAnsi="Times New Roman" w:eastAsia="Segoe UI" w:cs="Times New Roman"/>
                <w:b w:val="0"/>
                <w:i w:val="0"/>
                <w:iCs w:val="0"/>
                <w:caps w:val="0"/>
                <w:color w:val="000000"/>
                <w:spacing w:val="0"/>
                <w:kern w:val="0"/>
                <w:sz w:val="21"/>
                <w:szCs w:val="21"/>
                <w:lang w:val="en-US" w:eastAsia="zh-CN" w:bidi="ar"/>
              </w:rPr>
              <w:t xml:space="preserve">Overall </w:t>
            </w:r>
            <w:r>
              <w:rPr>
                <w:rFonts w:hint="eastAsia" w:ascii="Times New Roman" w:hAnsi="Times New Roman" w:eastAsia="Segoe UI" w:cs="Times New Roman"/>
                <w:b w:val="0"/>
                <w:i w:val="0"/>
                <w:iCs w:val="0"/>
                <w:caps w:val="0"/>
                <w:color w:val="000000"/>
                <w:spacing w:val="0"/>
                <w:kern w:val="0"/>
                <w:sz w:val="21"/>
                <w:szCs w:val="21"/>
                <w:lang w:val="en-US" w:eastAsia="zh-CN" w:bidi="ar"/>
              </w:rPr>
              <w:t>m</w:t>
            </w:r>
            <w:r>
              <w:rPr>
                <w:rFonts w:hint="default" w:ascii="Times New Roman" w:hAnsi="Times New Roman" w:eastAsia="Segoe UI" w:cs="Times New Roman"/>
                <w:b w:val="0"/>
                <w:i w:val="0"/>
                <w:iCs w:val="0"/>
                <w:caps w:val="0"/>
                <w:color w:val="000000"/>
                <w:spacing w:val="0"/>
                <w:kern w:val="0"/>
                <w:sz w:val="21"/>
                <w:szCs w:val="21"/>
                <w:lang w:val="en-US" w:eastAsia="zh-CN" w:bidi="ar"/>
              </w:rPr>
              <w:t>ean (95% CI)</w:t>
            </w:r>
          </w:p>
        </w:tc>
        <w:tc>
          <w:tcPr>
            <w:tcW w:w="2310" w:type="dxa"/>
            <w:tcBorders>
              <w:top w:val="single" w:color="000000" w:sz="12" w:space="0"/>
              <w:left w:val="nil"/>
              <w:bottom w:val="single" w:color="000000" w:sz="4" w:space="0"/>
              <w:right w:val="nil"/>
            </w:tcBorders>
            <w:shd w:val="clear" w:color="auto" w:fill="FFFFFF"/>
            <w:vAlign w:val="center"/>
          </w:tcPr>
          <w:p w14:paraId="64C3DD0F">
            <w:pPr>
              <w:keepNext w:val="0"/>
              <w:keepLines/>
              <w:pageBreakBefore w:val="0"/>
              <w:widowControl/>
              <w:suppressLineNumbers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default" w:ascii="Times New Roman" w:hAnsi="Times New Roman" w:eastAsia="Segoe UI" w:cs="Times New Roman"/>
                <w:b w:val="0"/>
                <w:i w:val="0"/>
                <w:iCs w:val="0"/>
                <w:caps w:val="0"/>
                <w:color w:val="000000"/>
                <w:spacing w:val="0"/>
                <w:kern w:val="0"/>
                <w:sz w:val="21"/>
                <w:szCs w:val="21"/>
                <w:lang w:val="en-US" w:eastAsia="zh-CN" w:bidi="ar"/>
              </w:rPr>
              <w:t xml:space="preserve">Urban </w:t>
            </w:r>
            <w:r>
              <w:rPr>
                <w:rFonts w:hint="eastAsia" w:ascii="Times New Roman" w:hAnsi="Times New Roman" w:eastAsia="Segoe UI" w:cs="Times New Roman"/>
                <w:b w:val="0"/>
                <w:i w:val="0"/>
                <w:iCs w:val="0"/>
                <w:caps w:val="0"/>
                <w:color w:val="000000"/>
                <w:spacing w:val="0"/>
                <w:kern w:val="0"/>
                <w:sz w:val="21"/>
                <w:szCs w:val="21"/>
                <w:lang w:val="en-US" w:eastAsia="zh-CN" w:bidi="ar"/>
              </w:rPr>
              <w:t>m</w:t>
            </w:r>
            <w:r>
              <w:rPr>
                <w:rFonts w:hint="default" w:ascii="Times New Roman" w:hAnsi="Times New Roman" w:eastAsia="Segoe UI" w:cs="Times New Roman"/>
                <w:b w:val="0"/>
                <w:i w:val="0"/>
                <w:iCs w:val="0"/>
                <w:caps w:val="0"/>
                <w:color w:val="000000"/>
                <w:spacing w:val="0"/>
                <w:kern w:val="0"/>
                <w:sz w:val="21"/>
                <w:szCs w:val="21"/>
                <w:lang w:val="en-US" w:eastAsia="zh-CN" w:bidi="ar"/>
              </w:rPr>
              <w:t>ean (95% CI)</w:t>
            </w:r>
          </w:p>
        </w:tc>
        <w:tc>
          <w:tcPr>
            <w:tcW w:w="2310" w:type="dxa"/>
            <w:tcBorders>
              <w:top w:val="single" w:color="000000" w:sz="12" w:space="0"/>
              <w:left w:val="nil"/>
              <w:bottom w:val="single" w:color="000000" w:sz="4" w:space="0"/>
              <w:right w:val="nil"/>
            </w:tcBorders>
            <w:shd w:val="clear" w:color="auto" w:fill="FFFFFF"/>
            <w:vAlign w:val="center"/>
          </w:tcPr>
          <w:p w14:paraId="4EB4B65E">
            <w:pPr>
              <w:keepNext w:val="0"/>
              <w:keepLines/>
              <w:pageBreakBefore w:val="0"/>
              <w:widowControl/>
              <w:suppressLineNumbers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default" w:ascii="Times New Roman" w:hAnsi="Times New Roman" w:eastAsia="Segoe UI" w:cs="Times New Roman"/>
                <w:b w:val="0"/>
                <w:i w:val="0"/>
                <w:iCs w:val="0"/>
                <w:caps w:val="0"/>
                <w:color w:val="000000"/>
                <w:spacing w:val="0"/>
                <w:kern w:val="0"/>
                <w:sz w:val="21"/>
                <w:szCs w:val="21"/>
                <w:lang w:val="en-US" w:eastAsia="zh-CN" w:bidi="ar"/>
              </w:rPr>
              <w:t xml:space="preserve">Rural </w:t>
            </w:r>
            <w:r>
              <w:rPr>
                <w:rFonts w:hint="eastAsia" w:ascii="Times New Roman" w:hAnsi="Times New Roman" w:eastAsia="Segoe UI" w:cs="Times New Roman"/>
                <w:b w:val="0"/>
                <w:i w:val="0"/>
                <w:iCs w:val="0"/>
                <w:caps w:val="0"/>
                <w:color w:val="000000"/>
                <w:spacing w:val="0"/>
                <w:kern w:val="0"/>
                <w:sz w:val="21"/>
                <w:szCs w:val="21"/>
                <w:lang w:val="en-US" w:eastAsia="zh-CN" w:bidi="ar"/>
              </w:rPr>
              <w:t>m</w:t>
            </w:r>
            <w:r>
              <w:rPr>
                <w:rFonts w:hint="default" w:ascii="Times New Roman" w:hAnsi="Times New Roman" w:eastAsia="Segoe UI" w:cs="Times New Roman"/>
                <w:b w:val="0"/>
                <w:i w:val="0"/>
                <w:iCs w:val="0"/>
                <w:caps w:val="0"/>
                <w:color w:val="000000"/>
                <w:spacing w:val="0"/>
                <w:kern w:val="0"/>
                <w:sz w:val="21"/>
                <w:szCs w:val="21"/>
                <w:lang w:val="en-US" w:eastAsia="zh-CN" w:bidi="ar"/>
              </w:rPr>
              <w:t>ean (95% CI)</w:t>
            </w:r>
          </w:p>
        </w:tc>
      </w:tr>
      <w:tr w14:paraId="45716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single" w:color="000000" w:sz="4" w:space="0"/>
              <w:left w:val="nil"/>
              <w:bottom w:val="nil"/>
              <w:right w:val="nil"/>
            </w:tcBorders>
            <w:shd w:val="clear" w:color="auto" w:fill="FFFFFF"/>
            <w:vAlign w:val="center"/>
          </w:tcPr>
          <w:p w14:paraId="4E28B564">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PM</w:t>
            </w:r>
            <w:r>
              <w:rPr>
                <w:rFonts w:hint="eastAsia" w:ascii="Times New Roman" w:hAnsi="Times New Roman" w:cs="Times New Roman"/>
                <w:b w:val="0"/>
                <w:color w:val="000000"/>
                <w:sz w:val="21"/>
                <w:szCs w:val="21"/>
                <w:vertAlign w:val="subscript"/>
                <w:lang w:val="en-US" w:eastAsia="zh-CN"/>
              </w:rPr>
              <w:t xml:space="preserve">2.5 </w:t>
            </w:r>
            <w:r>
              <w:rPr>
                <w:rFonts w:hint="eastAsia" w:ascii="Times New Roman" w:hAnsi="Times New Roman" w:cs="Times New Roman"/>
                <w:b w:val="0"/>
                <w:color w:val="000000"/>
                <w:sz w:val="21"/>
                <w:szCs w:val="21"/>
                <w:vertAlign w:val="baseline"/>
                <w:lang w:val="en-US" w:eastAsia="zh-CN"/>
              </w:rPr>
              <w:t>(</w:t>
            </w:r>
            <w:r>
              <w:rPr>
                <w:rFonts w:hint="default" w:ascii="Times New Roman" w:hAnsi="Times New Roman" w:cs="Times New Roman"/>
                <w:b w:val="0"/>
                <w:color w:val="000000"/>
                <w:sz w:val="21"/>
                <w:szCs w:val="21"/>
                <w:vertAlign w:val="baseline"/>
                <w:lang w:val="en-US" w:eastAsia="zh-CN"/>
              </w:rPr>
              <w:t>μ</w:t>
            </w:r>
            <w:r>
              <w:rPr>
                <w:rFonts w:hint="eastAsia" w:ascii="Times New Roman" w:hAnsi="Times New Roman" w:cs="Times New Roman"/>
                <w:b w:val="0"/>
                <w:color w:val="000000"/>
                <w:sz w:val="21"/>
                <w:szCs w:val="21"/>
                <w:vertAlign w:val="baseline"/>
                <w:lang w:val="en-US" w:eastAsia="zh-CN"/>
              </w:rPr>
              <w:t>g/m</w:t>
            </w:r>
            <w:r>
              <w:rPr>
                <w:rFonts w:hint="eastAsia" w:ascii="Times New Roman" w:hAnsi="Times New Roman" w:cs="Times New Roman"/>
                <w:b w:val="0"/>
                <w:color w:val="000000"/>
                <w:sz w:val="21"/>
                <w:szCs w:val="21"/>
                <w:vertAlign w:val="superscript"/>
                <w:lang w:val="en-US" w:eastAsia="zh-CN"/>
              </w:rPr>
              <w:t>3</w:t>
            </w:r>
            <w:r>
              <w:rPr>
                <w:rFonts w:hint="eastAsia" w:ascii="Times New Roman" w:hAnsi="Times New Roman" w:cs="Times New Roman"/>
                <w:b w:val="0"/>
                <w:color w:val="000000"/>
                <w:sz w:val="21"/>
                <w:szCs w:val="21"/>
                <w:vertAlign w:val="baseline"/>
                <w:lang w:val="en-US" w:eastAsia="zh-CN"/>
              </w:rPr>
              <w:t>)</w:t>
            </w:r>
          </w:p>
        </w:tc>
        <w:tc>
          <w:tcPr>
            <w:tcW w:w="2260" w:type="dxa"/>
            <w:tcBorders>
              <w:top w:val="single" w:color="000000" w:sz="4" w:space="0"/>
              <w:left w:val="nil"/>
              <w:bottom w:val="nil"/>
              <w:right w:val="nil"/>
            </w:tcBorders>
            <w:shd w:val="clear" w:color="auto" w:fill="FFFFFF"/>
            <w:vAlign w:val="center"/>
          </w:tcPr>
          <w:p w14:paraId="577C7652">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40.846 (40.741-40.952)</w:t>
            </w:r>
          </w:p>
        </w:tc>
        <w:tc>
          <w:tcPr>
            <w:tcW w:w="2310" w:type="dxa"/>
            <w:tcBorders>
              <w:top w:val="single" w:color="000000" w:sz="4" w:space="0"/>
              <w:left w:val="nil"/>
              <w:bottom w:val="nil"/>
              <w:right w:val="nil"/>
            </w:tcBorders>
            <w:shd w:val="clear" w:color="auto" w:fill="FFFFFF"/>
            <w:vAlign w:val="center"/>
          </w:tcPr>
          <w:p w14:paraId="42E09F3F">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26.266 (26.151-26.380)</w:t>
            </w:r>
          </w:p>
        </w:tc>
        <w:tc>
          <w:tcPr>
            <w:tcW w:w="2310" w:type="dxa"/>
            <w:tcBorders>
              <w:top w:val="single" w:color="000000" w:sz="4" w:space="0"/>
              <w:left w:val="nil"/>
              <w:bottom w:val="nil"/>
              <w:right w:val="nil"/>
            </w:tcBorders>
            <w:shd w:val="clear" w:color="auto" w:fill="FFFFFF"/>
            <w:vAlign w:val="center"/>
          </w:tcPr>
          <w:p w14:paraId="37813E45">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60.303 (60.111-60.494)</w:t>
            </w:r>
          </w:p>
        </w:tc>
      </w:tr>
      <w:tr w14:paraId="1B10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nil"/>
              <w:left w:val="nil"/>
              <w:bottom w:val="nil"/>
              <w:right w:val="nil"/>
            </w:tcBorders>
            <w:shd w:val="clear" w:color="auto" w:fill="FFFFFF"/>
            <w:vAlign w:val="center"/>
          </w:tcPr>
          <w:p w14:paraId="662CAC62">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PM</w:t>
            </w:r>
            <w:r>
              <w:rPr>
                <w:rFonts w:hint="eastAsia" w:ascii="Times New Roman" w:hAnsi="Times New Roman" w:cs="Times New Roman"/>
                <w:b w:val="0"/>
                <w:color w:val="000000"/>
                <w:sz w:val="21"/>
                <w:szCs w:val="21"/>
                <w:vertAlign w:val="subscript"/>
                <w:lang w:val="en-US" w:eastAsia="zh-CN"/>
              </w:rPr>
              <w:t>10</w:t>
            </w:r>
            <w:r>
              <w:rPr>
                <w:rFonts w:hint="eastAsia" w:ascii="Times New Roman" w:hAnsi="Times New Roman" w:cs="Times New Roman"/>
                <w:b w:val="0"/>
                <w:color w:val="000000"/>
                <w:sz w:val="21"/>
                <w:szCs w:val="21"/>
                <w:vertAlign w:val="baseline"/>
                <w:lang w:val="en-US" w:eastAsia="zh-CN"/>
              </w:rPr>
              <w:t xml:space="preserve"> (</w:t>
            </w:r>
            <w:r>
              <w:rPr>
                <w:rFonts w:hint="default" w:ascii="Times New Roman" w:hAnsi="Times New Roman" w:cs="Times New Roman"/>
                <w:b w:val="0"/>
                <w:color w:val="000000"/>
                <w:sz w:val="21"/>
                <w:szCs w:val="21"/>
                <w:vertAlign w:val="baseline"/>
                <w:lang w:val="en-US" w:eastAsia="zh-CN"/>
              </w:rPr>
              <w:t>μ</w:t>
            </w:r>
            <w:r>
              <w:rPr>
                <w:rFonts w:hint="eastAsia" w:ascii="Times New Roman" w:hAnsi="Times New Roman" w:cs="Times New Roman"/>
                <w:b w:val="0"/>
                <w:color w:val="000000"/>
                <w:sz w:val="21"/>
                <w:szCs w:val="21"/>
                <w:vertAlign w:val="baseline"/>
                <w:lang w:val="en-US" w:eastAsia="zh-CN"/>
              </w:rPr>
              <w:t>g/m</w:t>
            </w:r>
            <w:r>
              <w:rPr>
                <w:rFonts w:hint="eastAsia" w:ascii="Times New Roman" w:hAnsi="Times New Roman" w:cs="Times New Roman"/>
                <w:b w:val="0"/>
                <w:color w:val="000000"/>
                <w:sz w:val="21"/>
                <w:szCs w:val="21"/>
                <w:vertAlign w:val="superscript"/>
                <w:lang w:val="en-US" w:eastAsia="zh-CN"/>
              </w:rPr>
              <w:t>3</w:t>
            </w:r>
            <w:r>
              <w:rPr>
                <w:rFonts w:hint="eastAsia" w:ascii="Times New Roman" w:hAnsi="Times New Roman" w:cs="Times New Roman"/>
                <w:b w:val="0"/>
                <w:color w:val="000000"/>
                <w:sz w:val="21"/>
                <w:szCs w:val="21"/>
                <w:vertAlign w:val="baseline"/>
                <w:lang w:val="en-US" w:eastAsia="zh-CN"/>
              </w:rPr>
              <w:t>)</w:t>
            </w:r>
          </w:p>
        </w:tc>
        <w:tc>
          <w:tcPr>
            <w:tcW w:w="2260" w:type="dxa"/>
            <w:tcBorders>
              <w:top w:val="nil"/>
              <w:left w:val="nil"/>
              <w:bottom w:val="nil"/>
              <w:right w:val="nil"/>
            </w:tcBorders>
            <w:shd w:val="clear" w:color="auto" w:fill="FFFFFF"/>
            <w:vAlign w:val="center"/>
          </w:tcPr>
          <w:p w14:paraId="31079597">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47.110 (46.976-47.243)</w:t>
            </w:r>
          </w:p>
        </w:tc>
        <w:tc>
          <w:tcPr>
            <w:tcW w:w="2310" w:type="dxa"/>
            <w:tcBorders>
              <w:top w:val="nil"/>
              <w:left w:val="nil"/>
              <w:bottom w:val="nil"/>
              <w:right w:val="nil"/>
            </w:tcBorders>
            <w:shd w:val="clear" w:color="auto" w:fill="FFFFFF"/>
            <w:vAlign w:val="center"/>
          </w:tcPr>
          <w:p w14:paraId="0C8B3446">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29.215 (29.084-29.347)</w:t>
            </w:r>
          </w:p>
        </w:tc>
        <w:tc>
          <w:tcPr>
            <w:tcW w:w="2310" w:type="dxa"/>
            <w:tcBorders>
              <w:top w:val="nil"/>
              <w:left w:val="nil"/>
              <w:bottom w:val="nil"/>
              <w:right w:val="nil"/>
            </w:tcBorders>
            <w:shd w:val="clear" w:color="auto" w:fill="FFFFFF"/>
            <w:vAlign w:val="center"/>
          </w:tcPr>
          <w:p w14:paraId="30781770">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70.832 (70.580-71.085)</w:t>
            </w:r>
          </w:p>
        </w:tc>
      </w:tr>
      <w:tr w14:paraId="02BB4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nil"/>
              <w:left w:val="nil"/>
              <w:bottom w:val="nil"/>
              <w:right w:val="nil"/>
            </w:tcBorders>
            <w:shd w:val="clear" w:color="auto" w:fill="FFFFFF"/>
            <w:vAlign w:val="center"/>
          </w:tcPr>
          <w:p w14:paraId="6BF31A9C">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NO</w:t>
            </w:r>
            <w:r>
              <w:rPr>
                <w:rFonts w:hint="eastAsia" w:ascii="Times New Roman" w:hAnsi="Times New Roman" w:cs="Times New Roman"/>
                <w:b w:val="0"/>
                <w:color w:val="000000"/>
                <w:sz w:val="21"/>
                <w:szCs w:val="21"/>
                <w:vertAlign w:val="subscript"/>
                <w:lang w:val="en-US" w:eastAsia="zh-CN"/>
              </w:rPr>
              <w:t xml:space="preserve">2 </w:t>
            </w:r>
            <w:r>
              <w:rPr>
                <w:rFonts w:hint="eastAsia" w:ascii="Times New Roman" w:hAnsi="Times New Roman" w:cs="Times New Roman"/>
                <w:b w:val="0"/>
                <w:color w:val="000000"/>
                <w:sz w:val="21"/>
                <w:szCs w:val="21"/>
                <w:vertAlign w:val="baseline"/>
                <w:lang w:val="en-US" w:eastAsia="zh-CN"/>
              </w:rPr>
              <w:t>(mg/m</w:t>
            </w:r>
            <w:r>
              <w:rPr>
                <w:rFonts w:hint="eastAsia" w:ascii="Times New Roman" w:hAnsi="Times New Roman" w:cs="Times New Roman"/>
                <w:b w:val="0"/>
                <w:color w:val="000000"/>
                <w:sz w:val="21"/>
                <w:szCs w:val="21"/>
                <w:vertAlign w:val="superscript"/>
                <w:lang w:val="en-US" w:eastAsia="zh-CN"/>
              </w:rPr>
              <w:t>3</w:t>
            </w:r>
            <w:r>
              <w:rPr>
                <w:rFonts w:hint="eastAsia" w:ascii="Times New Roman" w:hAnsi="Times New Roman" w:cs="Times New Roman"/>
                <w:b w:val="0"/>
                <w:color w:val="000000"/>
                <w:sz w:val="21"/>
                <w:szCs w:val="21"/>
                <w:vertAlign w:val="baseline"/>
                <w:lang w:val="en-US" w:eastAsia="zh-CN"/>
              </w:rPr>
              <w:t>)</w:t>
            </w:r>
          </w:p>
        </w:tc>
        <w:tc>
          <w:tcPr>
            <w:tcW w:w="2260" w:type="dxa"/>
            <w:tcBorders>
              <w:top w:val="nil"/>
              <w:left w:val="nil"/>
              <w:bottom w:val="nil"/>
              <w:right w:val="nil"/>
            </w:tcBorders>
            <w:shd w:val="clear" w:color="auto" w:fill="FFFFFF"/>
            <w:vAlign w:val="center"/>
          </w:tcPr>
          <w:p w14:paraId="5159B81F">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1.889 (1.886-1.892)</w:t>
            </w:r>
          </w:p>
        </w:tc>
        <w:tc>
          <w:tcPr>
            <w:tcW w:w="2310" w:type="dxa"/>
            <w:tcBorders>
              <w:top w:val="nil"/>
              <w:left w:val="nil"/>
              <w:bottom w:val="nil"/>
              <w:right w:val="nil"/>
            </w:tcBorders>
            <w:shd w:val="clear" w:color="auto" w:fill="FFFFFF"/>
            <w:vAlign w:val="center"/>
          </w:tcPr>
          <w:p w14:paraId="4EE4EA35">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3.119 (3.114-3.123)</w:t>
            </w:r>
          </w:p>
        </w:tc>
        <w:tc>
          <w:tcPr>
            <w:tcW w:w="2310" w:type="dxa"/>
            <w:tcBorders>
              <w:top w:val="nil"/>
              <w:left w:val="nil"/>
              <w:bottom w:val="nil"/>
              <w:right w:val="nil"/>
            </w:tcBorders>
            <w:shd w:val="clear" w:color="auto" w:fill="FFFFFF"/>
            <w:vAlign w:val="center"/>
          </w:tcPr>
          <w:p w14:paraId="550B193F">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0.315 (0.313-0.316)</w:t>
            </w:r>
          </w:p>
        </w:tc>
      </w:tr>
      <w:tr w14:paraId="6AB25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nil"/>
              <w:left w:val="nil"/>
              <w:bottom w:val="nil"/>
              <w:right w:val="nil"/>
            </w:tcBorders>
            <w:shd w:val="clear" w:color="auto" w:fill="FFFFFF"/>
            <w:vAlign w:val="center"/>
          </w:tcPr>
          <w:p w14:paraId="05928090">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SO</w:t>
            </w:r>
            <w:r>
              <w:rPr>
                <w:rFonts w:hint="eastAsia" w:ascii="Times New Roman" w:hAnsi="Times New Roman" w:cs="Times New Roman"/>
                <w:b w:val="0"/>
                <w:color w:val="000000"/>
                <w:sz w:val="21"/>
                <w:szCs w:val="21"/>
                <w:vertAlign w:val="subscript"/>
                <w:lang w:val="en-US" w:eastAsia="zh-CN"/>
              </w:rPr>
              <w:t xml:space="preserve">2 </w:t>
            </w:r>
            <w:r>
              <w:rPr>
                <w:rFonts w:hint="eastAsia" w:ascii="Times New Roman" w:hAnsi="Times New Roman" w:cs="Times New Roman"/>
                <w:b w:val="0"/>
                <w:color w:val="000000"/>
                <w:sz w:val="21"/>
                <w:szCs w:val="21"/>
                <w:vertAlign w:val="baseline"/>
                <w:lang w:val="en-US" w:eastAsia="zh-CN"/>
              </w:rPr>
              <w:t>(mg/m</w:t>
            </w:r>
            <w:r>
              <w:rPr>
                <w:rFonts w:hint="eastAsia" w:ascii="Times New Roman" w:hAnsi="Times New Roman" w:cs="Times New Roman"/>
                <w:b w:val="0"/>
                <w:color w:val="000000"/>
                <w:sz w:val="21"/>
                <w:szCs w:val="21"/>
                <w:vertAlign w:val="superscript"/>
                <w:lang w:val="en-US" w:eastAsia="zh-CN"/>
              </w:rPr>
              <w:t>3</w:t>
            </w:r>
            <w:r>
              <w:rPr>
                <w:rFonts w:hint="eastAsia" w:ascii="Times New Roman" w:hAnsi="Times New Roman" w:cs="Times New Roman"/>
                <w:b w:val="0"/>
                <w:color w:val="000000"/>
                <w:sz w:val="21"/>
                <w:szCs w:val="21"/>
                <w:vertAlign w:val="baseline"/>
                <w:lang w:val="en-US" w:eastAsia="zh-CN"/>
              </w:rPr>
              <w:t>)</w:t>
            </w:r>
          </w:p>
        </w:tc>
        <w:tc>
          <w:tcPr>
            <w:tcW w:w="2260" w:type="dxa"/>
            <w:tcBorders>
              <w:top w:val="nil"/>
              <w:left w:val="nil"/>
              <w:bottom w:val="nil"/>
              <w:right w:val="nil"/>
            </w:tcBorders>
            <w:shd w:val="clear" w:color="auto" w:fill="FFFFFF"/>
            <w:vAlign w:val="center"/>
          </w:tcPr>
          <w:p w14:paraId="1A129C36">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0.011 (0.011-0.011)</w:t>
            </w:r>
          </w:p>
        </w:tc>
        <w:tc>
          <w:tcPr>
            <w:tcW w:w="2310" w:type="dxa"/>
            <w:tcBorders>
              <w:top w:val="nil"/>
              <w:left w:val="nil"/>
              <w:bottom w:val="nil"/>
              <w:right w:val="nil"/>
            </w:tcBorders>
            <w:shd w:val="clear" w:color="auto" w:fill="FFFFFF"/>
            <w:vAlign w:val="center"/>
          </w:tcPr>
          <w:p w14:paraId="1F33182C">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0.020 (0.019-0.020)</w:t>
            </w:r>
          </w:p>
        </w:tc>
        <w:tc>
          <w:tcPr>
            <w:tcW w:w="2310" w:type="dxa"/>
            <w:tcBorders>
              <w:top w:val="nil"/>
              <w:left w:val="nil"/>
              <w:bottom w:val="nil"/>
              <w:right w:val="nil"/>
            </w:tcBorders>
            <w:shd w:val="clear" w:color="auto" w:fill="FFFFFF"/>
            <w:vAlign w:val="center"/>
          </w:tcPr>
          <w:p w14:paraId="5CF1B6E4">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0.002 (0.002-0.002)</w:t>
            </w:r>
          </w:p>
        </w:tc>
      </w:tr>
      <w:tr w14:paraId="09CC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nil"/>
              <w:left w:val="nil"/>
              <w:bottom w:val="nil"/>
              <w:right w:val="nil"/>
            </w:tcBorders>
            <w:shd w:val="clear" w:color="auto" w:fill="FFFFFF"/>
            <w:vAlign w:val="center"/>
          </w:tcPr>
          <w:p w14:paraId="1BD5E781">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CO (mg/m</w:t>
            </w:r>
            <w:r>
              <w:rPr>
                <w:rFonts w:hint="eastAsia" w:ascii="Times New Roman" w:hAnsi="Times New Roman" w:cs="Times New Roman"/>
                <w:b w:val="0"/>
                <w:color w:val="000000"/>
                <w:sz w:val="21"/>
                <w:szCs w:val="21"/>
                <w:vertAlign w:val="superscript"/>
                <w:lang w:val="en-US" w:eastAsia="zh-CN"/>
              </w:rPr>
              <w:t>3</w:t>
            </w:r>
            <w:r>
              <w:rPr>
                <w:rFonts w:hint="eastAsia" w:ascii="Times New Roman" w:hAnsi="Times New Roman" w:cs="Times New Roman"/>
                <w:b w:val="0"/>
                <w:color w:val="000000"/>
                <w:sz w:val="21"/>
                <w:szCs w:val="21"/>
                <w:vertAlign w:val="baseline"/>
                <w:lang w:val="en-US" w:eastAsia="zh-CN"/>
              </w:rPr>
              <w:t>)</w:t>
            </w:r>
          </w:p>
        </w:tc>
        <w:tc>
          <w:tcPr>
            <w:tcW w:w="2260" w:type="dxa"/>
            <w:tcBorders>
              <w:top w:val="nil"/>
              <w:left w:val="nil"/>
              <w:bottom w:val="nil"/>
              <w:right w:val="nil"/>
            </w:tcBorders>
            <w:shd w:val="clear" w:color="auto" w:fill="FFFFFF"/>
            <w:vAlign w:val="center"/>
          </w:tcPr>
          <w:p w14:paraId="1D147EC8">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0.360 (0.357-0.363)</w:t>
            </w:r>
          </w:p>
        </w:tc>
        <w:tc>
          <w:tcPr>
            <w:tcW w:w="2310" w:type="dxa"/>
            <w:tcBorders>
              <w:top w:val="nil"/>
              <w:left w:val="nil"/>
              <w:bottom w:val="nil"/>
              <w:right w:val="nil"/>
            </w:tcBorders>
            <w:shd w:val="clear" w:color="auto" w:fill="FFFFFF"/>
            <w:vAlign w:val="center"/>
          </w:tcPr>
          <w:p w14:paraId="02E0C865">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0.209 (0.206-0.212)</w:t>
            </w:r>
          </w:p>
        </w:tc>
        <w:tc>
          <w:tcPr>
            <w:tcW w:w="2310" w:type="dxa"/>
            <w:tcBorders>
              <w:top w:val="nil"/>
              <w:left w:val="nil"/>
              <w:bottom w:val="nil"/>
              <w:right w:val="nil"/>
            </w:tcBorders>
            <w:shd w:val="clear" w:color="auto" w:fill="FFFFFF"/>
            <w:vAlign w:val="center"/>
          </w:tcPr>
          <w:p w14:paraId="1E3E9A06">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0.573 (0.567-0.579)</w:t>
            </w:r>
          </w:p>
        </w:tc>
      </w:tr>
      <w:tr w14:paraId="04191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nil"/>
              <w:left w:val="nil"/>
              <w:bottom w:val="nil"/>
              <w:right w:val="nil"/>
            </w:tcBorders>
            <w:shd w:val="clear" w:color="auto" w:fill="FFFFFF"/>
            <w:vAlign w:val="center"/>
          </w:tcPr>
          <w:p w14:paraId="6EE5E4DC">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Temperature (</w:t>
            </w:r>
            <w:r>
              <w:rPr>
                <w:rFonts w:hint="default" w:ascii="Times New Roman" w:hAnsi="Times New Roman" w:cs="Times New Roman"/>
                <w:b w:val="0"/>
                <w:color w:val="000000"/>
                <w:sz w:val="21"/>
                <w:szCs w:val="21"/>
                <w:vertAlign w:val="baseline"/>
                <w:lang w:val="en-US" w:eastAsia="zh-CN"/>
              </w:rPr>
              <w:t>°</w:t>
            </w:r>
            <w:r>
              <w:rPr>
                <w:rFonts w:hint="eastAsia" w:ascii="Times New Roman" w:hAnsi="Times New Roman" w:cs="Times New Roman"/>
                <w:b w:val="0"/>
                <w:color w:val="000000"/>
                <w:sz w:val="21"/>
                <w:szCs w:val="21"/>
                <w:vertAlign w:val="baseline"/>
                <w:lang w:val="en-US" w:eastAsia="zh-CN"/>
              </w:rPr>
              <w:t>C)</w:t>
            </w:r>
          </w:p>
        </w:tc>
        <w:tc>
          <w:tcPr>
            <w:tcW w:w="2260" w:type="dxa"/>
            <w:tcBorders>
              <w:top w:val="nil"/>
              <w:left w:val="nil"/>
              <w:bottom w:val="nil"/>
              <w:right w:val="nil"/>
            </w:tcBorders>
            <w:shd w:val="clear" w:color="auto" w:fill="FFFFFF"/>
            <w:vAlign w:val="center"/>
          </w:tcPr>
          <w:p w14:paraId="3DDA373E">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22.435 (22.428-22.442)</w:t>
            </w:r>
          </w:p>
        </w:tc>
        <w:tc>
          <w:tcPr>
            <w:tcW w:w="2310" w:type="dxa"/>
            <w:tcBorders>
              <w:top w:val="nil"/>
              <w:left w:val="nil"/>
              <w:bottom w:val="nil"/>
              <w:right w:val="nil"/>
            </w:tcBorders>
            <w:shd w:val="clear" w:color="auto" w:fill="FFFFFF"/>
            <w:vAlign w:val="center"/>
          </w:tcPr>
          <w:p w14:paraId="7FBF2DF2">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23.698 (23.691-23.705)</w:t>
            </w:r>
          </w:p>
        </w:tc>
        <w:tc>
          <w:tcPr>
            <w:tcW w:w="2310" w:type="dxa"/>
            <w:tcBorders>
              <w:top w:val="nil"/>
              <w:left w:val="nil"/>
              <w:bottom w:val="nil"/>
              <w:right w:val="nil"/>
            </w:tcBorders>
            <w:shd w:val="clear" w:color="auto" w:fill="FFFFFF"/>
            <w:vAlign w:val="center"/>
          </w:tcPr>
          <w:p w14:paraId="3C4AD047">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20.541 (20.529-20.554)</w:t>
            </w:r>
          </w:p>
        </w:tc>
      </w:tr>
      <w:tr w14:paraId="0CAC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2" w:type="dxa"/>
            <w:tcBorders>
              <w:top w:val="nil"/>
              <w:left w:val="nil"/>
              <w:bottom w:val="single" w:color="000000" w:sz="12" w:space="0"/>
              <w:right w:val="nil"/>
            </w:tcBorders>
            <w:shd w:val="clear" w:color="auto" w:fill="FFFFFF"/>
            <w:vAlign w:val="center"/>
          </w:tcPr>
          <w:p w14:paraId="51DABA19">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default" w:ascii="Times New Roman" w:hAnsi="Times New Roman" w:cs="Times New Roman"/>
                <w:b w:val="0"/>
                <w:color w:val="000000"/>
                <w:sz w:val="21"/>
                <w:szCs w:val="21"/>
                <w:vertAlign w:val="baseline"/>
                <w:lang w:val="en-US" w:eastAsia="zh-CN"/>
              </w:rPr>
              <w:t xml:space="preserve">Relative </w:t>
            </w:r>
            <w:r>
              <w:rPr>
                <w:rFonts w:hint="eastAsia" w:ascii="Times New Roman" w:hAnsi="Times New Roman" w:cs="Times New Roman"/>
                <w:b w:val="0"/>
                <w:color w:val="000000"/>
                <w:sz w:val="21"/>
                <w:szCs w:val="21"/>
                <w:vertAlign w:val="baseline"/>
                <w:lang w:val="en-US" w:eastAsia="zh-CN"/>
              </w:rPr>
              <w:t>h</w:t>
            </w:r>
            <w:r>
              <w:rPr>
                <w:rFonts w:hint="default" w:ascii="Times New Roman" w:hAnsi="Times New Roman" w:cs="Times New Roman"/>
                <w:b w:val="0"/>
                <w:color w:val="000000"/>
                <w:sz w:val="21"/>
                <w:szCs w:val="21"/>
                <w:vertAlign w:val="baseline"/>
                <w:lang w:val="en-US" w:eastAsia="zh-CN"/>
              </w:rPr>
              <w:t>umidity</w:t>
            </w:r>
            <w:r>
              <w:rPr>
                <w:rFonts w:hint="eastAsia" w:ascii="Times New Roman" w:hAnsi="Times New Roman" w:cs="Times New Roman"/>
                <w:b w:val="0"/>
                <w:color w:val="000000"/>
                <w:sz w:val="21"/>
                <w:szCs w:val="21"/>
                <w:vertAlign w:val="baseline"/>
                <w:lang w:val="en-US" w:eastAsia="zh-CN"/>
              </w:rPr>
              <w:t xml:space="preserve"> (%)</w:t>
            </w:r>
          </w:p>
        </w:tc>
        <w:tc>
          <w:tcPr>
            <w:tcW w:w="2260" w:type="dxa"/>
            <w:tcBorders>
              <w:top w:val="nil"/>
              <w:left w:val="nil"/>
              <w:bottom w:val="single" w:color="000000" w:sz="12" w:space="0"/>
              <w:right w:val="nil"/>
            </w:tcBorders>
            <w:shd w:val="clear" w:color="auto" w:fill="FFFFFF"/>
            <w:vAlign w:val="center"/>
          </w:tcPr>
          <w:p w14:paraId="6B346263">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55.118 (55.097-55.140)</w:t>
            </w:r>
          </w:p>
        </w:tc>
        <w:tc>
          <w:tcPr>
            <w:tcW w:w="2310" w:type="dxa"/>
            <w:tcBorders>
              <w:top w:val="nil"/>
              <w:left w:val="nil"/>
              <w:bottom w:val="single" w:color="000000" w:sz="12" w:space="0"/>
              <w:right w:val="nil"/>
            </w:tcBorders>
            <w:shd w:val="clear" w:color="auto" w:fill="FFFFFF"/>
            <w:vAlign w:val="center"/>
          </w:tcPr>
          <w:p w14:paraId="6D1B848C">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50.986 (50.955-51.018)</w:t>
            </w:r>
          </w:p>
        </w:tc>
        <w:tc>
          <w:tcPr>
            <w:tcW w:w="2310" w:type="dxa"/>
            <w:tcBorders>
              <w:top w:val="nil"/>
              <w:left w:val="nil"/>
              <w:bottom w:val="single" w:color="000000" w:sz="12" w:space="0"/>
              <w:right w:val="nil"/>
            </w:tcBorders>
            <w:shd w:val="clear" w:color="auto" w:fill="FFFFFF"/>
            <w:vAlign w:val="center"/>
          </w:tcPr>
          <w:p w14:paraId="7511D7C3">
            <w:pPr>
              <w:keepNext w:val="0"/>
              <w:keepLines/>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60.190 (60.165-60.216)</w:t>
            </w:r>
          </w:p>
        </w:tc>
      </w:tr>
    </w:tbl>
    <w:p w14:paraId="4CA43CD9">
      <w:pPr>
        <w:keepNext w:val="0"/>
        <w:keepLines w:val="0"/>
        <w:pageBreakBefore w:val="0"/>
        <w:widowControl w:val="0"/>
        <w:kinsoku/>
        <w:wordWrap/>
        <w:overflowPunct/>
        <w:topLinePunct w:val="0"/>
        <w:autoSpaceDE/>
        <w:autoSpaceDN/>
        <w:bidi w:val="0"/>
        <w:adjustRightInd/>
        <w:snapToGrid/>
        <w:spacing w:line="240" w:lineRule="auto"/>
        <w:ind w:left="525" w:leftChars="0" w:hanging="525" w:hangingChars="250"/>
        <w:jc w:val="both"/>
        <w:textAlignment w:val="auto"/>
        <w:rPr>
          <w:rFonts w:hint="default" w:ascii="Times New Roman" w:hAnsi="Times New Roman" w:eastAsia="宋体"/>
          <w:color w:val="auto"/>
          <w:sz w:val="21"/>
          <w:szCs w:val="21"/>
          <w:lang w:val="en-US" w:eastAsia="zh-CN"/>
        </w:rPr>
      </w:pPr>
      <w:r>
        <w:rPr>
          <w:rFonts w:hint="default" w:ascii="Times New Roman" w:hAnsi="Times New Roman" w:eastAsia="宋体"/>
          <w:color w:val="auto"/>
          <w:sz w:val="21"/>
          <w:szCs w:val="21"/>
          <w:lang w:val="en-US" w:eastAsia="zh-CN"/>
        </w:rPr>
        <w:t>Note: This table presents descriptive summaries of the exposure data. A formal statistical comparison of urban-rural differences was not conducted as the primary aim of this study was to estimate population-averaged exposure levels for the region, and the sample size was not powered for robust subgroup comparisons. The observed numerical differences can be used to inform hypotheses for future targeted studies.</w:t>
      </w:r>
    </w:p>
    <w:p w14:paraId="74D2E9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 w:val="24"/>
          <w:szCs w:val="24"/>
          <w:lang w:val="en-US" w:eastAsia="zh-CN"/>
        </w:rPr>
      </w:pPr>
    </w:p>
    <w:p w14:paraId="1F40C79A">
      <w:pPr>
        <w:keepNext w:val="0"/>
        <w:keepLines w:val="0"/>
        <w:pageBreakBefore w:val="0"/>
        <w:widowControl w:val="0"/>
        <w:kinsoku/>
        <w:wordWrap/>
        <w:overflowPunct/>
        <w:topLinePunct w:val="0"/>
        <w:autoSpaceDE/>
        <w:autoSpaceDN/>
        <w:bidi w:val="0"/>
        <w:adjustRightInd/>
        <w:snapToGrid/>
        <w:spacing w:before="60" w:after="60" w:line="240" w:lineRule="auto"/>
        <w:ind w:firstLine="0" w:firstLineChars="0"/>
        <w:jc w:val="center"/>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Table S2 Characteristics of outpatient visits and demographic profile in the study</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1"/>
        <w:gridCol w:w="1140"/>
        <w:gridCol w:w="1840"/>
        <w:gridCol w:w="2490"/>
        <w:gridCol w:w="1411"/>
      </w:tblGrid>
      <w:tr w14:paraId="0A87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single" w:color="000000" w:sz="12" w:space="0"/>
              <w:left w:val="nil"/>
              <w:bottom w:val="single" w:color="000000" w:sz="4" w:space="0"/>
              <w:right w:val="nil"/>
              <w:tl2br w:val="nil"/>
            </w:tcBorders>
            <w:shd w:val="clear" w:color="auto" w:fill="FFFFFF"/>
            <w:vAlign w:val="center"/>
          </w:tcPr>
          <w:p w14:paraId="5161410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Health outcomes</w:t>
            </w:r>
          </w:p>
        </w:tc>
        <w:tc>
          <w:tcPr>
            <w:tcW w:w="1140" w:type="dxa"/>
            <w:tcBorders>
              <w:top w:val="single" w:color="000000" w:sz="12" w:space="0"/>
              <w:left w:val="nil"/>
              <w:bottom w:val="single" w:color="000000" w:sz="4" w:space="0"/>
              <w:right w:val="nil"/>
            </w:tcBorders>
            <w:shd w:val="clear" w:color="auto" w:fill="FFFFFF"/>
            <w:vAlign w:val="center"/>
          </w:tcPr>
          <w:p w14:paraId="23DD9BD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Total</w:t>
            </w:r>
          </w:p>
        </w:tc>
        <w:tc>
          <w:tcPr>
            <w:tcW w:w="1840" w:type="dxa"/>
            <w:tcBorders>
              <w:top w:val="single" w:color="000000" w:sz="12" w:space="0"/>
              <w:left w:val="nil"/>
              <w:bottom w:val="single" w:color="000000" w:sz="4" w:space="0"/>
              <w:right w:val="nil"/>
            </w:tcBorders>
            <w:shd w:val="clear" w:color="auto" w:fill="FFFFFF"/>
            <w:vAlign w:val="center"/>
          </w:tcPr>
          <w:p w14:paraId="2A0F511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Male/female</w:t>
            </w:r>
          </w:p>
        </w:tc>
        <w:tc>
          <w:tcPr>
            <w:tcW w:w="2490" w:type="dxa"/>
            <w:tcBorders>
              <w:top w:val="single" w:color="000000" w:sz="12" w:space="0"/>
              <w:left w:val="nil"/>
              <w:bottom w:val="single" w:color="000000" w:sz="4" w:space="0"/>
              <w:right w:val="nil"/>
            </w:tcBorders>
            <w:shd w:val="clear" w:color="auto" w:fill="FFFFFF"/>
            <w:vAlign w:val="center"/>
          </w:tcPr>
          <w:p w14:paraId="2F119A6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 xml:space="preserve">Average age </w:t>
            </w:r>
            <w:r>
              <w:rPr>
                <w:rFonts w:hint="default" w:ascii="Times New Roman" w:hAnsi="Times New Roman" w:eastAsia="Segoe UI" w:cs="Times New Roman"/>
                <w:b w:val="0"/>
                <w:i w:val="0"/>
                <w:iCs w:val="0"/>
                <w:caps w:val="0"/>
                <w:color w:val="000000"/>
                <w:spacing w:val="0"/>
                <w:kern w:val="0"/>
                <w:sz w:val="21"/>
                <w:szCs w:val="21"/>
                <w:lang w:val="en-US" w:eastAsia="zh-CN" w:bidi="ar"/>
              </w:rPr>
              <w:t>(95% CI)</w:t>
            </w:r>
          </w:p>
        </w:tc>
        <w:tc>
          <w:tcPr>
            <w:tcW w:w="1411" w:type="dxa"/>
            <w:tcBorders>
              <w:top w:val="single" w:color="000000" w:sz="12" w:space="0"/>
              <w:left w:val="nil"/>
              <w:bottom w:val="single" w:color="000000" w:sz="4" w:space="0"/>
              <w:right w:val="nil"/>
            </w:tcBorders>
            <w:shd w:val="clear" w:color="auto" w:fill="FFFFFF"/>
            <w:vAlign w:val="center"/>
          </w:tcPr>
          <w:p w14:paraId="3527338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Mortality</w:t>
            </w:r>
          </w:p>
        </w:tc>
      </w:tr>
      <w:tr w14:paraId="74AF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single" w:color="000000" w:sz="4" w:space="0"/>
              <w:left w:val="nil"/>
              <w:bottom w:val="nil"/>
              <w:right w:val="nil"/>
            </w:tcBorders>
            <w:shd w:val="clear" w:color="auto" w:fill="FFFFFF"/>
            <w:vAlign w:val="center"/>
          </w:tcPr>
          <w:p w14:paraId="3410507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Lung cancer</w:t>
            </w:r>
          </w:p>
        </w:tc>
        <w:tc>
          <w:tcPr>
            <w:tcW w:w="1140" w:type="dxa"/>
            <w:tcBorders>
              <w:top w:val="single" w:color="000000" w:sz="4" w:space="0"/>
              <w:left w:val="nil"/>
              <w:bottom w:val="nil"/>
              <w:right w:val="nil"/>
            </w:tcBorders>
            <w:shd w:val="clear" w:color="auto" w:fill="FFFFFF"/>
            <w:vAlign w:val="center"/>
          </w:tcPr>
          <w:p w14:paraId="0D42E10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7,224</w:t>
            </w:r>
          </w:p>
        </w:tc>
        <w:tc>
          <w:tcPr>
            <w:tcW w:w="1840" w:type="dxa"/>
            <w:tcBorders>
              <w:top w:val="single" w:color="000000" w:sz="4" w:space="0"/>
              <w:left w:val="nil"/>
              <w:bottom w:val="nil"/>
              <w:right w:val="nil"/>
            </w:tcBorders>
            <w:shd w:val="clear" w:color="auto" w:fill="FFFFFF"/>
            <w:vAlign w:val="center"/>
          </w:tcPr>
          <w:p w14:paraId="634F32A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60.71%; 39.29%</w:t>
            </w:r>
          </w:p>
        </w:tc>
        <w:tc>
          <w:tcPr>
            <w:tcW w:w="2490" w:type="dxa"/>
            <w:tcBorders>
              <w:top w:val="single" w:color="000000" w:sz="4" w:space="0"/>
              <w:left w:val="nil"/>
              <w:bottom w:val="nil"/>
              <w:right w:val="nil"/>
            </w:tcBorders>
            <w:shd w:val="clear" w:color="auto" w:fill="FFFFFF"/>
            <w:vAlign w:val="center"/>
          </w:tcPr>
          <w:p w14:paraId="6BDBDF4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67.352 (67.150-67.554)</w:t>
            </w:r>
          </w:p>
        </w:tc>
        <w:tc>
          <w:tcPr>
            <w:tcW w:w="1411" w:type="dxa"/>
            <w:tcBorders>
              <w:top w:val="single" w:color="000000" w:sz="4" w:space="0"/>
              <w:left w:val="nil"/>
              <w:bottom w:val="nil"/>
              <w:right w:val="nil"/>
            </w:tcBorders>
            <w:shd w:val="clear" w:color="auto" w:fill="FFFFFF"/>
            <w:vAlign w:val="center"/>
          </w:tcPr>
          <w:p w14:paraId="38DB402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1.36%</w:t>
            </w:r>
          </w:p>
        </w:tc>
      </w:tr>
      <w:tr w14:paraId="39C5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nil"/>
              <w:right w:val="nil"/>
            </w:tcBorders>
            <w:shd w:val="clear" w:color="auto" w:fill="FFFFFF"/>
            <w:vAlign w:val="center"/>
          </w:tcPr>
          <w:p w14:paraId="519EA1B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LRTI</w:t>
            </w:r>
          </w:p>
        </w:tc>
        <w:tc>
          <w:tcPr>
            <w:tcW w:w="1140" w:type="dxa"/>
            <w:tcBorders>
              <w:top w:val="nil"/>
              <w:left w:val="nil"/>
              <w:bottom w:val="nil"/>
              <w:right w:val="nil"/>
            </w:tcBorders>
            <w:shd w:val="clear" w:color="auto" w:fill="FFFFFF"/>
            <w:vAlign w:val="center"/>
          </w:tcPr>
          <w:p w14:paraId="3B1E888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22,403</w:t>
            </w:r>
          </w:p>
        </w:tc>
        <w:tc>
          <w:tcPr>
            <w:tcW w:w="1840" w:type="dxa"/>
            <w:tcBorders>
              <w:top w:val="nil"/>
              <w:left w:val="nil"/>
              <w:bottom w:val="nil"/>
              <w:right w:val="nil"/>
            </w:tcBorders>
            <w:shd w:val="clear" w:color="auto" w:fill="FFFFFF"/>
            <w:vAlign w:val="center"/>
          </w:tcPr>
          <w:p w14:paraId="14C8E60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45.68%; 54.32%</w:t>
            </w:r>
          </w:p>
        </w:tc>
        <w:tc>
          <w:tcPr>
            <w:tcW w:w="2490" w:type="dxa"/>
            <w:tcBorders>
              <w:top w:val="nil"/>
              <w:left w:val="nil"/>
              <w:bottom w:val="nil"/>
              <w:right w:val="nil"/>
            </w:tcBorders>
            <w:shd w:val="clear" w:color="auto" w:fill="FFFFFF"/>
            <w:vAlign w:val="center"/>
          </w:tcPr>
          <w:p w14:paraId="76A475D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35.988 (35.664-36.311)</w:t>
            </w:r>
          </w:p>
        </w:tc>
        <w:tc>
          <w:tcPr>
            <w:tcW w:w="1411" w:type="dxa"/>
            <w:tcBorders>
              <w:top w:val="nil"/>
              <w:left w:val="nil"/>
              <w:bottom w:val="nil"/>
              <w:right w:val="nil"/>
            </w:tcBorders>
            <w:shd w:val="clear" w:color="auto" w:fill="FFFFFF"/>
            <w:vAlign w:val="center"/>
          </w:tcPr>
          <w:p w14:paraId="4EEECD3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1.68%</w:t>
            </w:r>
          </w:p>
        </w:tc>
      </w:tr>
      <w:tr w14:paraId="6A75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nil"/>
              <w:right w:val="nil"/>
            </w:tcBorders>
            <w:shd w:val="clear" w:color="auto" w:fill="FFFFFF"/>
            <w:vAlign w:val="center"/>
          </w:tcPr>
          <w:p w14:paraId="091B6DF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default" w:ascii="Times New Roman" w:hAnsi="Times New Roman" w:cs="Times New Roman"/>
                <w:b w:val="0"/>
                <w:color w:val="000000"/>
                <w:sz w:val="21"/>
                <w:szCs w:val="21"/>
                <w:vertAlign w:val="baseline"/>
                <w:lang w:val="en-US" w:eastAsia="zh-CN"/>
              </w:rPr>
              <w:t>Vascular disease</w:t>
            </w:r>
          </w:p>
        </w:tc>
        <w:tc>
          <w:tcPr>
            <w:tcW w:w="1140" w:type="dxa"/>
            <w:tcBorders>
              <w:top w:val="nil"/>
              <w:left w:val="nil"/>
              <w:bottom w:val="nil"/>
              <w:right w:val="nil"/>
            </w:tcBorders>
            <w:shd w:val="clear" w:color="auto" w:fill="FFFFFF"/>
            <w:vAlign w:val="center"/>
          </w:tcPr>
          <w:p w14:paraId="075EF92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85,708</w:t>
            </w:r>
          </w:p>
        </w:tc>
        <w:tc>
          <w:tcPr>
            <w:tcW w:w="1840" w:type="dxa"/>
            <w:tcBorders>
              <w:top w:val="nil"/>
              <w:left w:val="nil"/>
              <w:bottom w:val="nil"/>
              <w:right w:val="nil"/>
            </w:tcBorders>
            <w:shd w:val="clear" w:color="auto" w:fill="FFFFFF"/>
            <w:vAlign w:val="center"/>
          </w:tcPr>
          <w:p w14:paraId="445C3E04">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53.42%; 46.58%</w:t>
            </w:r>
          </w:p>
        </w:tc>
        <w:tc>
          <w:tcPr>
            <w:tcW w:w="2490" w:type="dxa"/>
            <w:tcBorders>
              <w:top w:val="nil"/>
              <w:left w:val="nil"/>
              <w:bottom w:val="nil"/>
              <w:right w:val="nil"/>
            </w:tcBorders>
            <w:shd w:val="clear" w:color="auto" w:fill="FFFFFF"/>
            <w:vAlign w:val="center"/>
          </w:tcPr>
          <w:p w14:paraId="4EF2FA4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61.828 (61.729-61.926)</w:t>
            </w:r>
          </w:p>
        </w:tc>
        <w:tc>
          <w:tcPr>
            <w:tcW w:w="1411" w:type="dxa"/>
            <w:tcBorders>
              <w:top w:val="nil"/>
              <w:left w:val="nil"/>
              <w:bottom w:val="nil"/>
              <w:right w:val="nil"/>
            </w:tcBorders>
            <w:shd w:val="clear" w:color="auto" w:fill="FFFFFF"/>
            <w:vAlign w:val="center"/>
          </w:tcPr>
          <w:p w14:paraId="147C1EE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0.00%</w:t>
            </w:r>
          </w:p>
        </w:tc>
      </w:tr>
      <w:tr w14:paraId="1F0A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nil"/>
              <w:right w:val="nil"/>
            </w:tcBorders>
            <w:shd w:val="clear" w:color="auto" w:fill="FFFFFF"/>
            <w:vAlign w:val="center"/>
          </w:tcPr>
          <w:p w14:paraId="04619DE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I</w:t>
            </w:r>
            <w:r>
              <w:rPr>
                <w:rFonts w:hint="default" w:ascii="Times New Roman" w:hAnsi="Times New Roman" w:cs="Times New Roman"/>
                <w:b w:val="0"/>
                <w:color w:val="000000"/>
                <w:sz w:val="21"/>
                <w:szCs w:val="21"/>
                <w:vertAlign w:val="baseline"/>
                <w:lang w:val="en-US" w:eastAsia="zh-CN"/>
              </w:rPr>
              <w:t>schemic heart disease</w:t>
            </w:r>
          </w:p>
        </w:tc>
        <w:tc>
          <w:tcPr>
            <w:tcW w:w="1140" w:type="dxa"/>
            <w:tcBorders>
              <w:top w:val="nil"/>
              <w:left w:val="nil"/>
              <w:bottom w:val="nil"/>
              <w:right w:val="nil"/>
            </w:tcBorders>
            <w:shd w:val="clear" w:color="auto" w:fill="FFFFFF"/>
            <w:vAlign w:val="center"/>
          </w:tcPr>
          <w:p w14:paraId="01D9811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24,261</w:t>
            </w:r>
          </w:p>
        </w:tc>
        <w:tc>
          <w:tcPr>
            <w:tcW w:w="1840" w:type="dxa"/>
            <w:tcBorders>
              <w:top w:val="nil"/>
              <w:left w:val="nil"/>
              <w:bottom w:val="nil"/>
              <w:right w:val="nil"/>
            </w:tcBorders>
            <w:shd w:val="clear" w:color="auto" w:fill="FFFFFF"/>
            <w:vAlign w:val="center"/>
          </w:tcPr>
          <w:p w14:paraId="5A69063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70.32%; 29.68%</w:t>
            </w:r>
          </w:p>
        </w:tc>
        <w:tc>
          <w:tcPr>
            <w:tcW w:w="2490" w:type="dxa"/>
            <w:tcBorders>
              <w:top w:val="nil"/>
              <w:left w:val="nil"/>
              <w:bottom w:val="nil"/>
              <w:right w:val="nil"/>
            </w:tcBorders>
            <w:shd w:val="clear" w:color="auto" w:fill="FFFFFF"/>
            <w:vAlign w:val="center"/>
          </w:tcPr>
          <w:p w14:paraId="7685F0E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67.304 (67.137-67.472)</w:t>
            </w:r>
          </w:p>
        </w:tc>
        <w:tc>
          <w:tcPr>
            <w:tcW w:w="1411" w:type="dxa"/>
            <w:tcBorders>
              <w:top w:val="nil"/>
              <w:left w:val="nil"/>
              <w:bottom w:val="nil"/>
              <w:right w:val="nil"/>
            </w:tcBorders>
            <w:shd w:val="clear" w:color="auto" w:fill="FFFFFF"/>
            <w:vAlign w:val="center"/>
          </w:tcPr>
          <w:p w14:paraId="4C481D13">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0.94%</w:t>
            </w:r>
          </w:p>
        </w:tc>
      </w:tr>
      <w:tr w14:paraId="288B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nil"/>
              <w:right w:val="nil"/>
            </w:tcBorders>
            <w:shd w:val="clear" w:color="auto" w:fill="FFFFFF"/>
            <w:vAlign w:val="center"/>
          </w:tcPr>
          <w:p w14:paraId="754703A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COPD</w:t>
            </w:r>
          </w:p>
        </w:tc>
        <w:tc>
          <w:tcPr>
            <w:tcW w:w="1140" w:type="dxa"/>
            <w:tcBorders>
              <w:top w:val="nil"/>
              <w:left w:val="nil"/>
              <w:bottom w:val="nil"/>
              <w:right w:val="nil"/>
            </w:tcBorders>
            <w:shd w:val="clear" w:color="auto" w:fill="FFFFFF"/>
            <w:vAlign w:val="center"/>
          </w:tcPr>
          <w:p w14:paraId="485007A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2,248</w:t>
            </w:r>
          </w:p>
        </w:tc>
        <w:tc>
          <w:tcPr>
            <w:tcW w:w="1840" w:type="dxa"/>
            <w:tcBorders>
              <w:top w:val="nil"/>
              <w:left w:val="nil"/>
              <w:bottom w:val="nil"/>
              <w:right w:val="nil"/>
            </w:tcBorders>
            <w:shd w:val="clear" w:color="auto" w:fill="FFFFFF"/>
            <w:vAlign w:val="center"/>
          </w:tcPr>
          <w:p w14:paraId="1C255DBD">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74.33%; 25.67%</w:t>
            </w:r>
          </w:p>
        </w:tc>
        <w:tc>
          <w:tcPr>
            <w:tcW w:w="2490" w:type="dxa"/>
            <w:tcBorders>
              <w:top w:val="nil"/>
              <w:left w:val="nil"/>
              <w:bottom w:val="nil"/>
              <w:right w:val="nil"/>
            </w:tcBorders>
            <w:shd w:val="clear" w:color="auto" w:fill="FFFFFF"/>
            <w:vAlign w:val="center"/>
          </w:tcPr>
          <w:p w14:paraId="5175308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71.293 (70.799-71.786)</w:t>
            </w:r>
          </w:p>
        </w:tc>
        <w:tc>
          <w:tcPr>
            <w:tcW w:w="1411" w:type="dxa"/>
            <w:tcBorders>
              <w:top w:val="nil"/>
              <w:left w:val="nil"/>
              <w:bottom w:val="nil"/>
              <w:right w:val="nil"/>
            </w:tcBorders>
            <w:shd w:val="clear" w:color="auto" w:fill="FFFFFF"/>
            <w:vAlign w:val="center"/>
          </w:tcPr>
          <w:p w14:paraId="448C839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0.89%</w:t>
            </w:r>
          </w:p>
        </w:tc>
      </w:tr>
      <w:tr w14:paraId="16B4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nil"/>
              <w:right w:val="nil"/>
            </w:tcBorders>
            <w:shd w:val="clear" w:color="auto" w:fill="FFFFFF"/>
            <w:vAlign w:val="center"/>
          </w:tcPr>
          <w:p w14:paraId="1AA4A09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Stroke</w:t>
            </w:r>
          </w:p>
        </w:tc>
        <w:tc>
          <w:tcPr>
            <w:tcW w:w="1140" w:type="dxa"/>
            <w:tcBorders>
              <w:top w:val="nil"/>
              <w:left w:val="nil"/>
              <w:bottom w:val="nil"/>
              <w:right w:val="nil"/>
            </w:tcBorders>
            <w:shd w:val="clear" w:color="auto" w:fill="FFFFFF"/>
            <w:vAlign w:val="center"/>
          </w:tcPr>
          <w:p w14:paraId="766EEFEB">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20,288</w:t>
            </w:r>
          </w:p>
        </w:tc>
        <w:tc>
          <w:tcPr>
            <w:tcW w:w="1840" w:type="dxa"/>
            <w:tcBorders>
              <w:top w:val="nil"/>
              <w:left w:val="nil"/>
              <w:bottom w:val="nil"/>
              <w:right w:val="nil"/>
            </w:tcBorders>
            <w:shd w:val="clear" w:color="auto" w:fill="FFFFFF"/>
            <w:vAlign w:val="center"/>
          </w:tcPr>
          <w:p w14:paraId="66345497">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59.91%; 40.09%</w:t>
            </w:r>
          </w:p>
        </w:tc>
        <w:tc>
          <w:tcPr>
            <w:tcW w:w="2490" w:type="dxa"/>
            <w:tcBorders>
              <w:top w:val="nil"/>
              <w:left w:val="nil"/>
              <w:bottom w:val="nil"/>
              <w:right w:val="nil"/>
            </w:tcBorders>
            <w:shd w:val="clear" w:color="auto" w:fill="FFFFFF"/>
            <w:vAlign w:val="center"/>
          </w:tcPr>
          <w:p w14:paraId="74A2160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67.300 (67.127-67.473)</w:t>
            </w:r>
          </w:p>
        </w:tc>
        <w:tc>
          <w:tcPr>
            <w:tcW w:w="1411" w:type="dxa"/>
            <w:tcBorders>
              <w:top w:val="nil"/>
              <w:left w:val="nil"/>
              <w:bottom w:val="nil"/>
              <w:right w:val="nil"/>
            </w:tcBorders>
            <w:shd w:val="clear" w:color="auto" w:fill="FFFFFF"/>
            <w:vAlign w:val="center"/>
          </w:tcPr>
          <w:p w14:paraId="7D35FA8F">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1.52%</w:t>
            </w:r>
          </w:p>
        </w:tc>
      </w:tr>
      <w:tr w14:paraId="734D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nil"/>
              <w:right w:val="nil"/>
            </w:tcBorders>
            <w:shd w:val="clear" w:color="auto" w:fill="FFFFFF"/>
            <w:vAlign w:val="center"/>
          </w:tcPr>
          <w:p w14:paraId="4FA0A691">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Diabetes</w:t>
            </w:r>
          </w:p>
        </w:tc>
        <w:tc>
          <w:tcPr>
            <w:tcW w:w="1140" w:type="dxa"/>
            <w:tcBorders>
              <w:top w:val="nil"/>
              <w:left w:val="nil"/>
              <w:bottom w:val="nil"/>
              <w:right w:val="nil"/>
            </w:tcBorders>
            <w:shd w:val="clear" w:color="auto" w:fill="FFFFFF"/>
            <w:vAlign w:val="center"/>
          </w:tcPr>
          <w:p w14:paraId="0DB7F8C0">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89,796</w:t>
            </w:r>
          </w:p>
        </w:tc>
        <w:tc>
          <w:tcPr>
            <w:tcW w:w="1840" w:type="dxa"/>
            <w:tcBorders>
              <w:top w:val="nil"/>
              <w:left w:val="nil"/>
              <w:bottom w:val="nil"/>
              <w:right w:val="nil"/>
            </w:tcBorders>
            <w:shd w:val="clear" w:color="auto" w:fill="FFFFFF"/>
            <w:vAlign w:val="center"/>
          </w:tcPr>
          <w:p w14:paraId="69415579">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53.73%; 46.27%</w:t>
            </w:r>
          </w:p>
        </w:tc>
        <w:tc>
          <w:tcPr>
            <w:tcW w:w="2490" w:type="dxa"/>
            <w:tcBorders>
              <w:top w:val="nil"/>
              <w:left w:val="nil"/>
              <w:bottom w:val="nil"/>
              <w:right w:val="nil"/>
            </w:tcBorders>
            <w:shd w:val="clear" w:color="auto" w:fill="FFFFFF"/>
            <w:vAlign w:val="center"/>
          </w:tcPr>
          <w:p w14:paraId="100652A6">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59.656 (59.559-59.753)</w:t>
            </w:r>
          </w:p>
        </w:tc>
        <w:tc>
          <w:tcPr>
            <w:tcW w:w="1411" w:type="dxa"/>
            <w:tcBorders>
              <w:top w:val="nil"/>
              <w:left w:val="nil"/>
              <w:bottom w:val="nil"/>
              <w:right w:val="nil"/>
            </w:tcBorders>
            <w:shd w:val="clear" w:color="auto" w:fill="FFFFFF"/>
            <w:vAlign w:val="center"/>
          </w:tcPr>
          <w:p w14:paraId="30263CF5">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0.00%</w:t>
            </w:r>
          </w:p>
        </w:tc>
      </w:tr>
      <w:tr w14:paraId="1523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1" w:type="dxa"/>
            <w:tcBorders>
              <w:top w:val="nil"/>
              <w:left w:val="nil"/>
              <w:bottom w:val="single" w:color="000000" w:sz="12" w:space="0"/>
              <w:right w:val="nil"/>
            </w:tcBorders>
            <w:shd w:val="clear" w:color="auto" w:fill="FFFFFF"/>
            <w:vAlign w:val="center"/>
          </w:tcPr>
          <w:p w14:paraId="11A465D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Asthma</w:t>
            </w:r>
          </w:p>
        </w:tc>
        <w:tc>
          <w:tcPr>
            <w:tcW w:w="1140" w:type="dxa"/>
            <w:tcBorders>
              <w:top w:val="nil"/>
              <w:left w:val="nil"/>
              <w:bottom w:val="single" w:color="000000" w:sz="12" w:space="0"/>
              <w:right w:val="nil"/>
            </w:tcBorders>
            <w:shd w:val="clear" w:color="auto" w:fill="FFFFFF"/>
            <w:vAlign w:val="center"/>
          </w:tcPr>
          <w:p w14:paraId="08F00C28">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3,163</w:t>
            </w:r>
          </w:p>
        </w:tc>
        <w:tc>
          <w:tcPr>
            <w:tcW w:w="1840" w:type="dxa"/>
            <w:tcBorders>
              <w:top w:val="nil"/>
              <w:left w:val="nil"/>
              <w:bottom w:val="single" w:color="000000" w:sz="12" w:space="0"/>
              <w:right w:val="nil"/>
            </w:tcBorders>
            <w:shd w:val="clear" w:color="auto" w:fill="FFFFFF"/>
            <w:vAlign w:val="center"/>
          </w:tcPr>
          <w:p w14:paraId="06DA9FCE">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41.04%; 58.96%</w:t>
            </w:r>
          </w:p>
        </w:tc>
        <w:tc>
          <w:tcPr>
            <w:tcW w:w="2490" w:type="dxa"/>
            <w:tcBorders>
              <w:top w:val="nil"/>
              <w:left w:val="nil"/>
              <w:bottom w:val="single" w:color="000000" w:sz="12" w:space="0"/>
              <w:right w:val="nil"/>
            </w:tcBorders>
            <w:shd w:val="clear" w:color="auto" w:fill="FFFFFF"/>
            <w:vAlign w:val="center"/>
          </w:tcPr>
          <w:p w14:paraId="524A0D02">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46.983 (46.303-47.662)</w:t>
            </w:r>
          </w:p>
        </w:tc>
        <w:tc>
          <w:tcPr>
            <w:tcW w:w="1411" w:type="dxa"/>
            <w:tcBorders>
              <w:top w:val="nil"/>
              <w:left w:val="nil"/>
              <w:bottom w:val="single" w:color="000000" w:sz="12" w:space="0"/>
              <w:right w:val="nil"/>
            </w:tcBorders>
            <w:shd w:val="clear" w:color="auto" w:fill="FFFFFF"/>
            <w:vAlign w:val="center"/>
          </w:tcPr>
          <w:p w14:paraId="4620B63C">
            <w:pPr>
              <w:keepNext w:val="0"/>
              <w:keepLines w:val="0"/>
              <w:pageBreakBefore w:val="0"/>
              <w:widowControl w:val="0"/>
              <w:kinsoku/>
              <w:wordWrap/>
              <w:overflowPunct/>
              <w:topLinePunct w:val="0"/>
              <w:autoSpaceDE/>
              <w:autoSpaceDN/>
              <w:bidi w:val="0"/>
              <w:adjustRightInd/>
              <w:snapToGrid/>
              <w:spacing w:line="288" w:lineRule="auto"/>
              <w:jc w:val="center"/>
              <w:textAlignment w:val="auto"/>
              <w:rPr>
                <w:rFonts w:hint="default" w:ascii="Times New Roman" w:hAnsi="Times New Roman" w:cs="Times New Roman"/>
                <w:b w:val="0"/>
                <w:color w:val="000000"/>
                <w:sz w:val="21"/>
                <w:szCs w:val="21"/>
                <w:vertAlign w:val="baseline"/>
                <w:lang w:val="en-US" w:eastAsia="zh-CN"/>
              </w:rPr>
            </w:pPr>
            <w:r>
              <w:rPr>
                <w:rFonts w:hint="eastAsia" w:ascii="Times New Roman" w:hAnsi="Times New Roman" w:cs="Times New Roman"/>
                <w:b w:val="0"/>
                <w:color w:val="000000"/>
                <w:sz w:val="21"/>
                <w:szCs w:val="21"/>
                <w:vertAlign w:val="baseline"/>
                <w:lang w:val="en-US" w:eastAsia="zh-CN"/>
              </w:rPr>
              <w:t>0.00%</w:t>
            </w:r>
          </w:p>
        </w:tc>
      </w:tr>
    </w:tbl>
    <w:p w14:paraId="3A3BC403">
      <w:pPr>
        <w:keepNext w:val="0"/>
        <w:keepLines w:val="0"/>
        <w:pageBreakBefore w:val="0"/>
        <w:widowControl w:val="0"/>
        <w:kinsoku/>
        <w:wordWrap/>
        <w:overflowPunct/>
        <w:topLinePunct w:val="0"/>
        <w:autoSpaceDE/>
        <w:autoSpaceDN/>
        <w:bidi w:val="0"/>
        <w:adjustRightInd/>
        <w:snapToGrid/>
        <w:spacing w:line="240" w:lineRule="auto"/>
        <w:ind w:left="525" w:leftChars="0" w:hanging="525" w:hangingChars="250"/>
        <w:jc w:val="both"/>
        <w:textAlignment w:val="auto"/>
        <w:rPr>
          <w:rFonts w:hint="default" w:ascii="Times New Roman" w:hAnsi="Times New Roman" w:eastAsia="宋体"/>
          <w:color w:val="auto"/>
          <w:sz w:val="21"/>
          <w:szCs w:val="21"/>
          <w:lang w:val="en-US" w:eastAsia="zh-CN"/>
        </w:rPr>
      </w:pPr>
      <w:r>
        <w:rPr>
          <w:rFonts w:hint="eastAsia" w:ascii="Times New Roman" w:hAnsi="Times New Roman" w:eastAsia="宋体"/>
          <w:color w:val="auto"/>
          <w:sz w:val="21"/>
          <w:szCs w:val="21"/>
          <w:lang w:val="en-US" w:eastAsia="zh-CN"/>
        </w:rPr>
        <w:t>Note: COPD, chronic obstructive pulmonary disease; LRTI, lower respiratory tract infection. The data presented in this table are derived from the aggregated, anonymized outpatient records used in the time-series analysis. Detailed information on area, education, and income was not available within the scope of this health-environment linkage study. The use of aggregated data is a characteristic of the time-series design, which controls for fixed population characteristics over the short term.</w:t>
      </w:r>
      <w:bookmarkStart w:id="2" w:name="_GoBack"/>
      <w:bookmarkEnd w:id="2"/>
    </w:p>
    <w:p w14:paraId="2ED0CDB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sz w:val="24"/>
          <w:szCs w:val="24"/>
          <w:lang w:val="en-US" w:eastAsia="zh-CN"/>
        </w:rPr>
      </w:pPr>
    </w:p>
    <w:p w14:paraId="3B5328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A0BADCD"/>
    <w:multiLevelType w:val="singleLevel"/>
    <w:tmpl w:val="4A0BADCD"/>
    <w:lvl w:ilvl="0" w:tentative="0">
      <w:start w:val="1"/>
      <w:numFmt w:val="low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472E55"/>
    <w:rsid w:val="027B15CC"/>
    <w:rsid w:val="05037190"/>
    <w:rsid w:val="0CC04923"/>
    <w:rsid w:val="11142DC9"/>
    <w:rsid w:val="11160698"/>
    <w:rsid w:val="174B44C7"/>
    <w:rsid w:val="184E0147"/>
    <w:rsid w:val="1C033BD8"/>
    <w:rsid w:val="20A94BAD"/>
    <w:rsid w:val="22C82244"/>
    <w:rsid w:val="236E2ED1"/>
    <w:rsid w:val="2D004A33"/>
    <w:rsid w:val="2FE200C7"/>
    <w:rsid w:val="313506AF"/>
    <w:rsid w:val="313F41C0"/>
    <w:rsid w:val="34CD71AE"/>
    <w:rsid w:val="35680193"/>
    <w:rsid w:val="3D4B54FE"/>
    <w:rsid w:val="3F613A9D"/>
    <w:rsid w:val="4BC425F6"/>
    <w:rsid w:val="5347445F"/>
    <w:rsid w:val="54AB4BAC"/>
    <w:rsid w:val="576F7D6A"/>
    <w:rsid w:val="5D996CA8"/>
    <w:rsid w:val="64306F64"/>
    <w:rsid w:val="68BD33B3"/>
    <w:rsid w:val="6AA22869"/>
    <w:rsid w:val="6FFC2591"/>
    <w:rsid w:val="709D0CA2"/>
    <w:rsid w:val="70DD7A3F"/>
    <w:rsid w:val="71912ED0"/>
    <w:rsid w:val="73D52248"/>
    <w:rsid w:val="74C8208A"/>
    <w:rsid w:val="7BD07B38"/>
    <w:rsid w:val="7C0A4C95"/>
    <w:rsid w:val="7D712C70"/>
    <w:rsid w:val="7E5C7C58"/>
    <w:rsid w:val="7F472E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120</Words>
  <Characters>692</Characters>
  <Lines>0</Lines>
  <Paragraphs>0</Paragraphs>
  <TotalTime>2</TotalTime>
  <ScaleCrop>false</ScaleCrop>
  <LinksUpToDate>false</LinksUpToDate>
  <CharactersWithSpaces>768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2025-11-28T06:52:00Z</dcterms:created>
  <dc:creator>Rufei Li</dc:creator>
  <cp:lastModifiedBy>Rufei Li</cp:lastModifiedBy>
  <dcterms:modified xsi:type="dcterms:W3CDTF">2025-12-02T10:49:22Z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D992CC6B28854871B04D2545DA1CC2D5_11</vt:lpwstr>
  </property>
  <property fmtid="{D5CDD505-2E9C-101B-9397-08002B2CF9AE}" pid="4" name="KSOTemplateDocerSaveRecord">
    <vt:lpwstr>eyJoZGlkIjoiMGI2NjZhNDFhZTU4MjNhZDIyN2E5NGQwMDNjZjFjZDQiLCJ1c2VySWQiOiI0NTAyMjk4NzIifQ==</vt:lpwstr>
  </property>
</Properties>
</file>