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jc w:val="left"/>
        <w:textAlignment w:val="auto"/>
        <w:rPr>
          <w:rFonts w:ascii="Times New Roman" w:hAnsi="Times New Roman" w:eastAsia="宋体"/>
          <w:sz w:val="24"/>
        </w:rPr>
      </w:pPr>
      <w:r>
        <w:rPr>
          <w:rFonts w:ascii="Times New Roman" w:hAnsi="Times New Roman" w:eastAsia="宋体"/>
          <w:b/>
          <w:bCs/>
          <w:sz w:val="24"/>
        </w:rPr>
        <w:t>Supplementary table</w:t>
      </w:r>
      <w:r>
        <w:rPr>
          <w:rFonts w:hint="eastAsia" w:ascii="Times New Roman" w:hAnsi="Times New Roman" w:eastAsia="宋体"/>
          <w:b/>
          <w:bCs/>
          <w:sz w:val="24"/>
        </w:rPr>
        <w:t xml:space="preserve"> 3</w:t>
      </w:r>
      <w:r>
        <w:rPr>
          <w:rFonts w:hint="eastAsia" w:ascii="Times New Roman" w:hAnsi="Times New Roman" w:eastAsia="宋体"/>
          <w:sz w:val="24"/>
        </w:rPr>
        <w:t xml:space="preserve"> </w:t>
      </w:r>
      <w:r>
        <w:rPr>
          <w:rFonts w:ascii="Times New Roman" w:hAnsi="Times New Roman" w:eastAsia="宋体"/>
          <w:sz w:val="24"/>
        </w:rPr>
        <w:t xml:space="preserve">Cardiometabolic risk and metabolic syndrome in prostate cancer </w:t>
      </w:r>
      <w:r>
        <w:rPr>
          <w:rFonts w:hint="eastAsia" w:ascii="Times New Roman" w:hAnsi="Times New Roman" w:eastAsia="宋体"/>
          <w:sz w:val="24"/>
        </w:rPr>
        <w:t xml:space="preserve">(PCa) </w:t>
      </w:r>
      <w:r>
        <w:rPr>
          <w:rFonts w:ascii="Times New Roman" w:hAnsi="Times New Roman" w:eastAsia="宋体"/>
          <w:sz w:val="24"/>
        </w:rPr>
        <w:t>after propensity score matching</w:t>
      </w:r>
      <w:r>
        <w:rPr>
          <w:rFonts w:hint="eastAsia" w:ascii="Times New Roman" w:hAnsi="Times New Roman" w:eastAsia="宋体"/>
          <w:sz w:val="24"/>
        </w:rPr>
        <w:t xml:space="preserve"> (PSM)</w:t>
      </w:r>
    </w:p>
    <w:tbl>
      <w:tblPr>
        <w:tblStyle w:val="2"/>
        <w:tblW w:w="691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24"/>
        <w:gridCol w:w="803"/>
        <w:gridCol w:w="1985"/>
        <w:gridCol w:w="240"/>
        <w:gridCol w:w="869"/>
        <w:gridCol w:w="2009"/>
        <w:gridCol w:w="284"/>
        <w:gridCol w:w="884"/>
        <w:gridCol w:w="198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424" w:type="dxa"/>
            <w:vMerge w:val="restart"/>
            <w:tcBorders>
              <w:top w:val="single" w:color="auto" w:sz="8" w:space="0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4"/>
              </w:rPr>
              <w:t>C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</w:rPr>
              <w:t>haracteristics</w:t>
            </w:r>
          </w:p>
        </w:tc>
        <w:tc>
          <w:tcPr>
            <w:tcW w:w="2788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  <w:t>Model 1</w:t>
            </w:r>
          </w:p>
        </w:tc>
        <w:tc>
          <w:tcPr>
            <w:tcW w:w="240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2878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b/>
                <w:bCs/>
                <w:color w:val="010205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10205"/>
                <w:sz w:val="24"/>
              </w:rPr>
              <w:t>Model 2</w:t>
            </w:r>
          </w:p>
        </w:tc>
        <w:tc>
          <w:tcPr>
            <w:tcW w:w="284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b/>
                <w:bCs/>
                <w:color w:val="010205"/>
                <w:sz w:val="24"/>
              </w:rPr>
            </w:pPr>
          </w:p>
        </w:tc>
        <w:tc>
          <w:tcPr>
            <w:tcW w:w="2868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b/>
                <w:bCs/>
                <w:color w:val="010205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10205"/>
                <w:sz w:val="24"/>
              </w:rPr>
              <w:t>Model 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424" w:type="dxa"/>
            <w:vMerge w:val="continue"/>
            <w:tcBorders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left"/>
              <w:textAlignment w:val="auto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803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4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b/>
                <w:bCs/>
                <w:i/>
                <w:iCs/>
                <w:color w:val="000000"/>
                <w:sz w:val="24"/>
              </w:rPr>
              <w:t>P</w:t>
            </w: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000000"/>
                <w:sz w:val="24"/>
                <w:lang w:val="en-US" w:eastAsia="zh-CN"/>
              </w:rPr>
              <w:t>-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lang w:val="en-US" w:eastAsia="zh-CN"/>
              </w:rPr>
              <w:t>value</w:t>
            </w:r>
          </w:p>
        </w:tc>
        <w:tc>
          <w:tcPr>
            <w:tcW w:w="1985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  <w:t>OR(95%CI)</w:t>
            </w:r>
          </w:p>
        </w:tc>
        <w:tc>
          <w:tcPr>
            <w:tcW w:w="24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869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color w:val="010205"/>
                <w:sz w:val="24"/>
                <w:lang w:val="en-US" w:eastAsia="zh-C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10205"/>
                <w:sz w:val="24"/>
              </w:rPr>
              <w:t>P</w:t>
            </w:r>
            <w:r>
              <w:rPr>
                <w:rFonts w:hint="eastAsia" w:ascii="Times New Roman" w:hAnsi="Times New Roman" w:cs="Times New Roman"/>
                <w:b/>
                <w:bCs/>
                <w:i/>
                <w:iCs/>
                <w:color w:val="010205"/>
                <w:sz w:val="24"/>
                <w:lang w:val="en-US" w:eastAsia="zh-CN"/>
              </w:rPr>
              <w:t>-</w:t>
            </w: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010205"/>
                <w:sz w:val="24"/>
                <w:lang w:val="en-US" w:eastAsia="zh-CN"/>
              </w:rPr>
              <w:t>value</w:t>
            </w:r>
          </w:p>
        </w:tc>
        <w:tc>
          <w:tcPr>
            <w:tcW w:w="2009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b/>
                <w:bCs/>
                <w:color w:val="010205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10205"/>
                <w:sz w:val="24"/>
              </w:rPr>
              <w:t>OR(95%CI)</w:t>
            </w:r>
          </w:p>
        </w:tc>
        <w:tc>
          <w:tcPr>
            <w:tcW w:w="284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b/>
                <w:bCs/>
                <w:color w:val="010205"/>
                <w:sz w:val="24"/>
              </w:rPr>
            </w:pPr>
          </w:p>
        </w:tc>
        <w:tc>
          <w:tcPr>
            <w:tcW w:w="884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color w:val="010205"/>
                <w:sz w:val="24"/>
                <w:lang w:val="en-US" w:eastAsia="zh-C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10205"/>
                <w:sz w:val="24"/>
              </w:rPr>
              <w:t>P</w:t>
            </w:r>
            <w:r>
              <w:rPr>
                <w:rFonts w:hint="eastAsia" w:ascii="Times New Roman" w:hAnsi="Times New Roman" w:cs="Times New Roman"/>
                <w:b/>
                <w:bCs/>
                <w:i/>
                <w:iCs/>
                <w:color w:val="010205"/>
                <w:sz w:val="24"/>
                <w:lang w:val="en-US" w:eastAsia="zh-CN"/>
              </w:rPr>
              <w:t>-</w:t>
            </w: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010205"/>
                <w:sz w:val="24"/>
                <w:lang w:val="en-US" w:eastAsia="zh-CN"/>
              </w:rPr>
              <w:t>value</w:t>
            </w:r>
          </w:p>
        </w:tc>
        <w:tc>
          <w:tcPr>
            <w:tcW w:w="1984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b/>
                <w:bCs/>
                <w:color w:val="010205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10205"/>
                <w:sz w:val="24"/>
              </w:rPr>
              <w:t>OR(95%CI)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4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left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MetScore (continuous)</w:t>
            </w:r>
          </w:p>
        </w:tc>
        <w:tc>
          <w:tcPr>
            <w:tcW w:w="803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  <w:r>
              <w:rPr>
                <w:rFonts w:ascii="Times New Roman" w:hAnsi="Times New Roman" w:cs="Times New Roman"/>
                <w:color w:val="010205"/>
                <w:sz w:val="24"/>
              </w:rPr>
              <w:t>&lt;0.001</w:t>
            </w:r>
          </w:p>
        </w:tc>
        <w:tc>
          <w:tcPr>
            <w:tcW w:w="1985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  <w:r>
              <w:rPr>
                <w:rFonts w:ascii="Times New Roman" w:hAnsi="Times New Roman" w:cs="Times New Roman"/>
                <w:color w:val="010205"/>
                <w:sz w:val="24"/>
              </w:rPr>
              <w:t>1.030</w:t>
            </w: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cs="Times New Roman"/>
                <w:color w:val="010205"/>
                <w:sz w:val="24"/>
              </w:rPr>
              <w:t>1.016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imes New Roman" w:hAnsi="Times New Roman" w:cs="Times New Roman"/>
                <w:color w:val="010205"/>
                <w:sz w:val="24"/>
              </w:rPr>
              <w:t>1.045</w:t>
            </w: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240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</w:p>
        </w:tc>
        <w:tc>
          <w:tcPr>
            <w:tcW w:w="869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  <w:r>
              <w:rPr>
                <w:rFonts w:ascii="Times New Roman" w:hAnsi="Times New Roman" w:cs="Times New Roman"/>
                <w:color w:val="010205"/>
                <w:sz w:val="24"/>
              </w:rPr>
              <w:t>&lt;0.001</w:t>
            </w:r>
          </w:p>
        </w:tc>
        <w:tc>
          <w:tcPr>
            <w:tcW w:w="2009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  <w:r>
              <w:rPr>
                <w:rFonts w:ascii="Times New Roman" w:hAnsi="Times New Roman" w:cs="Times New Roman"/>
                <w:color w:val="010205"/>
                <w:sz w:val="24"/>
              </w:rPr>
              <w:t>1.032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cs="Times New Roman"/>
                <w:color w:val="010205"/>
                <w:sz w:val="24"/>
              </w:rPr>
              <w:t>1.016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imes New Roman" w:hAnsi="Times New Roman" w:cs="Times New Roman"/>
                <w:color w:val="010205"/>
                <w:sz w:val="24"/>
              </w:rPr>
              <w:t>1.047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284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</w:p>
        </w:tc>
        <w:tc>
          <w:tcPr>
            <w:tcW w:w="884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  <w:r>
              <w:rPr>
                <w:rFonts w:ascii="Times New Roman" w:hAnsi="Times New Roman" w:cs="Times New Roman"/>
                <w:color w:val="010205"/>
                <w:sz w:val="24"/>
              </w:rPr>
              <w:t>&lt;0.001</w:t>
            </w:r>
          </w:p>
        </w:tc>
        <w:tc>
          <w:tcPr>
            <w:tcW w:w="1984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  <w:r>
              <w:rPr>
                <w:rFonts w:ascii="Times New Roman" w:hAnsi="Times New Roman" w:cs="Times New Roman"/>
                <w:color w:val="010205"/>
                <w:sz w:val="24"/>
              </w:rPr>
              <w:t>1.031(1.014</w:t>
            </w:r>
            <w:r>
              <w:rPr>
                <w:rFonts w:hint="eastAsia" w:ascii="Times New Roman" w:hAnsi="Times New Roman" w:cs="Times New Roman"/>
                <w:color w:val="010205"/>
                <w:sz w:val="24"/>
              </w:rPr>
              <w:t>-</w:t>
            </w:r>
            <w:r>
              <w:rPr>
                <w:rFonts w:ascii="Times New Roman" w:hAnsi="Times New Roman" w:cs="Times New Roman"/>
                <w:color w:val="010205"/>
                <w:sz w:val="24"/>
              </w:rPr>
              <w:t>1.048)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left"/>
              <w:textAlignment w:val="auto"/>
              <w:rPr>
                <w:rFonts w:ascii="Times New Roman" w:hAnsi="Times New Roman" w:eastAsia="宋体" w:cs="Times New Roman"/>
                <w:color w:val="FF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MetScore (categories)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10205"/>
                <w:sz w:val="24"/>
              </w:rPr>
              <w:t>0.007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10205"/>
                <w:sz w:val="24"/>
              </w:rPr>
              <w:t>0.012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/>
            <w:bookmarkEnd w:id="0"/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  <w:r>
              <w:rPr>
                <w:rFonts w:ascii="Times New Roman" w:hAnsi="Times New Roman" w:cs="Times New Roman"/>
                <w:color w:val="010205"/>
                <w:sz w:val="24"/>
              </w:rPr>
              <w:t>0.030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line="360" w:lineRule="auto"/>
              <w:ind w:firstLine="240" w:firstLineChars="100"/>
              <w:jc w:val="left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&lt;-8.074</w:t>
            </w:r>
          </w:p>
        </w:tc>
        <w:tc>
          <w:tcPr>
            <w:tcW w:w="2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Reference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Reference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Reference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line="360" w:lineRule="auto"/>
              <w:ind w:firstLine="240" w:firstLineChars="100"/>
              <w:jc w:val="left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-8.074~19.240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10205"/>
                <w:sz w:val="24"/>
              </w:rPr>
              <w:t>0.006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10205"/>
                <w:sz w:val="24"/>
              </w:rPr>
              <w:t>1.693</w:t>
            </w: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cs="Times New Roman"/>
                <w:color w:val="010205"/>
                <w:sz w:val="24"/>
              </w:rPr>
              <w:t>1.160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imes New Roman" w:hAnsi="Times New Roman" w:cs="Times New Roman"/>
                <w:color w:val="010205"/>
                <w:sz w:val="24"/>
              </w:rPr>
              <w:t>2.471</w:t>
            </w: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10205"/>
                <w:sz w:val="24"/>
              </w:rPr>
              <w:t>0.009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10205"/>
                <w:sz w:val="24"/>
              </w:rPr>
              <w:t>1.691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cs="Times New Roman"/>
                <w:color w:val="010205"/>
                <w:sz w:val="24"/>
              </w:rPr>
              <w:t>1.139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imes New Roman" w:hAnsi="Times New Roman" w:cs="Times New Roman"/>
                <w:color w:val="010205"/>
                <w:sz w:val="24"/>
              </w:rPr>
              <w:t>2.512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10205"/>
                <w:sz w:val="24"/>
              </w:rPr>
              <w:t>0.068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  <w:r>
              <w:rPr>
                <w:rFonts w:ascii="Times New Roman" w:hAnsi="Times New Roman" w:cs="Times New Roman"/>
                <w:color w:val="010205"/>
                <w:sz w:val="24"/>
              </w:rPr>
              <w:t>1.525(</w:t>
            </w:r>
            <w:r>
              <w:rPr>
                <w:rFonts w:hint="eastAsia" w:ascii="Times New Roman" w:hAnsi="Times New Roman" w:cs="Times New Roman"/>
                <w:color w:val="010205"/>
                <w:sz w:val="24"/>
              </w:rPr>
              <w:t>0</w:t>
            </w:r>
            <w:r>
              <w:rPr>
                <w:rFonts w:ascii="Times New Roman" w:hAnsi="Times New Roman" w:cs="Times New Roman"/>
                <w:color w:val="010205"/>
                <w:sz w:val="24"/>
              </w:rPr>
              <w:t>.969</w:t>
            </w:r>
            <w:r>
              <w:rPr>
                <w:rFonts w:hint="eastAsia" w:ascii="Times New Roman" w:hAnsi="Times New Roman" w:cs="Times New Roman"/>
                <w:color w:val="010205"/>
                <w:sz w:val="24"/>
              </w:rPr>
              <w:t>-</w:t>
            </w:r>
            <w:r>
              <w:rPr>
                <w:rFonts w:ascii="Times New Roman" w:hAnsi="Times New Roman" w:cs="Times New Roman"/>
                <w:color w:val="010205"/>
                <w:sz w:val="24"/>
              </w:rPr>
              <w:t>2.400)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left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&gt;19.240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  <w:r>
              <w:rPr>
                <w:rFonts w:ascii="Times New Roman" w:hAnsi="Times New Roman" w:cs="Times New Roman"/>
                <w:color w:val="010205"/>
                <w:sz w:val="24"/>
              </w:rPr>
              <w:t>0.014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  <w:r>
              <w:rPr>
                <w:rFonts w:ascii="Times New Roman" w:hAnsi="Times New Roman" w:cs="Times New Roman"/>
                <w:color w:val="010205"/>
                <w:sz w:val="24"/>
              </w:rPr>
              <w:t>2.710(1.223</w:t>
            </w:r>
            <w:r>
              <w:rPr>
                <w:rFonts w:hint="eastAsia" w:ascii="Times New Roman" w:hAnsi="Times New Roman" w:cs="Times New Roman"/>
                <w:color w:val="010205"/>
                <w:sz w:val="24"/>
              </w:rPr>
              <w:t>-</w:t>
            </w:r>
            <w:r>
              <w:rPr>
                <w:rFonts w:ascii="Times New Roman" w:hAnsi="Times New Roman" w:cs="Times New Roman"/>
                <w:color w:val="010205"/>
                <w:sz w:val="24"/>
              </w:rPr>
              <w:t>6.006)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  <w:r>
              <w:rPr>
                <w:rFonts w:ascii="Times New Roman" w:hAnsi="Times New Roman" w:cs="Times New Roman"/>
                <w:color w:val="010205"/>
                <w:sz w:val="24"/>
              </w:rPr>
              <w:t>0.017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  <w:r>
              <w:rPr>
                <w:rFonts w:ascii="Times New Roman" w:hAnsi="Times New Roman" w:cs="Times New Roman"/>
                <w:color w:val="010205"/>
                <w:sz w:val="24"/>
              </w:rPr>
              <w:t>2.705(1.194</w:t>
            </w:r>
            <w:r>
              <w:rPr>
                <w:rFonts w:hint="eastAsia" w:ascii="Times New Roman" w:hAnsi="Times New Roman" w:cs="Times New Roman"/>
                <w:color w:val="010205"/>
                <w:sz w:val="24"/>
              </w:rPr>
              <w:t>-</w:t>
            </w:r>
            <w:r>
              <w:rPr>
                <w:rFonts w:ascii="Times New Roman" w:hAnsi="Times New Roman" w:cs="Times New Roman"/>
                <w:color w:val="010205"/>
                <w:sz w:val="24"/>
              </w:rPr>
              <w:t>6.129)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  <w:r>
              <w:rPr>
                <w:rFonts w:ascii="Times New Roman" w:hAnsi="Times New Roman" w:cs="Times New Roman"/>
                <w:color w:val="010205"/>
                <w:sz w:val="24"/>
              </w:rPr>
              <w:t>0.013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  <w:r>
              <w:rPr>
                <w:rFonts w:ascii="Times New Roman" w:hAnsi="Times New Roman" w:cs="Times New Roman"/>
                <w:color w:val="010205"/>
                <w:sz w:val="24"/>
              </w:rPr>
              <w:t>3.420(1.297</w:t>
            </w:r>
            <w:r>
              <w:rPr>
                <w:rFonts w:hint="eastAsia" w:ascii="Times New Roman" w:hAnsi="Times New Roman" w:cs="Times New Roman"/>
                <w:color w:val="010205"/>
                <w:sz w:val="24"/>
              </w:rPr>
              <w:t>-</w:t>
            </w:r>
            <w:r>
              <w:rPr>
                <w:rFonts w:ascii="Times New Roman" w:hAnsi="Times New Roman" w:cs="Times New Roman"/>
                <w:color w:val="010205"/>
                <w:sz w:val="24"/>
              </w:rPr>
              <w:t>9.017)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left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for trend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  <w:r>
              <w:rPr>
                <w:rFonts w:hint="eastAsia" w:ascii="Times New Roman" w:hAnsi="Times New Roman" w:cs="Times New Roman"/>
                <w:color w:val="010205"/>
                <w:sz w:val="24"/>
              </w:rPr>
              <w:t>0.002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  <w:r>
              <w:rPr>
                <w:rFonts w:hint="eastAsia" w:ascii="Times New Roman" w:hAnsi="Times New Roman" w:cs="Times New Roman"/>
                <w:color w:val="010205"/>
                <w:sz w:val="24"/>
              </w:rPr>
              <w:t>0.003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  <w:r>
              <w:rPr>
                <w:rFonts w:hint="eastAsia" w:ascii="Times New Roman" w:hAnsi="Times New Roman" w:cs="Times New Roman"/>
                <w:color w:val="010205"/>
                <w:sz w:val="24"/>
              </w:rPr>
              <w:t>0.009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</w:p>
        </w:tc>
      </w:tr>
      <w:tr>
        <w:trPr>
          <w:jc w:val="center"/>
        </w:trPr>
        <w:tc>
          <w:tcPr>
            <w:tcW w:w="2424" w:type="dxa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left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</w:t>
            </w: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etabolic syndrome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left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2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  <w:r>
              <w:rPr>
                <w:rFonts w:ascii="Times New Roman" w:hAnsi="Times New Roman" w:cs="Times New Roman"/>
                <w:color w:val="010205"/>
                <w:sz w:val="24"/>
              </w:rPr>
              <w:t>Reference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</w:p>
        </w:tc>
        <w:tc>
          <w:tcPr>
            <w:tcW w:w="2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  <w:r>
              <w:rPr>
                <w:rFonts w:ascii="Times New Roman" w:hAnsi="Times New Roman" w:cs="Times New Roman"/>
                <w:color w:val="010205"/>
                <w:sz w:val="24"/>
              </w:rPr>
              <w:t>Reference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</w:p>
        </w:tc>
        <w:tc>
          <w:tcPr>
            <w:tcW w:w="28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  <w:r>
              <w:rPr>
                <w:rFonts w:ascii="Times New Roman" w:hAnsi="Times New Roman" w:cs="Times New Roman"/>
                <w:color w:val="010205"/>
                <w:sz w:val="24"/>
              </w:rPr>
              <w:t>Reference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4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left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  <w:r>
              <w:rPr>
                <w:rFonts w:ascii="Times New Roman" w:hAnsi="Times New Roman" w:cs="Times New Roman"/>
                <w:color w:val="010205"/>
                <w:sz w:val="24"/>
              </w:rPr>
              <w:t>&lt;0.001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  <w:r>
              <w:rPr>
                <w:rFonts w:ascii="Times New Roman" w:hAnsi="Times New Roman" w:cs="Times New Roman"/>
                <w:color w:val="010205"/>
                <w:sz w:val="24"/>
              </w:rPr>
              <w:t>1.800</w:t>
            </w:r>
            <w:r>
              <w:rPr>
                <w:rFonts w:hint="eastAsia" w:ascii="Times New Roman" w:hAnsi="Times New Roman" w:cs="Times New Roman"/>
                <w:color w:val="010205"/>
                <w:sz w:val="24"/>
              </w:rPr>
              <w:t>(</w:t>
            </w:r>
            <w:r>
              <w:rPr>
                <w:rFonts w:ascii="Times New Roman" w:hAnsi="Times New Roman" w:cs="Times New Roman"/>
                <w:color w:val="010205"/>
                <w:sz w:val="24"/>
              </w:rPr>
              <w:t>1.313</w:t>
            </w:r>
            <w:r>
              <w:rPr>
                <w:rFonts w:hint="eastAsia" w:ascii="Times New Roman" w:hAnsi="Times New Roman" w:cs="Times New Roman"/>
                <w:color w:val="010205"/>
                <w:sz w:val="24"/>
              </w:rPr>
              <w:t>-</w:t>
            </w:r>
            <w:r>
              <w:rPr>
                <w:rFonts w:ascii="Times New Roman" w:hAnsi="Times New Roman" w:cs="Times New Roman"/>
                <w:color w:val="010205"/>
                <w:sz w:val="24"/>
              </w:rPr>
              <w:t>2.468</w:t>
            </w:r>
            <w:r>
              <w:rPr>
                <w:rFonts w:hint="eastAsia" w:ascii="Times New Roman" w:hAnsi="Times New Roman" w:cs="Times New Roman"/>
                <w:color w:val="010205"/>
                <w:sz w:val="24"/>
              </w:rPr>
              <w:t>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  <w:r>
              <w:rPr>
                <w:rFonts w:ascii="Times New Roman" w:hAnsi="Times New Roman" w:cs="Times New Roman"/>
                <w:color w:val="010205"/>
                <w:sz w:val="24"/>
              </w:rPr>
              <w:t>&lt;0.001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  <w:r>
              <w:rPr>
                <w:rFonts w:ascii="Times New Roman" w:hAnsi="Times New Roman" w:cs="Times New Roman"/>
                <w:color w:val="010205"/>
                <w:sz w:val="24"/>
              </w:rPr>
              <w:t>1.839</w:t>
            </w:r>
            <w:r>
              <w:rPr>
                <w:rFonts w:hint="eastAsia" w:ascii="Times New Roman" w:hAnsi="Times New Roman" w:cs="Times New Roman"/>
                <w:color w:val="010205"/>
                <w:sz w:val="24"/>
              </w:rPr>
              <w:t>(</w:t>
            </w:r>
            <w:r>
              <w:rPr>
                <w:rFonts w:ascii="Times New Roman" w:hAnsi="Times New Roman" w:cs="Times New Roman"/>
                <w:color w:val="010205"/>
                <w:sz w:val="24"/>
              </w:rPr>
              <w:t>1.310</w:t>
            </w:r>
            <w:r>
              <w:rPr>
                <w:rFonts w:hint="eastAsia" w:ascii="Times New Roman" w:hAnsi="Times New Roman" w:cs="Times New Roman"/>
                <w:color w:val="010205"/>
                <w:sz w:val="24"/>
              </w:rPr>
              <w:t>-</w:t>
            </w:r>
            <w:r>
              <w:rPr>
                <w:rFonts w:ascii="Times New Roman" w:hAnsi="Times New Roman" w:cs="Times New Roman"/>
                <w:color w:val="010205"/>
                <w:sz w:val="24"/>
              </w:rPr>
              <w:t>2.582</w:t>
            </w:r>
            <w:r>
              <w:rPr>
                <w:rFonts w:hint="eastAsia" w:ascii="Times New Roman" w:hAnsi="Times New Roman" w:cs="Times New Roman"/>
                <w:color w:val="010205"/>
                <w:sz w:val="24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  <w:r>
              <w:rPr>
                <w:rFonts w:hint="eastAsia" w:ascii="Times New Roman" w:hAnsi="Times New Roman" w:cs="Times New Roman"/>
                <w:color w:val="010205"/>
                <w:sz w:val="24"/>
              </w:rPr>
              <w:t>0</w:t>
            </w:r>
            <w:r>
              <w:rPr>
                <w:rFonts w:ascii="Times New Roman" w:hAnsi="Times New Roman" w:cs="Times New Roman"/>
                <w:color w:val="010205"/>
                <w:sz w:val="24"/>
              </w:rPr>
              <w:t>.001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  <w:r>
              <w:rPr>
                <w:rFonts w:ascii="Times New Roman" w:hAnsi="Times New Roman" w:cs="Times New Roman"/>
                <w:color w:val="010205"/>
                <w:sz w:val="24"/>
              </w:rPr>
              <w:t>1.941</w:t>
            </w:r>
            <w:r>
              <w:rPr>
                <w:rFonts w:hint="eastAsia" w:ascii="Times New Roman" w:hAnsi="Times New Roman" w:cs="Times New Roman"/>
                <w:color w:val="010205"/>
                <w:sz w:val="24"/>
              </w:rPr>
              <w:t>(</w:t>
            </w:r>
            <w:r>
              <w:rPr>
                <w:rFonts w:ascii="Times New Roman" w:hAnsi="Times New Roman" w:cs="Times New Roman"/>
                <w:color w:val="010205"/>
                <w:sz w:val="24"/>
              </w:rPr>
              <w:t>1.295</w:t>
            </w:r>
            <w:r>
              <w:rPr>
                <w:rFonts w:hint="eastAsia" w:ascii="Times New Roman" w:hAnsi="Times New Roman" w:cs="Times New Roman"/>
                <w:color w:val="010205"/>
                <w:sz w:val="24"/>
              </w:rPr>
              <w:t>-</w:t>
            </w:r>
            <w:r>
              <w:rPr>
                <w:rFonts w:ascii="Times New Roman" w:hAnsi="Times New Roman" w:cs="Times New Roman"/>
                <w:color w:val="010205"/>
                <w:sz w:val="24"/>
              </w:rPr>
              <w:t>2.909</w:t>
            </w:r>
            <w:r>
              <w:rPr>
                <w:rFonts w:hint="eastAsia" w:ascii="Times New Roman" w:hAnsi="Times New Roman" w:cs="Times New Roman"/>
                <w:color w:val="010205"/>
                <w:sz w:val="24"/>
              </w:rPr>
              <w:t>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4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left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Number of cardiometabolic risk factor clusters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  <w:r>
              <w:rPr>
                <w:rFonts w:ascii="Times New Roman" w:hAnsi="Times New Roman" w:cs="Times New Roman"/>
                <w:color w:val="010205"/>
                <w:sz w:val="24"/>
              </w:rPr>
              <w:t>&lt;0.001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  <w:r>
              <w:rPr>
                <w:rFonts w:ascii="Times New Roman" w:hAnsi="Times New Roman" w:cs="Times New Roman"/>
                <w:color w:val="010205"/>
                <w:sz w:val="24"/>
              </w:rPr>
              <w:t>1.335</w:t>
            </w:r>
            <w:r>
              <w:rPr>
                <w:rFonts w:hint="eastAsia" w:ascii="Times New Roman" w:hAnsi="Times New Roman" w:cs="Times New Roman"/>
                <w:color w:val="010205"/>
                <w:sz w:val="24"/>
              </w:rPr>
              <w:t>(</w:t>
            </w:r>
            <w:r>
              <w:rPr>
                <w:rFonts w:ascii="Times New Roman" w:hAnsi="Times New Roman" w:cs="Times New Roman"/>
                <w:color w:val="010205"/>
                <w:sz w:val="24"/>
              </w:rPr>
              <w:t>1.166</w:t>
            </w:r>
            <w:r>
              <w:rPr>
                <w:rFonts w:hint="eastAsia" w:ascii="Times New Roman" w:hAnsi="Times New Roman" w:cs="Times New Roman"/>
                <w:color w:val="010205"/>
                <w:sz w:val="24"/>
              </w:rPr>
              <w:t>-</w:t>
            </w:r>
            <w:r>
              <w:rPr>
                <w:rFonts w:ascii="Times New Roman" w:hAnsi="Times New Roman" w:cs="Times New Roman"/>
                <w:color w:val="010205"/>
                <w:sz w:val="24"/>
              </w:rPr>
              <w:t>1.529</w:t>
            </w:r>
            <w:r>
              <w:rPr>
                <w:rFonts w:hint="eastAsia" w:ascii="Times New Roman" w:hAnsi="Times New Roman" w:cs="Times New Roman"/>
                <w:color w:val="010205"/>
                <w:sz w:val="24"/>
              </w:rPr>
              <w:t>)</w:t>
            </w:r>
          </w:p>
        </w:tc>
        <w:tc>
          <w:tcPr>
            <w:tcW w:w="24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  <w:r>
              <w:rPr>
                <w:rFonts w:ascii="Times New Roman" w:hAnsi="Times New Roman" w:cs="Times New Roman"/>
                <w:color w:val="010205"/>
                <w:sz w:val="24"/>
              </w:rPr>
              <w:t>&lt;0.001</w:t>
            </w:r>
          </w:p>
        </w:tc>
        <w:tc>
          <w:tcPr>
            <w:tcW w:w="2009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  <w:r>
              <w:rPr>
                <w:rFonts w:ascii="Times New Roman" w:hAnsi="Times New Roman" w:cs="Times New Roman"/>
                <w:color w:val="010205"/>
                <w:sz w:val="24"/>
              </w:rPr>
              <w:t>1.366</w:t>
            </w:r>
            <w:r>
              <w:rPr>
                <w:rFonts w:hint="eastAsia" w:ascii="Times New Roman" w:hAnsi="Times New Roman" w:cs="Times New Roman"/>
                <w:color w:val="010205"/>
                <w:sz w:val="24"/>
              </w:rPr>
              <w:t>(</w:t>
            </w:r>
            <w:r>
              <w:rPr>
                <w:rFonts w:ascii="Times New Roman" w:hAnsi="Times New Roman" w:cs="Times New Roman"/>
                <w:color w:val="010205"/>
                <w:sz w:val="24"/>
              </w:rPr>
              <w:t>1.178</w:t>
            </w:r>
            <w:r>
              <w:rPr>
                <w:rFonts w:hint="eastAsia" w:ascii="Times New Roman" w:hAnsi="Times New Roman" w:cs="Times New Roman"/>
                <w:color w:val="010205"/>
                <w:sz w:val="24"/>
              </w:rPr>
              <w:t>-</w:t>
            </w:r>
            <w:r>
              <w:rPr>
                <w:rFonts w:ascii="Times New Roman" w:hAnsi="Times New Roman" w:cs="Times New Roman"/>
                <w:color w:val="010205"/>
                <w:sz w:val="24"/>
              </w:rPr>
              <w:t>1.585</w:t>
            </w:r>
            <w:r>
              <w:rPr>
                <w:rFonts w:hint="eastAsia" w:ascii="Times New Roman" w:hAnsi="Times New Roman" w:cs="Times New Roman"/>
                <w:color w:val="010205"/>
                <w:sz w:val="24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  <w:r>
              <w:rPr>
                <w:rFonts w:hint="eastAsia" w:ascii="Times New Roman" w:hAnsi="Times New Roman" w:cs="Times New Roman"/>
                <w:color w:val="010205"/>
                <w:sz w:val="24"/>
              </w:rPr>
              <w:t>0</w:t>
            </w:r>
            <w:r>
              <w:rPr>
                <w:rFonts w:ascii="Times New Roman" w:hAnsi="Times New Roman" w:cs="Times New Roman"/>
                <w:color w:val="010205"/>
                <w:sz w:val="24"/>
              </w:rPr>
              <w:t>.001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  <w:r>
              <w:rPr>
                <w:rFonts w:ascii="Times New Roman" w:hAnsi="Times New Roman" w:cs="Times New Roman"/>
                <w:color w:val="010205"/>
                <w:sz w:val="24"/>
              </w:rPr>
              <w:t>1.331</w:t>
            </w:r>
            <w:r>
              <w:rPr>
                <w:rFonts w:hint="eastAsia" w:ascii="Times New Roman" w:hAnsi="Times New Roman" w:cs="Times New Roman"/>
                <w:color w:val="010205"/>
                <w:sz w:val="24"/>
              </w:rPr>
              <w:t>(</w:t>
            </w:r>
            <w:r>
              <w:rPr>
                <w:rFonts w:ascii="Times New Roman" w:hAnsi="Times New Roman" w:cs="Times New Roman"/>
                <w:color w:val="010205"/>
                <w:sz w:val="24"/>
              </w:rPr>
              <w:t>1.118</w:t>
            </w:r>
            <w:r>
              <w:rPr>
                <w:rFonts w:hint="eastAsia" w:ascii="Times New Roman" w:hAnsi="Times New Roman" w:cs="Times New Roman"/>
                <w:color w:val="010205"/>
                <w:sz w:val="24"/>
              </w:rPr>
              <w:t>-</w:t>
            </w:r>
            <w:r>
              <w:rPr>
                <w:rFonts w:ascii="Times New Roman" w:hAnsi="Times New Roman" w:cs="Times New Roman"/>
                <w:color w:val="010205"/>
                <w:sz w:val="24"/>
              </w:rPr>
              <w:t>1.584</w:t>
            </w:r>
            <w:r>
              <w:rPr>
                <w:rFonts w:hint="eastAsia" w:ascii="Times New Roman" w:hAnsi="Times New Roman" w:cs="Times New Roman"/>
                <w:color w:val="010205"/>
                <w:sz w:val="24"/>
              </w:rPr>
              <w:t>)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textAlignment w:val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Model 1: did not adjust any covariate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textAlignment w:val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Model 2: adjusted BF%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textAlignment w:val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Model 3: adjusted for BF%, hemoglobin, lactate dehydrogenase, alkaline phosphatase, total cholesterol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517478"/>
    <w:rsid w:val="09E5386C"/>
    <w:rsid w:val="0A383380"/>
    <w:rsid w:val="57DC0AF8"/>
    <w:rsid w:val="68517478"/>
    <w:rsid w:val="6B6B2C2C"/>
    <w:rsid w:val="74A13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Office_11.3.0.9236_F1E327BC-269C-435d-A152-05C5408002CA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2024-09-09T17:13:00Z</dcterms:created>
  <dc:creator>王金茹</dc:creator>
  <cp:lastModifiedBy>王金茹</cp:lastModifiedBy>
  <dcterms:modified xsi:type="dcterms:W3CDTF">2024-10-13T12:49:56Z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2052-11.3.0.9236</vt:lpwstr>
  </property>
</Properties>
</file>