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B4A" w:rsidRPr="00C92C19" w:rsidRDefault="001C6B4A" w:rsidP="001C6B4A">
      <w:pPr>
        <w:pStyle w:val="Heading1"/>
        <w:spacing w:line="240" w:lineRule="auto"/>
        <w:rPr>
          <w:rFonts w:cs="Times New Roman"/>
        </w:rPr>
      </w:pPr>
      <w:r w:rsidRPr="00C92C19">
        <w:rPr>
          <w:rFonts w:cs="Times New Roman"/>
        </w:rPr>
        <w:t>Supporting Information</w:t>
      </w:r>
    </w:p>
    <w:tbl>
      <w:tblPr>
        <w:tblW w:w="977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1"/>
      </w:tblGrid>
      <w:tr w:rsidR="001C6B4A" w:rsidRPr="00C92C19" w:rsidTr="00144F67">
        <w:trPr>
          <w:jc w:val="center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6B4A" w:rsidRPr="00C92C19" w:rsidRDefault="001C6B4A" w:rsidP="00144F67">
            <w:pPr>
              <w:spacing w:line="240" w:lineRule="auto"/>
              <w:rPr>
                <w:lang w:val="en-CA"/>
              </w:rPr>
            </w:pPr>
            <w:r w:rsidRPr="00C92C19">
              <w:rPr>
                <w:b/>
                <w:bCs/>
                <w:i/>
                <w:iCs/>
                <w:lang w:val="en-CA"/>
              </w:rPr>
              <w:t xml:space="preserve">Confirmed case </w:t>
            </w:r>
            <w:r w:rsidRPr="00C92C19">
              <w:rPr>
                <w:i/>
                <w:iCs/>
                <w:lang w:val="en-CA"/>
              </w:rPr>
              <w:t>–</w:t>
            </w:r>
            <w:r w:rsidRPr="00C92C19">
              <w:rPr>
                <w:lang w:val="en-CA"/>
              </w:rPr>
              <w:t> Definitive laboratory evidence only</w:t>
            </w:r>
          </w:p>
        </w:tc>
      </w:tr>
      <w:tr w:rsidR="001C6B4A" w:rsidRPr="00C92C19" w:rsidTr="00144F67">
        <w:trPr>
          <w:trHeight w:val="420"/>
          <w:jc w:val="center"/>
        </w:trPr>
        <w:tc>
          <w:tcPr>
            <w:tcW w:w="977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6B4A" w:rsidRPr="00C92C19" w:rsidRDefault="001C6B4A" w:rsidP="00144F67">
            <w:pPr>
              <w:spacing w:line="240" w:lineRule="auto"/>
              <w:rPr>
                <w:i/>
                <w:iCs/>
                <w:lang w:val="en-CA"/>
              </w:rPr>
            </w:pPr>
            <w:r w:rsidRPr="00C92C19">
              <w:rPr>
                <w:i/>
                <w:iCs/>
                <w:lang w:val="en-CA"/>
              </w:rPr>
              <w:t>Laboratory definitive evidence:</w:t>
            </w:r>
          </w:p>
          <w:p w:rsidR="001C6B4A" w:rsidRPr="00C92C19" w:rsidRDefault="001C6B4A" w:rsidP="00144F6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lang w:val="en-CA"/>
              </w:rPr>
            </w:pPr>
            <w:r w:rsidRPr="00C92C19">
              <w:rPr>
                <w:lang w:val="en-CA"/>
              </w:rPr>
              <w:t xml:space="preserve">Isolation of respiratory syncytial virus by a cell culture </w:t>
            </w:r>
          </w:p>
          <w:p w:rsidR="001C6B4A" w:rsidRPr="00C92C19" w:rsidRDefault="001C6B4A" w:rsidP="00144F67">
            <w:pPr>
              <w:pStyle w:val="ListParagraph"/>
              <w:spacing w:line="240" w:lineRule="auto"/>
              <w:rPr>
                <w:lang w:val="en-CA"/>
              </w:rPr>
            </w:pPr>
            <w:r w:rsidRPr="00C92C19">
              <w:rPr>
                <w:lang w:val="en-CA"/>
              </w:rPr>
              <w:t xml:space="preserve">OR </w:t>
            </w:r>
          </w:p>
          <w:p w:rsidR="001C6B4A" w:rsidRPr="00C92C19" w:rsidRDefault="001C6B4A" w:rsidP="00144F6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lang w:val="en-CA"/>
              </w:rPr>
            </w:pPr>
            <w:r w:rsidRPr="00C92C19">
              <w:rPr>
                <w:lang w:val="en-CA"/>
              </w:rPr>
              <w:t xml:space="preserve">Detection of respiratory syncytial virus by nucleic acid testing </w:t>
            </w:r>
          </w:p>
          <w:p w:rsidR="001C6B4A" w:rsidRPr="00C92C19" w:rsidRDefault="001C6B4A" w:rsidP="00144F67">
            <w:pPr>
              <w:pStyle w:val="ListParagraph"/>
              <w:spacing w:line="240" w:lineRule="auto"/>
              <w:rPr>
                <w:lang w:val="en-CA"/>
              </w:rPr>
            </w:pPr>
            <w:r w:rsidRPr="00C92C19">
              <w:rPr>
                <w:lang w:val="en-CA"/>
              </w:rPr>
              <w:t xml:space="preserve">OR </w:t>
            </w:r>
          </w:p>
          <w:p w:rsidR="001C6B4A" w:rsidRPr="00C92C19" w:rsidRDefault="001C6B4A" w:rsidP="00144F6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lang w:val="en-CA"/>
              </w:rPr>
            </w:pPr>
            <w:r w:rsidRPr="00C92C19">
              <w:rPr>
                <w:lang w:val="en-CA"/>
              </w:rPr>
              <w:t xml:space="preserve">Detection of respiratory syncytial virus antigen </w:t>
            </w:r>
          </w:p>
          <w:p w:rsidR="001C6B4A" w:rsidRPr="00C92C19" w:rsidRDefault="001C6B4A" w:rsidP="00144F67">
            <w:pPr>
              <w:pStyle w:val="ListParagraph"/>
              <w:spacing w:line="240" w:lineRule="auto"/>
              <w:rPr>
                <w:lang w:val="en-CA"/>
              </w:rPr>
            </w:pPr>
            <w:r w:rsidRPr="00C92C19">
              <w:rPr>
                <w:lang w:val="en-CA"/>
              </w:rPr>
              <w:t>OR</w:t>
            </w:r>
          </w:p>
          <w:p w:rsidR="001C6B4A" w:rsidRPr="00C92C19" w:rsidRDefault="001C6B4A" w:rsidP="00144F6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lang w:val="en-CA"/>
              </w:rPr>
            </w:pPr>
            <w:r w:rsidRPr="00C92C19">
              <w:rPr>
                <w:lang w:val="en-CA"/>
              </w:rPr>
              <w:t>Seroconversion, or a significant increase in antibody level such as a fourfold or greater rise in titre, to respiratory syncytial virus between paired sera of immunoglobulin G (IgG) or total antibody</w:t>
            </w:r>
          </w:p>
        </w:tc>
      </w:tr>
    </w:tbl>
    <w:p w:rsidR="001C6B4A" w:rsidRPr="00C92C19" w:rsidRDefault="001C6B4A" w:rsidP="001C6B4A">
      <w:pPr>
        <w:spacing w:line="240" w:lineRule="auto"/>
        <w:rPr>
          <w:b/>
          <w:bCs/>
        </w:rPr>
      </w:pPr>
    </w:p>
    <w:p w:rsidR="001C6B4A" w:rsidRPr="00C92C19" w:rsidRDefault="001C6B4A" w:rsidP="001C6B4A">
      <w:pPr>
        <w:spacing w:line="240" w:lineRule="auto"/>
        <w:rPr>
          <w:lang w:val="en-CA"/>
        </w:rPr>
      </w:pPr>
      <w:r w:rsidRPr="00C92C19">
        <w:rPr>
          <w:b/>
          <w:bCs/>
        </w:rPr>
        <w:t xml:space="preserve">Supporting information, box 1: </w:t>
      </w:r>
      <w:r w:rsidRPr="00C92C19">
        <w:rPr>
          <w:lang w:val="en-CA"/>
        </w:rPr>
        <w:t xml:space="preserve">Respiratory syncytial virus Australian national notifiable diseases case definition, from: </w:t>
      </w:r>
      <w:hyperlink r:id="rId6" w:history="1">
        <w:r w:rsidRPr="00C92C19">
          <w:rPr>
            <w:rStyle w:val="Hyperlink"/>
            <w:lang w:val="en-CA"/>
          </w:rPr>
          <w:t>https://www.health.gov.au/resources/publications/respiratory-syncytial-virus-surveillance-case-definition</w:t>
        </w:r>
      </w:hyperlink>
      <w:r w:rsidRPr="00C92C19">
        <w:rPr>
          <w:lang w:val="en-CA"/>
        </w:rPr>
        <w:t xml:space="preserve"> (viewed April 2025).</w:t>
      </w:r>
    </w:p>
    <w:p w:rsidR="001C6B4A" w:rsidRPr="00C92C19" w:rsidRDefault="001C6B4A" w:rsidP="001C6B4A">
      <w:pPr>
        <w:spacing w:line="240" w:lineRule="auto"/>
        <w:rPr>
          <w:lang w:val="en-CA"/>
        </w:rPr>
      </w:pPr>
      <w:r w:rsidRPr="00C92C19">
        <w:rPr>
          <w:lang w:val="en-CA"/>
        </w:rPr>
        <w:br w:type="page"/>
      </w:r>
    </w:p>
    <w:p w:rsidR="001C6B4A" w:rsidRPr="00C92C19" w:rsidRDefault="001C6B4A" w:rsidP="001C6B4A">
      <w:pPr>
        <w:pStyle w:val="NoSpacing"/>
        <w:spacing w:line="240" w:lineRule="auto"/>
        <w:jc w:val="center"/>
      </w:pPr>
      <w:r w:rsidRPr="00C92C19">
        <w:rPr>
          <w:noProof/>
          <w:lang w:val="en-US" w:eastAsia="en-US"/>
        </w:rPr>
        <w:lastRenderedPageBreak/>
        <w:drawing>
          <wp:inline distT="0" distB="0" distL="0" distR="0" wp14:anchorId="2F095492" wp14:editId="13FE1E4A">
            <wp:extent cx="5956300" cy="3468626"/>
            <wp:effectExtent l="0" t="0" r="0" b="0"/>
            <wp:docPr id="661353956" name="Picture 1" descr="A graph of numbers and number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53956" name="Picture 1" descr="A graph of numbers and numbers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31" cy="3480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B4A" w:rsidRPr="00C92C19" w:rsidRDefault="001C6B4A" w:rsidP="001C6B4A">
      <w:pPr>
        <w:pStyle w:val="NoSpacing"/>
        <w:spacing w:line="240" w:lineRule="auto"/>
        <w:rPr>
          <w:sz w:val="24"/>
        </w:rPr>
      </w:pPr>
      <w:proofErr w:type="gramStart"/>
      <w:r w:rsidRPr="00C92C19">
        <w:rPr>
          <w:b/>
          <w:bCs/>
          <w:sz w:val="24"/>
        </w:rPr>
        <w:t>Supporting information, figure 1</w:t>
      </w:r>
      <w:r w:rsidRPr="00C92C19">
        <w:rPr>
          <w:sz w:val="24"/>
        </w:rPr>
        <w:t>.</w:t>
      </w:r>
      <w:proofErr w:type="gramEnd"/>
      <w:r w:rsidRPr="00C92C19">
        <w:rPr>
          <w:sz w:val="24"/>
        </w:rPr>
        <w:t xml:space="preserve"> </w:t>
      </w:r>
      <w:proofErr w:type="gramStart"/>
      <w:r w:rsidRPr="00C92C19">
        <w:rPr>
          <w:sz w:val="24"/>
        </w:rPr>
        <w:t>Number and incidence of RSV notifications in Queensland 2022–2023 inclusive.</w:t>
      </w:r>
      <w:proofErr w:type="gramEnd"/>
    </w:p>
    <w:p w:rsidR="001C6B4A" w:rsidRPr="00C92C19" w:rsidRDefault="001C6B4A" w:rsidP="001C6B4A">
      <w:pPr>
        <w:pStyle w:val="NoSpacing"/>
        <w:spacing w:line="240" w:lineRule="auto"/>
      </w:pPr>
    </w:p>
    <w:p w:rsidR="001C6B4A" w:rsidRPr="00C92C19" w:rsidRDefault="001C6B4A" w:rsidP="001C6B4A">
      <w:pPr>
        <w:spacing w:line="240" w:lineRule="auto"/>
        <w:rPr>
          <w:b/>
          <w:bCs/>
          <w:sz w:val="21"/>
          <w:szCs w:val="21"/>
        </w:rPr>
      </w:pPr>
      <w:r w:rsidRPr="00C92C19">
        <w:rPr>
          <w:b/>
          <w:bCs/>
          <w:sz w:val="21"/>
          <w:szCs w:val="21"/>
        </w:rPr>
        <w:br w:type="page"/>
      </w:r>
    </w:p>
    <w:p w:rsidR="001C6B4A" w:rsidRPr="00C92C19" w:rsidRDefault="001C6B4A" w:rsidP="001C6B4A">
      <w:pPr>
        <w:spacing w:line="240" w:lineRule="auto"/>
      </w:pPr>
      <w:proofErr w:type="gramStart"/>
      <w:r w:rsidRPr="00C92C19">
        <w:rPr>
          <w:b/>
          <w:bCs/>
        </w:rPr>
        <w:lastRenderedPageBreak/>
        <w:t>Supporting information, table 1.</w:t>
      </w:r>
      <w:proofErr w:type="gramEnd"/>
      <w:r w:rsidRPr="00C92C19">
        <w:rPr>
          <w:b/>
          <w:bCs/>
        </w:rPr>
        <w:t xml:space="preserve"> </w:t>
      </w:r>
      <w:r w:rsidRPr="00C92C19">
        <w:t xml:space="preserve">Number and incidence of RSV infections per 1,000 </w:t>
      </w:r>
      <w:r>
        <w:t>children</w:t>
      </w:r>
      <w:r w:rsidRPr="00C92C19">
        <w:t xml:space="preserve"> aged &lt;2 years in Queensland by completed month of age, 2022–2023 inclusive.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9"/>
        <w:gridCol w:w="2271"/>
        <w:gridCol w:w="2835"/>
      </w:tblGrid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b/>
                <w:bCs/>
                <w:sz w:val="20"/>
                <w:szCs w:val="20"/>
              </w:rPr>
            </w:pPr>
            <w:r w:rsidRPr="00502737">
              <w:rPr>
                <w:b/>
                <w:bCs/>
                <w:sz w:val="20"/>
                <w:szCs w:val="20"/>
              </w:rPr>
              <w:t>Age (months)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b/>
                <w:bCs/>
                <w:sz w:val="20"/>
                <w:szCs w:val="20"/>
              </w:rPr>
            </w:pPr>
            <w:r w:rsidRPr="00502737">
              <w:rPr>
                <w:b/>
                <w:bCs/>
                <w:sz w:val="20"/>
                <w:szCs w:val="20"/>
              </w:rPr>
              <w:t>RSV notifications (count)</w:t>
            </w:r>
          </w:p>
        </w:tc>
        <w:tc>
          <w:tcPr>
            <w:tcW w:w="2835" w:type="dxa"/>
          </w:tcPr>
          <w:p w:rsidR="001C6B4A" w:rsidRPr="00502737" w:rsidRDefault="001C6B4A" w:rsidP="00144F67">
            <w:pPr>
              <w:jc w:val="right"/>
              <w:rPr>
                <w:b/>
                <w:bCs/>
                <w:sz w:val="20"/>
                <w:szCs w:val="20"/>
              </w:rPr>
            </w:pPr>
            <w:r w:rsidRPr="00502737">
              <w:rPr>
                <w:b/>
                <w:bCs/>
                <w:sz w:val="20"/>
                <w:szCs w:val="20"/>
              </w:rPr>
              <w:t xml:space="preserve">Incidence </w:t>
            </w:r>
            <w:r>
              <w:rPr>
                <w:b/>
                <w:bCs/>
                <w:sz w:val="20"/>
                <w:szCs w:val="20"/>
              </w:rPr>
              <w:t>(95% CI)</w:t>
            </w:r>
            <w:r w:rsidRPr="00502737">
              <w:rPr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0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550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58.1</w:t>
            </w:r>
            <w:r>
              <w:rPr>
                <w:color w:val="000000"/>
                <w:sz w:val="20"/>
                <w:szCs w:val="20"/>
              </w:rPr>
              <w:t>2 (53.41-62.84)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914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96.</w:t>
            </w:r>
            <w:r>
              <w:rPr>
                <w:color w:val="000000"/>
                <w:sz w:val="20"/>
                <w:szCs w:val="20"/>
              </w:rPr>
              <w:t>59 (90.64-102.54)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2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802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84.</w:t>
            </w:r>
            <w:r>
              <w:rPr>
                <w:color w:val="000000"/>
                <w:sz w:val="20"/>
                <w:szCs w:val="20"/>
              </w:rPr>
              <w:t>75 (79.14-90.36)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3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779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82.3</w:t>
            </w:r>
            <w:r>
              <w:rPr>
                <w:color w:val="000000"/>
                <w:sz w:val="20"/>
                <w:szCs w:val="20"/>
              </w:rPr>
              <w:t>2 (76.78-87.86)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4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779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82.3</w:t>
            </w:r>
            <w:r>
              <w:rPr>
                <w:color w:val="000000"/>
                <w:sz w:val="20"/>
                <w:szCs w:val="20"/>
              </w:rPr>
              <w:t>2 (76.78-87.86)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5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796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84.1</w:t>
            </w:r>
            <w:r>
              <w:rPr>
                <w:color w:val="000000"/>
                <w:sz w:val="20"/>
                <w:szCs w:val="20"/>
              </w:rPr>
              <w:t>2 (78.53-89.71)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6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813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85.9</w:t>
            </w:r>
            <w:r>
              <w:rPr>
                <w:color w:val="000000"/>
                <w:sz w:val="20"/>
                <w:szCs w:val="20"/>
              </w:rPr>
              <w:t>1 (80.27-91.56)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7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845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89.3</w:t>
            </w:r>
            <w:r>
              <w:rPr>
                <w:color w:val="000000"/>
                <w:sz w:val="20"/>
                <w:szCs w:val="20"/>
              </w:rPr>
              <w:t>0 (83.55-95.04)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845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89.3</w:t>
            </w:r>
            <w:r>
              <w:rPr>
                <w:color w:val="000000"/>
                <w:sz w:val="20"/>
                <w:szCs w:val="20"/>
              </w:rPr>
              <w:t>0 (83.55-95.04)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9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870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91.9</w:t>
            </w:r>
            <w:r>
              <w:rPr>
                <w:color w:val="000000"/>
                <w:sz w:val="20"/>
                <w:szCs w:val="20"/>
              </w:rPr>
              <w:t>4 (86.12-97.76)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10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825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87.</w:t>
            </w:r>
            <w:r>
              <w:rPr>
                <w:color w:val="000000"/>
                <w:sz w:val="20"/>
                <w:szCs w:val="20"/>
              </w:rPr>
              <w:t>18 (81.50-92.87)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11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880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93.0</w:t>
            </w:r>
            <w:r>
              <w:rPr>
                <w:color w:val="000000"/>
                <w:sz w:val="20"/>
                <w:szCs w:val="20"/>
              </w:rPr>
              <w:t>0 (87.14-98.85)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12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915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96.</w:t>
            </w:r>
            <w:r>
              <w:rPr>
                <w:color w:val="000000"/>
                <w:sz w:val="20"/>
                <w:szCs w:val="20"/>
              </w:rPr>
              <w:t>69 (90.74-102.65)</w:t>
            </w:r>
          </w:p>
        </w:tc>
      </w:tr>
      <w:tr w:rsidR="001C6B4A" w:rsidRPr="00502737" w:rsidTr="00144F67">
        <w:trPr>
          <w:trHeight w:val="296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13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907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95.8</w:t>
            </w:r>
            <w:r>
              <w:rPr>
                <w:color w:val="000000"/>
                <w:sz w:val="20"/>
                <w:szCs w:val="20"/>
              </w:rPr>
              <w:t>5 (89.92-101.78)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14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852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90.0</w:t>
            </w:r>
            <w:r>
              <w:rPr>
                <w:color w:val="000000"/>
                <w:sz w:val="20"/>
                <w:szCs w:val="20"/>
              </w:rPr>
              <w:t>4 (84.27-95.80)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15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904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95.5</w:t>
            </w:r>
            <w:r>
              <w:rPr>
                <w:color w:val="000000"/>
                <w:sz w:val="20"/>
                <w:szCs w:val="20"/>
              </w:rPr>
              <w:t>3 (89.61-101.45)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16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795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84.0</w:t>
            </w:r>
            <w:r>
              <w:rPr>
                <w:color w:val="000000"/>
                <w:sz w:val="20"/>
                <w:szCs w:val="20"/>
              </w:rPr>
              <w:t>1 (78.42-89.60)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17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751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79.</w:t>
            </w:r>
            <w:r>
              <w:rPr>
                <w:color w:val="000000"/>
                <w:sz w:val="20"/>
                <w:szCs w:val="20"/>
              </w:rPr>
              <w:t>36 (73.92-84.81)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18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704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74.4</w:t>
            </w:r>
            <w:r>
              <w:rPr>
                <w:color w:val="000000"/>
                <w:sz w:val="20"/>
                <w:szCs w:val="20"/>
              </w:rPr>
              <w:t>0 (69.11-79.68)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19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670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70.8</w:t>
            </w:r>
            <w:r>
              <w:rPr>
                <w:color w:val="000000"/>
                <w:sz w:val="20"/>
                <w:szCs w:val="20"/>
              </w:rPr>
              <w:t>0 (65.63-75.97)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20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635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67.1</w:t>
            </w:r>
            <w:r>
              <w:rPr>
                <w:color w:val="000000"/>
                <w:sz w:val="20"/>
                <w:szCs w:val="20"/>
              </w:rPr>
              <w:t>0 (62.06-72.15)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21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640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67.6</w:t>
            </w:r>
            <w:r>
              <w:rPr>
                <w:color w:val="000000"/>
                <w:sz w:val="20"/>
                <w:szCs w:val="20"/>
              </w:rPr>
              <w:t>3 (62.57-72.69)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22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638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67.4</w:t>
            </w:r>
            <w:r>
              <w:rPr>
                <w:color w:val="000000"/>
                <w:sz w:val="20"/>
                <w:szCs w:val="20"/>
              </w:rPr>
              <w:t>2 (62.37-72.47)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23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575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color w:val="000000"/>
                <w:sz w:val="20"/>
                <w:szCs w:val="20"/>
              </w:rPr>
              <w:t>60.</w:t>
            </w:r>
            <w:r>
              <w:rPr>
                <w:color w:val="000000"/>
                <w:sz w:val="20"/>
                <w:szCs w:val="20"/>
              </w:rPr>
              <w:t>76 (55.95-65.58)</w:t>
            </w:r>
          </w:p>
        </w:tc>
      </w:tr>
      <w:tr w:rsidR="001C6B4A" w:rsidRPr="00502737" w:rsidTr="00144F67">
        <w:trPr>
          <w:trHeight w:val="308"/>
        </w:trPr>
        <w:tc>
          <w:tcPr>
            <w:tcW w:w="2119" w:type="dxa"/>
          </w:tcPr>
          <w:p w:rsidR="001C6B4A" w:rsidRPr="00502737" w:rsidRDefault="001C6B4A" w:rsidP="00144F67">
            <w:pPr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lastRenderedPageBreak/>
              <w:t>TOTAL</w:t>
            </w:r>
          </w:p>
        </w:tc>
        <w:tc>
          <w:tcPr>
            <w:tcW w:w="2271" w:type="dxa"/>
          </w:tcPr>
          <w:p w:rsidR="001C6B4A" w:rsidRPr="00502737" w:rsidRDefault="001C6B4A" w:rsidP="00144F67">
            <w:pPr>
              <w:jc w:val="right"/>
              <w:rPr>
                <w:sz w:val="20"/>
                <w:szCs w:val="20"/>
              </w:rPr>
            </w:pPr>
            <w:r w:rsidRPr="00502737">
              <w:rPr>
                <w:sz w:val="20"/>
                <w:szCs w:val="20"/>
              </w:rPr>
              <w:t>18,68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Align w:val="bottom"/>
          </w:tcPr>
          <w:p w:rsidR="001C6B4A" w:rsidRPr="00526598" w:rsidRDefault="001C6B4A" w:rsidP="00144F67">
            <w:pPr>
              <w:jc w:val="right"/>
              <w:rPr>
                <w:sz w:val="20"/>
                <w:szCs w:val="20"/>
              </w:rPr>
            </w:pPr>
            <w:r w:rsidRPr="00526598">
              <w:rPr>
                <w:b/>
                <w:bCs/>
                <w:color w:val="000000"/>
                <w:sz w:val="20"/>
                <w:szCs w:val="20"/>
              </w:rPr>
              <w:t>82.</w:t>
            </w:r>
            <w:r>
              <w:rPr>
                <w:b/>
                <w:bCs/>
                <w:color w:val="000000"/>
                <w:sz w:val="20"/>
                <w:szCs w:val="20"/>
              </w:rPr>
              <w:t>26</w:t>
            </w:r>
            <w:r w:rsidRPr="00526598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</w:rPr>
              <w:t>81.13-83.39</w:t>
            </w:r>
            <w:r w:rsidRPr="00526598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</w:tbl>
    <w:p w:rsidR="001C6B4A" w:rsidRPr="00502737" w:rsidRDefault="001C6B4A" w:rsidP="001C6B4A">
      <w:pPr>
        <w:spacing w:line="240" w:lineRule="auto"/>
        <w:rPr>
          <w:b/>
          <w:bCs/>
          <w:sz w:val="20"/>
          <w:szCs w:val="20"/>
        </w:rPr>
      </w:pPr>
    </w:p>
    <w:p w:rsidR="001C6B4A" w:rsidRPr="006B353E" w:rsidRDefault="001C6B4A" w:rsidP="001C6B4A">
      <w:pPr>
        <w:rPr>
          <w:sz w:val="18"/>
          <w:szCs w:val="18"/>
        </w:rPr>
      </w:pPr>
      <w:proofErr w:type="spellStart"/>
      <w:r>
        <w:rPr>
          <w:sz w:val="20"/>
          <w:szCs w:val="20"/>
          <w:vertAlign w:val="superscript"/>
        </w:rPr>
        <w:t>a</w:t>
      </w:r>
      <w:r w:rsidRPr="00502737">
        <w:rPr>
          <w:sz w:val="20"/>
          <w:szCs w:val="20"/>
        </w:rPr>
        <w:t>Population</w:t>
      </w:r>
      <w:proofErr w:type="spellEnd"/>
      <w:r w:rsidRPr="00502737">
        <w:rPr>
          <w:sz w:val="20"/>
          <w:szCs w:val="20"/>
        </w:rPr>
        <w:t xml:space="preserve"> denominators derived from Australian Bureau of Statistics 2021 Census single-year age estimates for Queensland</w:t>
      </w:r>
      <w:r w:rsidRPr="00502737">
        <w:rPr>
          <w:sz w:val="20"/>
          <w:szCs w:val="20"/>
        </w:rPr>
        <w:br/>
      </w:r>
      <w:proofErr w:type="spellStart"/>
      <w:r>
        <w:rPr>
          <w:sz w:val="20"/>
          <w:szCs w:val="20"/>
          <w:vertAlign w:val="superscript"/>
        </w:rPr>
        <w:t>b</w:t>
      </w:r>
      <w:r w:rsidRPr="00502737">
        <w:rPr>
          <w:sz w:val="20"/>
          <w:szCs w:val="20"/>
        </w:rPr>
        <w:t>Incidence</w:t>
      </w:r>
      <w:proofErr w:type="spellEnd"/>
      <w:r w:rsidRPr="00502737">
        <w:rPr>
          <w:sz w:val="20"/>
          <w:szCs w:val="20"/>
        </w:rPr>
        <w:t xml:space="preserve"> per 1,000 children aged &lt;2yrs, with 95% confidence interval (Wald)</w:t>
      </w:r>
    </w:p>
    <w:p w:rsidR="001C6B4A" w:rsidRPr="000E5266" w:rsidRDefault="001C6B4A" w:rsidP="001C6B4A">
      <w:pPr>
        <w:spacing w:line="240" w:lineRule="auto"/>
        <w:rPr>
          <w:b/>
          <w:bCs/>
          <w:sz w:val="20"/>
          <w:szCs w:val="20"/>
        </w:rPr>
      </w:pPr>
    </w:p>
    <w:p w:rsidR="001C6B4A" w:rsidRPr="00EE4DFF" w:rsidRDefault="001C6B4A" w:rsidP="001C6B4A">
      <w:pPr>
        <w:rPr>
          <w:sz w:val="18"/>
          <w:szCs w:val="18"/>
        </w:rPr>
      </w:pPr>
    </w:p>
    <w:p w:rsidR="001C6B4A" w:rsidRPr="00C92C19" w:rsidRDefault="001C6B4A" w:rsidP="001C6B4A">
      <w:pPr>
        <w:spacing w:line="240" w:lineRule="auto"/>
        <w:jc w:val="center"/>
      </w:pPr>
      <w:r w:rsidRPr="00C92C19">
        <w:rPr>
          <w:noProof/>
          <w:lang w:val="en-US" w:eastAsia="en-US"/>
        </w:rPr>
        <w:drawing>
          <wp:inline distT="0" distB="0" distL="0" distR="0" wp14:anchorId="7909B749" wp14:editId="04C9546C">
            <wp:extent cx="6099687" cy="4000500"/>
            <wp:effectExtent l="0" t="0" r="0" b="0"/>
            <wp:docPr id="603347769" name="Picture 13" descr="A screenshot of a computer generated map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47769" name="Picture 13" descr="A screenshot of a computer generated map  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447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33" cy="40176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6B4A" w:rsidRPr="00C92C19" w:rsidRDefault="001C6B4A" w:rsidP="001C6B4A">
      <w:pPr>
        <w:spacing w:line="240" w:lineRule="auto"/>
        <w:rPr>
          <w:b/>
          <w:bCs/>
        </w:rPr>
      </w:pPr>
      <w:r w:rsidRPr="00C92C19">
        <w:rPr>
          <w:b/>
          <w:bCs/>
          <w:lang w:val="en-US"/>
        </w:rPr>
        <w:t>Supporting information, figure 2</w:t>
      </w:r>
      <w:r w:rsidRPr="00C92C19">
        <w:rPr>
          <w:lang w:val="en-US"/>
        </w:rPr>
        <w:t xml:space="preserve">. Incidence of RSV notifications by postcode (location based on population weighted centroid) in Queensland per 1,000 </w:t>
      </w:r>
      <w:r>
        <w:rPr>
          <w:lang w:val="en-US"/>
        </w:rPr>
        <w:t>children</w:t>
      </w:r>
      <w:r w:rsidRPr="00C92C19">
        <w:rPr>
          <w:lang w:val="en-US"/>
        </w:rPr>
        <w:t xml:space="preserve"> aged &lt;2 years</w:t>
      </w:r>
    </w:p>
    <w:p w:rsidR="001C6B4A" w:rsidRPr="00C92C19" w:rsidRDefault="001C6B4A" w:rsidP="001C6B4A">
      <w:pPr>
        <w:spacing w:line="240" w:lineRule="auto"/>
        <w:rPr>
          <w:b/>
          <w:bCs/>
        </w:rPr>
      </w:pPr>
      <w:r w:rsidRPr="00C92C19">
        <w:rPr>
          <w:b/>
          <w:bCs/>
          <w:sz w:val="21"/>
          <w:szCs w:val="21"/>
          <w:vertAlign w:val="superscript"/>
        </w:rPr>
        <w:br w:type="page"/>
      </w:r>
    </w:p>
    <w:p w:rsidR="001C6B4A" w:rsidRPr="00C92C19" w:rsidRDefault="001C6B4A" w:rsidP="001C6B4A">
      <w:pPr>
        <w:spacing w:line="240" w:lineRule="auto"/>
      </w:pPr>
      <w:proofErr w:type="gramStart"/>
      <w:r w:rsidRPr="00C92C19">
        <w:rPr>
          <w:b/>
          <w:bCs/>
        </w:rPr>
        <w:lastRenderedPageBreak/>
        <w:t>Supporting information, table 2.</w:t>
      </w:r>
      <w:proofErr w:type="gramEnd"/>
      <w:r w:rsidRPr="00C92C19">
        <w:t xml:space="preserve"> Spatial cluster analysis of Queensland RSV infections among </w:t>
      </w:r>
      <w:r>
        <w:t>children</w:t>
      </w:r>
      <w:r w:rsidRPr="00C92C19">
        <w:t xml:space="preserve"> aged &lt;2 years, 2022–2023</w:t>
      </w:r>
    </w:p>
    <w:tbl>
      <w:tblPr>
        <w:tblStyle w:val="PlainTable2"/>
        <w:tblW w:w="4880" w:type="pct"/>
        <w:tblInd w:w="-5" w:type="dxa"/>
        <w:tblBorders>
          <w:insideH w:val="single" w:sz="4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3634"/>
        <w:gridCol w:w="1017"/>
        <w:gridCol w:w="1019"/>
        <w:gridCol w:w="2033"/>
        <w:gridCol w:w="1317"/>
      </w:tblGrid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Location of spatial clusters, </w:t>
            </w:r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br/>
              <w:t>by year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>Cases (n)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>O/</w:t>
            </w:r>
            <w:proofErr w:type="spellStart"/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>E</w:t>
            </w:r>
            <w:r w:rsidRPr="00C92C19">
              <w:rPr>
                <w:rFonts w:eastAsiaTheme="minorHAnsi"/>
                <w:b/>
                <w:sz w:val="20"/>
                <w:szCs w:val="20"/>
                <w:vertAlign w:val="superscript"/>
                <w:lang w:eastAsia="en-US"/>
              </w:rPr>
              <w:t>a</w:t>
            </w:r>
            <w:proofErr w:type="spellEnd"/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 ratio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>Relative risk (p-value)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Climate </w:t>
            </w:r>
            <w:proofErr w:type="spellStart"/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>zone</w:t>
            </w:r>
            <w:r w:rsidRPr="00C92C19">
              <w:rPr>
                <w:rFonts w:eastAsiaTheme="minorHAnsi"/>
                <w:b/>
                <w:sz w:val="20"/>
                <w:szCs w:val="20"/>
                <w:vertAlign w:val="superscript"/>
                <w:lang w:eastAsia="en-US"/>
              </w:rPr>
              <w:t>b</w:t>
            </w:r>
            <w:proofErr w:type="spellEnd"/>
          </w:p>
        </w:tc>
      </w:tr>
      <w:tr w:rsidR="001C6B4A" w:rsidRPr="00C92C19" w:rsidTr="00144F67">
        <w:trPr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6B4A" w:rsidRPr="00C92C19" w:rsidRDefault="001C6B4A" w:rsidP="00144F67">
            <w:pPr>
              <w:spacing w:before="120" w:after="120" w:line="240" w:lineRule="auto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/>
                <w:sz w:val="20"/>
                <w:szCs w:val="20"/>
                <w:lang w:eastAsia="en-US"/>
              </w:rPr>
              <w:t>2022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6B4A" w:rsidRPr="00C92C19" w:rsidRDefault="001C6B4A" w:rsidP="00144F67">
            <w:pPr>
              <w:spacing w:before="120" w:after="120"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6B4A" w:rsidRPr="00C92C19" w:rsidRDefault="001C6B4A" w:rsidP="00144F67">
            <w:pPr>
              <w:spacing w:before="120" w:after="120"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6B4A" w:rsidRPr="00C92C19" w:rsidRDefault="001C6B4A" w:rsidP="00144F67">
            <w:pPr>
              <w:spacing w:before="120" w:after="120"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6B4A" w:rsidRPr="00C92C19" w:rsidRDefault="001C6B4A" w:rsidP="00144F67">
            <w:pPr>
              <w:spacing w:before="120" w:after="120"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1: Darling Downs region (Toowoomba)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1189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1.34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1.39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 &amp; 5</w:t>
            </w:r>
          </w:p>
        </w:tc>
      </w:tr>
      <w:tr w:rsidR="001C6B4A" w:rsidRPr="00C92C19" w:rsidTr="00144F67">
        <w:trPr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2: Samford (Greater Brisbane)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1060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1.28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3: Aboriginal Shire of Woorabinda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5.19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5.20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1C6B4A" w:rsidRPr="00C92C19" w:rsidTr="00144F67">
        <w:trPr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4: Townsville and surrounds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502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1.26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5: Redland (Greater Brisbane)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496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1.17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1.18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1C6B4A" w:rsidRPr="00C92C19" w:rsidTr="00144F67">
        <w:trPr>
          <w:trHeight w:val="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6: Gold Coast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410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1.20 (0.008)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7: Longreach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3.21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3.22 (0.039)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1C6B4A" w:rsidRPr="00C92C19" w:rsidTr="00144F67">
        <w:trPr>
          <w:trHeight w:val="2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:rsidR="001C6B4A" w:rsidRPr="00C92C19" w:rsidRDefault="001C6B4A" w:rsidP="00144F67">
            <w:pPr>
              <w:spacing w:before="120" w:after="120" w:line="240" w:lineRule="auto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2023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:rsidR="001C6B4A" w:rsidRPr="00C92C19" w:rsidRDefault="001C6B4A" w:rsidP="00144F67">
            <w:pPr>
              <w:spacing w:before="120" w:after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:rsidR="001C6B4A" w:rsidRPr="00C92C19" w:rsidRDefault="001C6B4A" w:rsidP="00144F67">
            <w:pPr>
              <w:spacing w:before="120" w:after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:rsidR="001C6B4A" w:rsidRPr="00C92C19" w:rsidRDefault="001C6B4A" w:rsidP="00144F67">
            <w:pPr>
              <w:spacing w:before="120" w:after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:rsidR="001C6B4A" w:rsidRPr="00C92C19" w:rsidRDefault="001C6B4A" w:rsidP="00144F67">
            <w:pPr>
              <w:spacing w:before="120" w:after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8: Darling Downs (Gatton)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1223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1.42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1.48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before="120"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 &amp; 5</w:t>
            </w:r>
          </w:p>
        </w:tc>
      </w:tr>
      <w:tr w:rsidR="001C6B4A" w:rsidRPr="00C92C19" w:rsidTr="00144F67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9: Logan (Greater Brisbane)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755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1.33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1.36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Del="0053658A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10: Moreton Bay (Greater Brisbane/Sunshine Coast)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1016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1.13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1.14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1C6B4A" w:rsidRPr="00C92C19" w:rsidTr="00144F67">
        <w:trPr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Del="0053658A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11: Roma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56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2.35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2.36 (&lt;0.001)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1C6B4A" w:rsidRPr="00C92C19" w:rsidTr="00144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Del="0053658A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12: Townsville and surrounds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450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1.16 (0.003)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bottom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1C6B4A" w:rsidRPr="00C92C19" w:rsidTr="00144F67">
        <w:trPr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4" w:type="pct"/>
            <w:tcBorders>
              <w:top w:val="nil"/>
              <w:left w:val="nil"/>
              <w:right w:val="nil"/>
            </w:tcBorders>
          </w:tcPr>
          <w:p w:rsidR="001C6B4A" w:rsidRPr="00C92C19" w:rsidDel="0053658A" w:rsidRDefault="001C6B4A" w:rsidP="00144F67">
            <w:pPr>
              <w:spacing w:line="240" w:lineRule="auto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13: Hervey Bay-Maryborough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64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357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5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1.27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7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1.28 (0.009)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pct"/>
            <w:tcBorders>
              <w:top w:val="nil"/>
              <w:left w:val="nil"/>
              <w:right w:val="nil"/>
            </w:tcBorders>
          </w:tcPr>
          <w:p w:rsidR="001C6B4A" w:rsidRPr="00C92C19" w:rsidRDefault="001C6B4A" w:rsidP="00144F67">
            <w:pPr>
              <w:spacing w:line="240" w:lineRule="auto"/>
              <w:jc w:val="righ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 w:rsidRPr="00C92C19">
              <w:rPr>
                <w:rFonts w:eastAsiaTheme="minorHAnsi"/>
                <w:bCs/>
                <w:sz w:val="20"/>
                <w:szCs w:val="20"/>
                <w:lang w:eastAsia="en-US"/>
              </w:rPr>
              <w:t>2</w:t>
            </w:r>
          </w:p>
        </w:tc>
      </w:tr>
    </w:tbl>
    <w:p w:rsidR="001C6B4A" w:rsidRPr="00C92C19" w:rsidRDefault="001C6B4A" w:rsidP="001C6B4A">
      <w:pPr>
        <w:spacing w:line="240" w:lineRule="auto"/>
        <w:rPr>
          <w:sz w:val="20"/>
          <w:szCs w:val="20"/>
        </w:rPr>
      </w:pPr>
      <w:r w:rsidRPr="00C92C19">
        <w:rPr>
          <w:sz w:val="20"/>
          <w:szCs w:val="20"/>
        </w:rPr>
        <w:br/>
      </w:r>
      <w:proofErr w:type="spellStart"/>
      <w:proofErr w:type="gramStart"/>
      <w:r w:rsidRPr="00C92C19">
        <w:rPr>
          <w:sz w:val="20"/>
          <w:szCs w:val="20"/>
          <w:vertAlign w:val="superscript"/>
        </w:rPr>
        <w:t>a</w:t>
      </w:r>
      <w:r w:rsidRPr="00C92C19">
        <w:rPr>
          <w:sz w:val="20"/>
          <w:szCs w:val="20"/>
        </w:rPr>
        <w:t>Observed</w:t>
      </w:r>
      <w:proofErr w:type="spellEnd"/>
      <w:r w:rsidRPr="00C92C19">
        <w:rPr>
          <w:sz w:val="20"/>
          <w:szCs w:val="20"/>
        </w:rPr>
        <w:t>/Expected</w:t>
      </w:r>
      <w:proofErr w:type="gramEnd"/>
      <w:r w:rsidRPr="00C92C19">
        <w:rPr>
          <w:sz w:val="20"/>
          <w:szCs w:val="20"/>
        </w:rPr>
        <w:t xml:space="preserve"> ratio</w:t>
      </w:r>
    </w:p>
    <w:p w:rsidR="001C6B4A" w:rsidRPr="00C92C19" w:rsidRDefault="001C6B4A" w:rsidP="001C6B4A">
      <w:pPr>
        <w:spacing w:line="240" w:lineRule="auto"/>
        <w:rPr>
          <w:sz w:val="20"/>
          <w:szCs w:val="20"/>
        </w:rPr>
      </w:pPr>
      <w:proofErr w:type="spellStart"/>
      <w:proofErr w:type="gramStart"/>
      <w:r w:rsidRPr="00C92C19">
        <w:rPr>
          <w:sz w:val="20"/>
          <w:szCs w:val="20"/>
          <w:vertAlign w:val="superscript"/>
        </w:rPr>
        <w:t>b</w:t>
      </w:r>
      <w:r w:rsidRPr="00C92C19">
        <w:rPr>
          <w:sz w:val="20"/>
          <w:szCs w:val="20"/>
        </w:rPr>
        <w:t>Climate</w:t>
      </w:r>
      <w:proofErr w:type="spellEnd"/>
      <w:proofErr w:type="gramEnd"/>
      <w:r w:rsidRPr="00C92C19">
        <w:rPr>
          <w:sz w:val="20"/>
          <w:szCs w:val="20"/>
        </w:rPr>
        <w:t xml:space="preserve"> zone key:</w:t>
      </w:r>
      <w:r w:rsidRPr="00C92C19">
        <w:rPr>
          <w:sz w:val="20"/>
          <w:szCs w:val="20"/>
        </w:rPr>
        <w:br/>
        <w:t>1 = High humidity summer, warm winter (tropical)</w:t>
      </w:r>
      <w:r w:rsidRPr="00C92C19">
        <w:rPr>
          <w:sz w:val="20"/>
          <w:szCs w:val="20"/>
        </w:rPr>
        <w:br/>
        <w:t>2 = Warm humid summer, mild winter (subtropical)</w:t>
      </w:r>
      <w:r w:rsidRPr="00C92C19">
        <w:rPr>
          <w:sz w:val="20"/>
          <w:szCs w:val="20"/>
        </w:rPr>
        <w:br/>
        <w:t>3 = Hot dry summer, warm winter (semi-arid/arid)</w:t>
      </w:r>
      <w:r w:rsidRPr="00C92C19">
        <w:rPr>
          <w:sz w:val="20"/>
          <w:szCs w:val="20"/>
        </w:rPr>
        <w:br/>
        <w:t>5 = Warm temperate</w:t>
      </w:r>
    </w:p>
    <w:p w:rsidR="001C6B4A" w:rsidRPr="00C92C19" w:rsidRDefault="001C6B4A" w:rsidP="001C6B4A">
      <w:pPr>
        <w:spacing w:line="240" w:lineRule="auto"/>
        <w:rPr>
          <w:sz w:val="16"/>
          <w:szCs w:val="16"/>
        </w:rPr>
      </w:pPr>
      <w:r w:rsidRPr="00C92C19">
        <w:rPr>
          <w:sz w:val="16"/>
          <w:szCs w:val="16"/>
        </w:rPr>
        <w:br w:type="page"/>
      </w:r>
    </w:p>
    <w:p w:rsidR="001C6B4A" w:rsidRPr="00C92C19" w:rsidRDefault="001C6B4A" w:rsidP="001C6B4A">
      <w:pPr>
        <w:spacing w:line="240" w:lineRule="auto"/>
      </w:pPr>
      <w:proofErr w:type="gramStart"/>
      <w:r w:rsidRPr="00C92C19">
        <w:rPr>
          <w:b/>
          <w:bCs/>
        </w:rPr>
        <w:lastRenderedPageBreak/>
        <w:t>Supporting information, table 3.</w:t>
      </w:r>
      <w:proofErr w:type="gramEnd"/>
      <w:r w:rsidRPr="00C92C19">
        <w:t xml:space="preserve"> Incidence of RSV notifications in Queensland per 1,000 </w:t>
      </w:r>
      <w:r>
        <w:t>children</w:t>
      </w:r>
      <w:r w:rsidRPr="00C92C19">
        <w:t xml:space="preserve"> aged &lt;2 years, by year, epidemiological week and climate zone of residence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1C6B4A" w:rsidRPr="00C92C19" w:rsidTr="00144F67">
        <w:tc>
          <w:tcPr>
            <w:tcW w:w="1803" w:type="dxa"/>
            <w:vAlign w:val="center"/>
          </w:tcPr>
          <w:p w:rsidR="001C6B4A" w:rsidRPr="001B2272" w:rsidRDefault="001C6B4A" w:rsidP="00144F6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B2272">
              <w:rPr>
                <w:b/>
                <w:bCs/>
                <w:sz w:val="20"/>
                <w:szCs w:val="20"/>
              </w:rPr>
              <w:t>Epidemiological week, by year</w:t>
            </w:r>
          </w:p>
        </w:tc>
        <w:tc>
          <w:tcPr>
            <w:tcW w:w="1803" w:type="dxa"/>
            <w:vAlign w:val="center"/>
          </w:tcPr>
          <w:p w:rsidR="001C6B4A" w:rsidRPr="001B2272" w:rsidRDefault="001C6B4A" w:rsidP="00144F6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1B2272">
              <w:rPr>
                <w:b/>
                <w:bCs/>
                <w:sz w:val="20"/>
                <w:szCs w:val="20"/>
              </w:rPr>
              <w:t>Incidence</w:t>
            </w:r>
            <w:r w:rsidRPr="001B2272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1B2272">
              <w:rPr>
                <w:b/>
                <w:bCs/>
                <w:sz w:val="20"/>
                <w:szCs w:val="20"/>
              </w:rPr>
              <w:t>, zone 1 (tropical)</w:t>
            </w:r>
          </w:p>
        </w:tc>
        <w:tc>
          <w:tcPr>
            <w:tcW w:w="1803" w:type="dxa"/>
            <w:vAlign w:val="center"/>
          </w:tcPr>
          <w:p w:rsidR="001C6B4A" w:rsidRPr="001B2272" w:rsidRDefault="001C6B4A" w:rsidP="00144F6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1B2272">
              <w:rPr>
                <w:b/>
                <w:bCs/>
                <w:sz w:val="20"/>
                <w:szCs w:val="20"/>
              </w:rPr>
              <w:t>Incidence</w:t>
            </w:r>
            <w:r w:rsidRPr="001B2272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1B2272">
              <w:rPr>
                <w:b/>
                <w:bCs/>
                <w:sz w:val="20"/>
                <w:szCs w:val="20"/>
              </w:rPr>
              <w:t>, zone 2 (subtropical)</w:t>
            </w:r>
          </w:p>
        </w:tc>
        <w:tc>
          <w:tcPr>
            <w:tcW w:w="1803" w:type="dxa"/>
            <w:vAlign w:val="center"/>
          </w:tcPr>
          <w:p w:rsidR="001C6B4A" w:rsidRPr="001B2272" w:rsidRDefault="001C6B4A" w:rsidP="00144F6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1B2272">
              <w:rPr>
                <w:b/>
                <w:bCs/>
                <w:sz w:val="20"/>
                <w:szCs w:val="20"/>
              </w:rPr>
              <w:t>Incidence</w:t>
            </w:r>
            <w:r w:rsidRPr="001B2272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1B2272">
              <w:rPr>
                <w:b/>
                <w:bCs/>
                <w:sz w:val="20"/>
                <w:szCs w:val="20"/>
              </w:rPr>
              <w:t>, zone 3 (arid/semi-arid)</w:t>
            </w:r>
          </w:p>
        </w:tc>
        <w:tc>
          <w:tcPr>
            <w:tcW w:w="1804" w:type="dxa"/>
            <w:vAlign w:val="center"/>
          </w:tcPr>
          <w:p w:rsidR="001C6B4A" w:rsidRPr="001B2272" w:rsidRDefault="001C6B4A" w:rsidP="00144F6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1B2272">
              <w:rPr>
                <w:b/>
                <w:bCs/>
                <w:sz w:val="20"/>
                <w:szCs w:val="20"/>
              </w:rPr>
              <w:t>Incidence</w:t>
            </w:r>
            <w:r w:rsidRPr="001B2272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1B2272">
              <w:rPr>
                <w:b/>
                <w:bCs/>
                <w:sz w:val="20"/>
                <w:szCs w:val="20"/>
              </w:rPr>
              <w:t>, zone 5 (warm temperate)</w:t>
            </w:r>
          </w:p>
        </w:tc>
      </w:tr>
      <w:tr w:rsidR="001C6B4A" w:rsidRPr="00C92C19" w:rsidTr="00144F67"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92C19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2.86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3.56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2.40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6.05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4.06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7.38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7.20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8.18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6.83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6.78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10.90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5.01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6.02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3.45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12.74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5.78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6.47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10.90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5.86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4.87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10.78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7.39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4.84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3.67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6.04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5.73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7.33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5.73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3.57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5.61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3.32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8.84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4.99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2.46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3.51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6.04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3.32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4.53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1.85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1.95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1.11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1.11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92C19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EEECE1" w:themeFill="background2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2.46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3.48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2.56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5.44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3.67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3.48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1.11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4.06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3.57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3.36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3.91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2.03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2.22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2.22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2.85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4.62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2.80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6.28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4.31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9.42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2.67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9.24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9.24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7.02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5.54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8.31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5.73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3.02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4.06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3.69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2.59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1.85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1.66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1.11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2.59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0.55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0.92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0.55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lastRenderedPageBreak/>
              <w:t>46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0.00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1C6B4A" w:rsidRPr="00C92C19" w:rsidTr="00144F67"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803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804" w:type="dxa"/>
            <w:vAlign w:val="center"/>
          </w:tcPr>
          <w:p w:rsidR="001C6B4A" w:rsidRPr="00C92C19" w:rsidRDefault="001C6B4A" w:rsidP="00144F67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C92C19">
              <w:rPr>
                <w:color w:val="000000"/>
                <w:sz w:val="20"/>
                <w:szCs w:val="20"/>
              </w:rPr>
              <w:t>0.18</w:t>
            </w:r>
          </w:p>
        </w:tc>
      </w:tr>
    </w:tbl>
    <w:p w:rsidR="001C6B4A" w:rsidRPr="00C92C19" w:rsidRDefault="001C6B4A" w:rsidP="001C6B4A">
      <w:pPr>
        <w:spacing w:line="240" w:lineRule="auto"/>
        <w:rPr>
          <w:sz w:val="20"/>
          <w:szCs w:val="20"/>
          <w:vertAlign w:val="superscript"/>
        </w:rPr>
      </w:pPr>
    </w:p>
    <w:p w:rsidR="001C6B4A" w:rsidRPr="00C92C19" w:rsidRDefault="001C6B4A" w:rsidP="001C6B4A">
      <w:pPr>
        <w:spacing w:line="240" w:lineRule="auto"/>
        <w:rPr>
          <w:sz w:val="20"/>
          <w:szCs w:val="20"/>
        </w:rPr>
      </w:pPr>
      <w:proofErr w:type="spellStart"/>
      <w:proofErr w:type="gramStart"/>
      <w:r w:rsidRPr="00C92C19">
        <w:rPr>
          <w:sz w:val="20"/>
          <w:szCs w:val="20"/>
          <w:vertAlign w:val="superscript"/>
        </w:rPr>
        <w:t>a</w:t>
      </w:r>
      <w:r w:rsidRPr="00C92C19">
        <w:rPr>
          <w:sz w:val="20"/>
          <w:szCs w:val="20"/>
        </w:rPr>
        <w:t>Incidence</w:t>
      </w:r>
      <w:proofErr w:type="spellEnd"/>
      <w:proofErr w:type="gramEnd"/>
      <w:r w:rsidRPr="00C92C19">
        <w:rPr>
          <w:sz w:val="20"/>
          <w:szCs w:val="20"/>
        </w:rPr>
        <w:t xml:space="preserve"> per 1,000 </w:t>
      </w:r>
      <w:r>
        <w:rPr>
          <w:sz w:val="20"/>
          <w:szCs w:val="20"/>
        </w:rPr>
        <w:t>children</w:t>
      </w:r>
    </w:p>
    <w:p w:rsidR="001C6B4A" w:rsidRPr="00F63135" w:rsidRDefault="001C6B4A" w:rsidP="001C6B4A">
      <w:pPr>
        <w:pStyle w:val="Heading1"/>
        <w:rPr>
          <w:rFonts w:ascii="Arial" w:hAnsi="Arial" w:cs="Arial"/>
          <w:sz w:val="16"/>
          <w:szCs w:val="16"/>
        </w:rPr>
      </w:pPr>
    </w:p>
    <w:p w:rsidR="00C85453" w:rsidRDefault="001C6B4A">
      <w:bookmarkStart w:id="0" w:name="_GoBack"/>
      <w:bookmarkEnd w:id="0"/>
    </w:p>
    <w:sectPr w:rsidR="00C854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777B"/>
    <w:multiLevelType w:val="hybridMultilevel"/>
    <w:tmpl w:val="5ED0DA0E"/>
    <w:lvl w:ilvl="0" w:tplc="09B49C02">
      <w:start w:val="8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125CC"/>
    <w:multiLevelType w:val="multilevel"/>
    <w:tmpl w:val="55F4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A016A0"/>
    <w:multiLevelType w:val="hybridMultilevel"/>
    <w:tmpl w:val="AB243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B4A"/>
    <w:rsid w:val="001C6B4A"/>
    <w:rsid w:val="00405DA3"/>
    <w:rsid w:val="00F6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B4A"/>
    <w:pPr>
      <w:spacing w:after="160" w:line="360" w:lineRule="auto"/>
    </w:pPr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6B4A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B4A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6B4A"/>
    <w:pPr>
      <w:keepNext/>
      <w:keepLines/>
      <w:spacing w:before="160" w:after="80"/>
      <w:outlineLvl w:val="2"/>
    </w:pPr>
    <w:rPr>
      <w:rFonts w:eastAsiaTheme="majorEastAsia" w:cstheme="majorBidi"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B4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B4A"/>
    <w:rPr>
      <w:rFonts w:ascii="Times New Roman" w:eastAsiaTheme="majorEastAsia" w:hAnsi="Times New Roman" w:cstheme="majorBidi"/>
      <w:b/>
      <w:kern w:val="2"/>
      <w:sz w:val="28"/>
      <w:szCs w:val="40"/>
      <w:lang w:val="en-AU" w:eastAsia="ja-JP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1C6B4A"/>
    <w:rPr>
      <w:rFonts w:ascii="Times New Roman" w:eastAsiaTheme="majorEastAsia" w:hAnsi="Times New Roman" w:cstheme="majorBidi"/>
      <w:b/>
      <w:kern w:val="2"/>
      <w:sz w:val="24"/>
      <w:szCs w:val="32"/>
      <w:lang w:val="en-AU" w:eastAsia="ja-JP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1C6B4A"/>
    <w:rPr>
      <w:rFonts w:ascii="Times New Roman" w:eastAsiaTheme="majorEastAsia" w:hAnsi="Times New Roman" w:cstheme="majorBidi"/>
      <w:i/>
      <w:kern w:val="2"/>
      <w:sz w:val="24"/>
      <w:szCs w:val="28"/>
      <w:lang w:val="en-AU" w:eastAsia="ja-JP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B4A"/>
    <w:rPr>
      <w:rFonts w:ascii="Times New Roman" w:eastAsiaTheme="majorEastAsia" w:hAnsi="Times New Roman" w:cstheme="majorBidi"/>
      <w:i/>
      <w:iCs/>
      <w:color w:val="365F91" w:themeColor="accent1" w:themeShade="BF"/>
      <w:kern w:val="2"/>
      <w:sz w:val="24"/>
      <w:szCs w:val="24"/>
      <w:lang w:val="en-AU" w:eastAsia="ja-JP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B4A"/>
    <w:rPr>
      <w:rFonts w:ascii="Times New Roman" w:eastAsiaTheme="majorEastAsia" w:hAnsi="Times New Roman" w:cstheme="majorBidi"/>
      <w:color w:val="365F91" w:themeColor="accent1" w:themeShade="BF"/>
      <w:kern w:val="2"/>
      <w:sz w:val="24"/>
      <w:szCs w:val="24"/>
      <w:lang w:val="en-AU" w:eastAsia="ja-JP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B4A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4"/>
      <w:szCs w:val="24"/>
      <w:lang w:val="en-AU" w:eastAsia="ja-JP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B4A"/>
    <w:rPr>
      <w:rFonts w:ascii="Times New Roman" w:eastAsiaTheme="majorEastAsia" w:hAnsi="Times New Roman" w:cstheme="majorBidi"/>
      <w:color w:val="595959" w:themeColor="text1" w:themeTint="A6"/>
      <w:kern w:val="2"/>
      <w:sz w:val="24"/>
      <w:szCs w:val="24"/>
      <w:lang w:val="en-AU" w:eastAsia="ja-JP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B4A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4"/>
      <w:szCs w:val="24"/>
      <w:lang w:val="en-AU" w:eastAsia="ja-JP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B4A"/>
    <w:rPr>
      <w:rFonts w:ascii="Times New Roman" w:eastAsiaTheme="majorEastAsia" w:hAnsi="Times New Roman" w:cstheme="majorBidi"/>
      <w:color w:val="272727" w:themeColor="text1" w:themeTint="D8"/>
      <w:kern w:val="2"/>
      <w:sz w:val="24"/>
      <w:szCs w:val="24"/>
      <w:lang w:val="en-AU" w:eastAsia="ja-JP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C6B4A"/>
    <w:pPr>
      <w:spacing w:after="80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B4A"/>
    <w:rPr>
      <w:rFonts w:ascii="Times New Roman" w:eastAsiaTheme="majorEastAsia" w:hAnsi="Times New Roman" w:cstheme="majorBidi"/>
      <w:b/>
      <w:spacing w:val="-10"/>
      <w:kern w:val="28"/>
      <w:sz w:val="28"/>
      <w:szCs w:val="56"/>
      <w:lang w:val="en-AU" w:eastAsia="ja-JP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B4A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val="en-AU" w:eastAsia="ja-JP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C6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B4A"/>
    <w:rPr>
      <w:rFonts w:ascii="Times New Roman" w:eastAsiaTheme="minorEastAsia" w:hAnsi="Times New Roman" w:cs="Times New Roman"/>
      <w:i/>
      <w:iCs/>
      <w:color w:val="404040" w:themeColor="text1" w:themeTint="BF"/>
      <w:kern w:val="2"/>
      <w:sz w:val="24"/>
      <w:szCs w:val="24"/>
      <w:lang w:val="en-AU" w:eastAsia="ja-JP"/>
      <w14:ligatures w14:val="standardContextual"/>
    </w:rPr>
  </w:style>
  <w:style w:type="paragraph" w:styleId="ListParagraph">
    <w:name w:val="List Paragraph"/>
    <w:basedOn w:val="Normal"/>
    <w:uiPriority w:val="34"/>
    <w:qFormat/>
    <w:rsid w:val="001C6B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B4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B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B4A"/>
    <w:rPr>
      <w:rFonts w:ascii="Times New Roman" w:eastAsiaTheme="minorEastAsia" w:hAnsi="Times New Roman" w:cs="Times New Roman"/>
      <w:i/>
      <w:iCs/>
      <w:color w:val="365F91" w:themeColor="accent1" w:themeShade="BF"/>
      <w:kern w:val="2"/>
      <w:sz w:val="24"/>
      <w:szCs w:val="24"/>
      <w:lang w:val="en-AU" w:eastAsia="ja-JP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C6B4A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1C6B4A"/>
    <w:pPr>
      <w:spacing w:after="0" w:line="360" w:lineRule="auto"/>
    </w:pPr>
    <w:rPr>
      <w:rFonts w:ascii="Times New Roman" w:eastAsiaTheme="minorEastAsia" w:hAnsi="Times New Roman" w:cs="Times New Roman"/>
      <w:kern w:val="2"/>
      <w:sz w:val="21"/>
      <w:szCs w:val="24"/>
      <w:lang w:val="en-AU" w:eastAsia="ja-JP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1C6B4A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C6B4A"/>
    <w:pPr>
      <w:spacing w:after="0" w:line="240" w:lineRule="auto"/>
    </w:pPr>
    <w:rPr>
      <w:rFonts w:eastAsiaTheme="minorEastAsia"/>
      <w:kern w:val="2"/>
      <w:sz w:val="24"/>
      <w:szCs w:val="24"/>
      <w:lang w:val="en-AU"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6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C6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1C6B4A"/>
  </w:style>
  <w:style w:type="character" w:styleId="CommentReference">
    <w:name w:val="annotation reference"/>
    <w:basedOn w:val="DefaultParagraphFont"/>
    <w:uiPriority w:val="99"/>
    <w:semiHidden/>
    <w:unhideWhenUsed/>
    <w:rsid w:val="001C6B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B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B4A"/>
    <w:rPr>
      <w:rFonts w:ascii="Times New Roman" w:eastAsiaTheme="minorEastAsia" w:hAnsi="Times New Roman" w:cs="Times New Roman"/>
      <w:kern w:val="2"/>
      <w:sz w:val="20"/>
      <w:szCs w:val="20"/>
      <w:lang w:val="en-AU" w:eastAsia="ja-JP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B4A"/>
    <w:rPr>
      <w:rFonts w:ascii="Times New Roman" w:eastAsiaTheme="minorEastAsia" w:hAnsi="Times New Roman" w:cs="Times New Roman"/>
      <w:b/>
      <w:bCs/>
      <w:kern w:val="2"/>
      <w:sz w:val="20"/>
      <w:szCs w:val="20"/>
      <w:lang w:val="en-AU" w:eastAsia="ja-JP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1C6B4A"/>
    <w:pPr>
      <w:spacing w:after="0"/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1C6B4A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6B4A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1C6B4A"/>
    <w:pPr>
      <w:spacing w:after="0" w:line="240" w:lineRule="auto"/>
    </w:pPr>
    <w:rPr>
      <w:rFonts w:eastAsiaTheme="minorEastAsia"/>
      <w:kern w:val="2"/>
      <w:sz w:val="24"/>
      <w:szCs w:val="24"/>
      <w:lang w:val="en-AU" w:eastAsia="ja-JP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text">
    <w:name w:val="Table text"/>
    <w:basedOn w:val="Normal"/>
    <w:qFormat/>
    <w:rsid w:val="001C6B4A"/>
    <w:pPr>
      <w:jc w:val="right"/>
    </w:pPr>
    <w:rPr>
      <w:rFonts w:ascii="Arial" w:hAnsi="Arial" w:cs="Arial"/>
      <w:sz w:val="16"/>
      <w:szCs w:val="16"/>
    </w:rPr>
  </w:style>
  <w:style w:type="paragraph" w:styleId="Revision">
    <w:name w:val="Revision"/>
    <w:hidden/>
    <w:uiPriority w:val="99"/>
    <w:semiHidden/>
    <w:rsid w:val="001C6B4A"/>
    <w:pPr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1C6B4A"/>
    <w:pPr>
      <w:spacing w:before="100" w:beforeAutospacing="1" w:after="100" w:afterAutospacing="1" w:line="240" w:lineRule="auto"/>
    </w:pPr>
    <w:rPr>
      <w:rFonts w:eastAsia="Times New Roman"/>
      <w:kern w:val="0"/>
      <w:lang w:val="en-GB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C6B4A"/>
  </w:style>
  <w:style w:type="character" w:styleId="FollowedHyperlink">
    <w:name w:val="FollowedHyperlink"/>
    <w:basedOn w:val="DefaultParagraphFont"/>
    <w:uiPriority w:val="99"/>
    <w:semiHidden/>
    <w:unhideWhenUsed/>
    <w:rsid w:val="001C6B4A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C6B4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B4A"/>
    <w:rPr>
      <w:rFonts w:ascii="Tahoma" w:eastAsiaTheme="minorEastAsia" w:hAnsi="Tahoma" w:cs="Tahoma"/>
      <w:kern w:val="2"/>
      <w:sz w:val="16"/>
      <w:szCs w:val="16"/>
      <w:lang w:val="en-AU"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B4A"/>
    <w:pPr>
      <w:spacing w:after="160" w:line="360" w:lineRule="auto"/>
    </w:pPr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6B4A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B4A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6B4A"/>
    <w:pPr>
      <w:keepNext/>
      <w:keepLines/>
      <w:spacing w:before="160" w:after="80"/>
      <w:outlineLvl w:val="2"/>
    </w:pPr>
    <w:rPr>
      <w:rFonts w:eastAsiaTheme="majorEastAsia" w:cstheme="majorBidi"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B4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B4A"/>
    <w:rPr>
      <w:rFonts w:ascii="Times New Roman" w:eastAsiaTheme="majorEastAsia" w:hAnsi="Times New Roman" w:cstheme="majorBidi"/>
      <w:b/>
      <w:kern w:val="2"/>
      <w:sz w:val="28"/>
      <w:szCs w:val="40"/>
      <w:lang w:val="en-AU" w:eastAsia="ja-JP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1C6B4A"/>
    <w:rPr>
      <w:rFonts w:ascii="Times New Roman" w:eastAsiaTheme="majorEastAsia" w:hAnsi="Times New Roman" w:cstheme="majorBidi"/>
      <w:b/>
      <w:kern w:val="2"/>
      <w:sz w:val="24"/>
      <w:szCs w:val="32"/>
      <w:lang w:val="en-AU" w:eastAsia="ja-JP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1C6B4A"/>
    <w:rPr>
      <w:rFonts w:ascii="Times New Roman" w:eastAsiaTheme="majorEastAsia" w:hAnsi="Times New Roman" w:cstheme="majorBidi"/>
      <w:i/>
      <w:kern w:val="2"/>
      <w:sz w:val="24"/>
      <w:szCs w:val="28"/>
      <w:lang w:val="en-AU" w:eastAsia="ja-JP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B4A"/>
    <w:rPr>
      <w:rFonts w:ascii="Times New Roman" w:eastAsiaTheme="majorEastAsia" w:hAnsi="Times New Roman" w:cstheme="majorBidi"/>
      <w:i/>
      <w:iCs/>
      <w:color w:val="365F91" w:themeColor="accent1" w:themeShade="BF"/>
      <w:kern w:val="2"/>
      <w:sz w:val="24"/>
      <w:szCs w:val="24"/>
      <w:lang w:val="en-AU" w:eastAsia="ja-JP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B4A"/>
    <w:rPr>
      <w:rFonts w:ascii="Times New Roman" w:eastAsiaTheme="majorEastAsia" w:hAnsi="Times New Roman" w:cstheme="majorBidi"/>
      <w:color w:val="365F91" w:themeColor="accent1" w:themeShade="BF"/>
      <w:kern w:val="2"/>
      <w:sz w:val="24"/>
      <w:szCs w:val="24"/>
      <w:lang w:val="en-AU" w:eastAsia="ja-JP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B4A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4"/>
      <w:szCs w:val="24"/>
      <w:lang w:val="en-AU" w:eastAsia="ja-JP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B4A"/>
    <w:rPr>
      <w:rFonts w:ascii="Times New Roman" w:eastAsiaTheme="majorEastAsia" w:hAnsi="Times New Roman" w:cstheme="majorBidi"/>
      <w:color w:val="595959" w:themeColor="text1" w:themeTint="A6"/>
      <w:kern w:val="2"/>
      <w:sz w:val="24"/>
      <w:szCs w:val="24"/>
      <w:lang w:val="en-AU" w:eastAsia="ja-JP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B4A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4"/>
      <w:szCs w:val="24"/>
      <w:lang w:val="en-AU" w:eastAsia="ja-JP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B4A"/>
    <w:rPr>
      <w:rFonts w:ascii="Times New Roman" w:eastAsiaTheme="majorEastAsia" w:hAnsi="Times New Roman" w:cstheme="majorBidi"/>
      <w:color w:val="272727" w:themeColor="text1" w:themeTint="D8"/>
      <w:kern w:val="2"/>
      <w:sz w:val="24"/>
      <w:szCs w:val="24"/>
      <w:lang w:val="en-AU" w:eastAsia="ja-JP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C6B4A"/>
    <w:pPr>
      <w:spacing w:after="80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B4A"/>
    <w:rPr>
      <w:rFonts w:ascii="Times New Roman" w:eastAsiaTheme="majorEastAsia" w:hAnsi="Times New Roman" w:cstheme="majorBidi"/>
      <w:b/>
      <w:spacing w:val="-10"/>
      <w:kern w:val="28"/>
      <w:sz w:val="28"/>
      <w:szCs w:val="56"/>
      <w:lang w:val="en-AU" w:eastAsia="ja-JP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B4A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val="en-AU" w:eastAsia="ja-JP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C6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B4A"/>
    <w:rPr>
      <w:rFonts w:ascii="Times New Roman" w:eastAsiaTheme="minorEastAsia" w:hAnsi="Times New Roman" w:cs="Times New Roman"/>
      <w:i/>
      <w:iCs/>
      <w:color w:val="404040" w:themeColor="text1" w:themeTint="BF"/>
      <w:kern w:val="2"/>
      <w:sz w:val="24"/>
      <w:szCs w:val="24"/>
      <w:lang w:val="en-AU" w:eastAsia="ja-JP"/>
      <w14:ligatures w14:val="standardContextual"/>
    </w:rPr>
  </w:style>
  <w:style w:type="paragraph" w:styleId="ListParagraph">
    <w:name w:val="List Paragraph"/>
    <w:basedOn w:val="Normal"/>
    <w:uiPriority w:val="34"/>
    <w:qFormat/>
    <w:rsid w:val="001C6B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B4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B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B4A"/>
    <w:rPr>
      <w:rFonts w:ascii="Times New Roman" w:eastAsiaTheme="minorEastAsia" w:hAnsi="Times New Roman" w:cs="Times New Roman"/>
      <w:i/>
      <w:iCs/>
      <w:color w:val="365F91" w:themeColor="accent1" w:themeShade="BF"/>
      <w:kern w:val="2"/>
      <w:sz w:val="24"/>
      <w:szCs w:val="24"/>
      <w:lang w:val="en-AU" w:eastAsia="ja-JP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C6B4A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1C6B4A"/>
    <w:pPr>
      <w:spacing w:after="0" w:line="360" w:lineRule="auto"/>
    </w:pPr>
    <w:rPr>
      <w:rFonts w:ascii="Times New Roman" w:eastAsiaTheme="minorEastAsia" w:hAnsi="Times New Roman" w:cs="Times New Roman"/>
      <w:kern w:val="2"/>
      <w:sz w:val="21"/>
      <w:szCs w:val="24"/>
      <w:lang w:val="en-AU" w:eastAsia="ja-JP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1C6B4A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C6B4A"/>
    <w:pPr>
      <w:spacing w:after="0" w:line="240" w:lineRule="auto"/>
    </w:pPr>
    <w:rPr>
      <w:rFonts w:eastAsiaTheme="minorEastAsia"/>
      <w:kern w:val="2"/>
      <w:sz w:val="24"/>
      <w:szCs w:val="24"/>
      <w:lang w:val="en-AU"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6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C6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1C6B4A"/>
  </w:style>
  <w:style w:type="character" w:styleId="CommentReference">
    <w:name w:val="annotation reference"/>
    <w:basedOn w:val="DefaultParagraphFont"/>
    <w:uiPriority w:val="99"/>
    <w:semiHidden/>
    <w:unhideWhenUsed/>
    <w:rsid w:val="001C6B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B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B4A"/>
    <w:rPr>
      <w:rFonts w:ascii="Times New Roman" w:eastAsiaTheme="minorEastAsia" w:hAnsi="Times New Roman" w:cs="Times New Roman"/>
      <w:kern w:val="2"/>
      <w:sz w:val="20"/>
      <w:szCs w:val="20"/>
      <w:lang w:val="en-AU" w:eastAsia="ja-JP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B4A"/>
    <w:rPr>
      <w:rFonts w:ascii="Times New Roman" w:eastAsiaTheme="minorEastAsia" w:hAnsi="Times New Roman" w:cs="Times New Roman"/>
      <w:b/>
      <w:bCs/>
      <w:kern w:val="2"/>
      <w:sz w:val="20"/>
      <w:szCs w:val="20"/>
      <w:lang w:val="en-AU" w:eastAsia="ja-JP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1C6B4A"/>
    <w:pPr>
      <w:spacing w:after="0"/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1C6B4A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1C6B4A"/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6B4A"/>
    <w:rPr>
      <w:color w:val="605E5C"/>
      <w:shd w:val="clear" w:color="auto" w:fill="E1DFDD"/>
    </w:rPr>
  </w:style>
  <w:style w:type="table" w:customStyle="1" w:styleId="PlainTable2">
    <w:name w:val="Plain Table 2"/>
    <w:basedOn w:val="TableNormal"/>
    <w:uiPriority w:val="42"/>
    <w:rsid w:val="001C6B4A"/>
    <w:pPr>
      <w:spacing w:after="0" w:line="240" w:lineRule="auto"/>
    </w:pPr>
    <w:rPr>
      <w:rFonts w:eastAsiaTheme="minorEastAsia"/>
      <w:kern w:val="2"/>
      <w:sz w:val="24"/>
      <w:szCs w:val="24"/>
      <w:lang w:val="en-AU" w:eastAsia="ja-JP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text">
    <w:name w:val="Table text"/>
    <w:basedOn w:val="Normal"/>
    <w:qFormat/>
    <w:rsid w:val="001C6B4A"/>
    <w:pPr>
      <w:jc w:val="right"/>
    </w:pPr>
    <w:rPr>
      <w:rFonts w:ascii="Arial" w:hAnsi="Arial" w:cs="Arial"/>
      <w:sz w:val="16"/>
      <w:szCs w:val="16"/>
    </w:rPr>
  </w:style>
  <w:style w:type="paragraph" w:styleId="Revision">
    <w:name w:val="Revision"/>
    <w:hidden/>
    <w:uiPriority w:val="99"/>
    <w:semiHidden/>
    <w:rsid w:val="001C6B4A"/>
    <w:pPr>
      <w:spacing w:after="0" w:line="240" w:lineRule="auto"/>
    </w:pPr>
    <w:rPr>
      <w:rFonts w:ascii="Times New Roman" w:eastAsiaTheme="minorEastAsia" w:hAnsi="Times New Roman" w:cs="Times New Roman"/>
      <w:kern w:val="2"/>
      <w:sz w:val="24"/>
      <w:szCs w:val="24"/>
      <w:lang w:val="en-AU" w:eastAsia="ja-JP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1C6B4A"/>
    <w:pPr>
      <w:spacing w:before="100" w:beforeAutospacing="1" w:after="100" w:afterAutospacing="1" w:line="240" w:lineRule="auto"/>
    </w:pPr>
    <w:rPr>
      <w:rFonts w:eastAsia="Times New Roman"/>
      <w:kern w:val="0"/>
      <w:lang w:val="en-GB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C6B4A"/>
  </w:style>
  <w:style w:type="character" w:styleId="FollowedHyperlink">
    <w:name w:val="FollowedHyperlink"/>
    <w:basedOn w:val="DefaultParagraphFont"/>
    <w:uiPriority w:val="99"/>
    <w:semiHidden/>
    <w:unhideWhenUsed/>
    <w:rsid w:val="001C6B4A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C6B4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B4A"/>
    <w:rPr>
      <w:rFonts w:ascii="Tahoma" w:eastAsiaTheme="minorEastAsia" w:hAnsi="Tahoma" w:cs="Tahoma"/>
      <w:kern w:val="2"/>
      <w:sz w:val="16"/>
      <w:szCs w:val="16"/>
      <w:lang w:val="en-AU"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alth.gov.au/resources/publications/respiratory-syncytial-virus-surveillance-case-definitio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Babe Rafales</dc:creator>
  <cp:lastModifiedBy>Sarah Babe Rafales</cp:lastModifiedBy>
  <cp:revision>1</cp:revision>
  <dcterms:created xsi:type="dcterms:W3CDTF">2026-01-15T09:22:00Z</dcterms:created>
  <dcterms:modified xsi:type="dcterms:W3CDTF">2026-01-15T09:22:00Z</dcterms:modified>
</cp:coreProperties>
</file>