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EADE6" w14:textId="0351532E" w:rsidR="00E751F2" w:rsidRPr="00E751F2" w:rsidRDefault="00E751F2" w:rsidP="00E751F2">
      <w:pPr>
        <w:spacing w:line="276" w:lineRule="auto"/>
        <w:jc w:val="center"/>
        <w:rPr>
          <w:b/>
          <w:bCs/>
          <w:lang w:val="en-US"/>
        </w:rPr>
      </w:pPr>
      <w:r w:rsidRPr="00E751F2">
        <w:rPr>
          <w:b/>
          <w:bCs/>
          <w:lang w:val="en-US"/>
        </w:rPr>
        <w:t>Supplementary Methods 1: Methodological considerations in the Study</w:t>
      </w:r>
    </w:p>
    <w:p w14:paraId="7B5C46FA" w14:textId="77777777" w:rsidR="00E751F2" w:rsidRDefault="00E751F2" w:rsidP="00E751F2">
      <w:pPr>
        <w:spacing w:line="276" w:lineRule="auto"/>
        <w:jc w:val="center"/>
        <w:rPr>
          <w:lang w:val="en-US"/>
        </w:rPr>
      </w:pPr>
    </w:p>
    <w:p w14:paraId="0BDA5BC8" w14:textId="77777777" w:rsidR="00E751F2" w:rsidRPr="00015F0E" w:rsidRDefault="00E751F2" w:rsidP="00E751F2">
      <w:pPr>
        <w:pStyle w:val="ListParagraph"/>
        <w:spacing w:line="276" w:lineRule="auto"/>
        <w:ind w:left="0"/>
        <w:jc w:val="both"/>
        <w:rPr>
          <w:b/>
          <w:bCs/>
          <w:i/>
          <w:iCs/>
          <w:lang w:val="en-US"/>
        </w:rPr>
      </w:pPr>
    </w:p>
    <w:p w14:paraId="52FFBE94" w14:textId="77777777" w:rsidR="00E751F2" w:rsidRPr="00015F0E" w:rsidRDefault="00E751F2" w:rsidP="00E751F2">
      <w:pPr>
        <w:pStyle w:val="ListParagraph"/>
        <w:spacing w:line="276" w:lineRule="auto"/>
        <w:ind w:left="0"/>
        <w:jc w:val="both"/>
        <w:rPr>
          <w:lang w:val="en-US"/>
        </w:rPr>
      </w:pPr>
      <w:r w:rsidRPr="00015F0E">
        <w:rPr>
          <w:u w:val="single"/>
          <w:lang w:val="en-US"/>
        </w:rPr>
        <w:t>Functioning of the “opt-out” response option</w:t>
      </w:r>
      <w:r w:rsidRPr="00015F0E">
        <w:rPr>
          <w:lang w:val="en-US"/>
        </w:rPr>
        <w:t xml:space="preserve"> </w:t>
      </w:r>
    </w:p>
    <w:p w14:paraId="383F1313" w14:textId="77777777" w:rsidR="00E751F2" w:rsidRPr="00015F0E" w:rsidRDefault="00E751F2" w:rsidP="00E751F2">
      <w:pPr>
        <w:spacing w:line="276" w:lineRule="auto"/>
        <w:jc w:val="both"/>
        <w:rPr>
          <w:lang w:val="en-US"/>
        </w:rPr>
      </w:pPr>
      <w:r w:rsidRPr="76C6A0BA">
        <w:rPr>
          <w:lang w:val="en-US"/>
        </w:rPr>
        <w:t>In the HLS</w:t>
      </w:r>
      <w:r w:rsidRPr="76C6A0BA">
        <w:rPr>
          <w:vertAlign w:val="subscript"/>
          <w:lang w:val="en-US"/>
        </w:rPr>
        <w:t>19</w:t>
      </w:r>
      <w:r w:rsidRPr="76C6A0BA">
        <w:rPr>
          <w:lang w:val="en-US"/>
        </w:rPr>
        <w:t xml:space="preserve">-Q12, it is possible to include an opt-out response option (i.e. “I do not know”) allowing respondents to skip rating the ease of a statement. Research has discussed the benefits of including an opt-out response to reduce </w:t>
      </w:r>
      <w:r>
        <w:rPr>
          <w:lang w:val="en-US"/>
        </w:rPr>
        <w:t xml:space="preserve">the cognitive burden of respondents’ decision making </w:t>
      </w:r>
      <w:r>
        <w:rPr>
          <w:lang w:val="en-US"/>
        </w:rPr>
        <w:fldChar w:fldCharType="begin"/>
      </w:r>
      <w:r>
        <w:rPr>
          <w:lang w:val="en-US"/>
        </w:rPr>
        <w:instrText xml:space="preserve"> ADDIN ZOTERO_ITEM CSL_CITATION {"citationID":"fzZe5iOa","properties":{"formattedCitation":"[30]","plainCitation":"[30]","noteIndex":0},"citationItems":[{"id":665,"uris":["http://zotero.org/users/16278972/items/NIICM4K4"],"itemData":{"id":665,"type":"article-journal","abstract":"Objective to determine to what extent the inclusion of an opt-out option in a DCE may have an effect on choice behaviour and therefore might influence the attribute level estimates, the relative importance of the attributes and calculated trade-offs. Methods 781 Dutch Type 2 Diabetes Mellitus patients completed a questionnaire containing nine choice tasks with an opt-out option and nice forced choice tasks. Mixed-logit models were used to estimate the relative importance of the five lifestyle program related attributes that were included. Willingness to pay (WTP) values were calculated and it was tested whether results differed between respondents who answered the choice tasks with an opt-out option in the first or second part of the questionnaire. Results 21.4% of the respondents always opted out. Respondents who were given the opt-out option in the first part of the questionnaire as well as lower educated respondents significantly more often opted out. For both the forced and unforced choice model, different attributes showed significant estimates, the relative importance of the attributes was equal. However, due to differences in relative importance weights, the WTP values for the PA schedule differed significantly between both datasets. Conclusions Results show differences in opting out based on the location of the opt-out option and respondents' educational level; this resulted in small differences between the forced and unforced choice model. Since respondents seem to learn from answering forced choice tasks, a dual response design might result in higher data quality compared to offering a direct opt-out option. Future research should empirically explore how choice sets should be presented to make them as easy and less complex as possible in order to reduce the proportion of respondents that opts-out due to choice task complexity. Moreover, future research should debrief respondents to examine the reasons for choosing the opt-out alternative.","container-title":"PLOS ONE","DOI":"10.1371/journal.pone.0111805","ISSN":"1932-6203","issue":"11","journalAbbreviation":"PLOS ONE","language":"en","note":"publisher: Public Library of Science","page":"e111805","source":"PLoS Journals","title":"The Effect of Including an Opt-Out Option in Discrete Choice Experiments","volume":"9","author":[{"family":"Veldwijk","given":"Jorien"},{"family":"Lambooij","given":"Mattijs S."},{"family":"Bekker-Grob","given":"Esther W.","dropping-particle":"de"},{"family":"Smit","given":"Henriëtte A."},{"family":"Wit","given":"G. Ardine","dropping-particle":"de"}],"issued":{"date-parts":[["2014",11,3]]}}}],"schema":"https://github.com/citation-style-language/schema/raw/master/csl-citation.json"} </w:instrText>
      </w:r>
      <w:r>
        <w:rPr>
          <w:lang w:val="en-US"/>
        </w:rPr>
        <w:fldChar w:fldCharType="separate"/>
      </w:r>
      <w:r w:rsidRPr="003979D4">
        <w:rPr>
          <w:rFonts w:ascii="Calibri" w:hAnsi="Calibri" w:cs="Calibri"/>
          <w:lang w:val="en-US"/>
        </w:rPr>
        <w:t>[30]</w:t>
      </w:r>
      <w:r>
        <w:rPr>
          <w:lang w:val="en-US"/>
        </w:rPr>
        <w:fldChar w:fldCharType="end"/>
      </w:r>
      <w:r w:rsidRPr="76C6A0BA">
        <w:rPr>
          <w:lang w:val="en-US"/>
        </w:rPr>
        <w:t>. In HLS</w:t>
      </w:r>
      <w:r w:rsidRPr="76C6A0BA">
        <w:rPr>
          <w:vertAlign w:val="subscript"/>
          <w:lang w:val="en-US"/>
        </w:rPr>
        <w:t>19</w:t>
      </w:r>
      <w:r w:rsidRPr="76C6A0BA">
        <w:rPr>
          <w:lang w:val="en-US"/>
        </w:rPr>
        <w:t>-Q12, it is handled as a missing value, and the respondent’s score is calculated if the total amount of blank and opt-out responses is 20% or less (a maximum of two items in the 12-item questionnaire). Th</w:t>
      </w:r>
      <w:r>
        <w:rPr>
          <w:lang w:val="en-US"/>
        </w:rPr>
        <w:t xml:space="preserve">e opt-out response </w:t>
      </w:r>
      <w:r w:rsidRPr="76C6A0BA">
        <w:rPr>
          <w:lang w:val="en-US"/>
        </w:rPr>
        <w:t>category has not previously been analyzed in HLS</w:t>
      </w:r>
      <w:r w:rsidRPr="76C6A0BA">
        <w:rPr>
          <w:vertAlign w:val="subscript"/>
          <w:lang w:val="en-US"/>
        </w:rPr>
        <w:t>19</w:t>
      </w:r>
      <w:r w:rsidRPr="76C6A0BA">
        <w:rPr>
          <w:lang w:val="en-US"/>
        </w:rPr>
        <w:t xml:space="preserve">-Q12 studies, likely due to its infrequent use or absence from the scale. In the data collected in Finland, however, the opt-out option was frequently selected (e.g. 13% of respondents answering in Finnish chose to opt out of item 5, while 25% of migrants did so when answering in English). Moreover, opting out showed higher frequency than the “very difficult” response option across multiple items, where “very difficult” responses remained below 10%. In the samples of this study, an overwhelming majority of scores that were not calculated by the 20% cutoff were caused by </w:t>
      </w:r>
      <w:r>
        <w:rPr>
          <w:lang w:val="en-US"/>
        </w:rPr>
        <w:t xml:space="preserve">choosing to </w:t>
      </w:r>
      <w:r w:rsidRPr="76C6A0BA">
        <w:rPr>
          <w:lang w:val="en-US"/>
        </w:rPr>
        <w:t>op</w:t>
      </w:r>
      <w:r>
        <w:rPr>
          <w:lang w:val="en-US"/>
        </w:rPr>
        <w:t>t-</w:t>
      </w:r>
      <w:r w:rsidRPr="76C6A0BA">
        <w:rPr>
          <w:lang w:val="en-US"/>
        </w:rPr>
        <w:t>out rather than item non-response</w:t>
      </w:r>
      <w:r>
        <w:rPr>
          <w:lang w:val="en-US"/>
        </w:rPr>
        <w:t>. Certainly, we cannot truly estimate the extent of increase in non-response if the opt-out option was removed</w:t>
      </w:r>
      <w:r w:rsidRPr="76C6A0BA">
        <w:rPr>
          <w:lang w:val="en-US"/>
        </w:rPr>
        <w:t>.</w:t>
      </w:r>
      <w:r>
        <w:rPr>
          <w:lang w:val="en-US"/>
        </w:rPr>
        <w:t xml:space="preserve"> In any case, a</w:t>
      </w:r>
      <w:r w:rsidRPr="76C6A0BA">
        <w:rPr>
          <w:lang w:val="en-US"/>
        </w:rPr>
        <w:t xml:space="preserve"> response category with such an impact on scoring warrants specific investigation.</w:t>
      </w:r>
    </w:p>
    <w:p w14:paraId="66CB9B8A" w14:textId="77777777" w:rsidR="00E751F2" w:rsidRPr="00015F0E" w:rsidRDefault="00E751F2" w:rsidP="00E751F2">
      <w:pPr>
        <w:pStyle w:val="ListParagraph"/>
        <w:spacing w:line="276" w:lineRule="auto"/>
        <w:ind w:left="0"/>
        <w:jc w:val="both"/>
        <w:rPr>
          <w:u w:val="single"/>
          <w:lang w:val="en-US"/>
        </w:rPr>
      </w:pPr>
      <w:r w:rsidRPr="00015F0E">
        <w:rPr>
          <w:u w:val="single"/>
          <w:lang w:val="en-US"/>
        </w:rPr>
        <w:t xml:space="preserve">Item format and implications on modelling </w:t>
      </w:r>
    </w:p>
    <w:p w14:paraId="2C1ADC98" w14:textId="77777777" w:rsidR="00E751F2" w:rsidRPr="00015F0E" w:rsidRDefault="00E751F2" w:rsidP="00E751F2">
      <w:pPr>
        <w:pStyle w:val="ListParagraph"/>
        <w:spacing w:line="276" w:lineRule="auto"/>
        <w:ind w:left="0"/>
        <w:jc w:val="both"/>
        <w:rPr>
          <w:lang w:val="en-US"/>
        </w:rPr>
      </w:pPr>
      <w:r w:rsidRPr="00015F0E">
        <w:rPr>
          <w:lang w:val="en-US"/>
        </w:rPr>
        <w:t xml:space="preserve">The opt-out category poses a challenge to </w:t>
      </w:r>
      <w:r>
        <w:rPr>
          <w:lang w:val="en-US"/>
        </w:rPr>
        <w:t>existing approaches for</w:t>
      </w:r>
      <w:r w:rsidRPr="00015F0E">
        <w:rPr>
          <w:lang w:val="en-US"/>
        </w:rPr>
        <w:t xml:space="preserve"> the HLS</w:t>
      </w:r>
      <w:r w:rsidRPr="00015F0E">
        <w:rPr>
          <w:vertAlign w:val="subscript"/>
          <w:lang w:val="en-US"/>
        </w:rPr>
        <w:t>19</w:t>
      </w:r>
      <w:r w:rsidRPr="00015F0E">
        <w:rPr>
          <w:lang w:val="en-US"/>
        </w:rPr>
        <w:t xml:space="preserve">-Q12, because this response category does not follow any gradient (i.e. cannot be handled as part of the same ordinal scale as the other four graded options). Moreover, </w:t>
      </w:r>
      <w:r w:rsidRPr="000476D7">
        <w:rPr>
          <w:lang w:val="en-US"/>
        </w:rPr>
        <w:t>its placement at the end of the scale eliminates any centrality effects</w:t>
      </w:r>
      <w:r>
        <w:rPr>
          <w:lang w:val="en-US"/>
        </w:rPr>
        <w:t>.</w:t>
      </w:r>
    </w:p>
    <w:p w14:paraId="1D8D766F" w14:textId="77777777" w:rsidR="00E751F2" w:rsidRPr="00015F0E" w:rsidRDefault="00E751F2" w:rsidP="00E751F2">
      <w:pPr>
        <w:spacing w:line="276" w:lineRule="auto"/>
        <w:jc w:val="both"/>
        <w:rPr>
          <w:u w:val="single"/>
          <w:lang w:val="en-US"/>
        </w:rPr>
      </w:pPr>
      <w:r w:rsidRPr="00015F0E">
        <w:rPr>
          <w:lang w:val="en-US"/>
        </w:rPr>
        <w:t>Validation studies of the HLS</w:t>
      </w:r>
      <w:r w:rsidRPr="00015F0E">
        <w:rPr>
          <w:vertAlign w:val="subscript"/>
          <w:lang w:val="en-US"/>
        </w:rPr>
        <w:t>19</w:t>
      </w:r>
      <w:r w:rsidRPr="00015F0E">
        <w:rPr>
          <w:lang w:val="en-US"/>
        </w:rPr>
        <w:t xml:space="preserve">-Q12 have </w:t>
      </w:r>
      <w:r>
        <w:rPr>
          <w:lang w:val="en-US"/>
        </w:rPr>
        <w:t>consistently supported</w:t>
      </w:r>
      <w:r w:rsidRPr="00015F0E">
        <w:rPr>
          <w:lang w:val="en-US"/>
        </w:rPr>
        <w:t xml:space="preserve"> its psychometric properties in </w:t>
      </w:r>
      <w:r>
        <w:rPr>
          <w:lang w:val="en-US"/>
        </w:rPr>
        <w:t xml:space="preserve">multiple </w:t>
      </w:r>
      <w:r w:rsidRPr="00015F0E">
        <w:rPr>
          <w:lang w:val="en-US"/>
        </w:rPr>
        <w:t>countries</w:t>
      </w:r>
      <w:r>
        <w:rPr>
          <w:lang w:val="en-US"/>
        </w:rPr>
        <w:t xml:space="preserve"> </w:t>
      </w:r>
      <w:r>
        <w:rPr>
          <w:lang w:val="en-US"/>
        </w:rPr>
        <w:fldChar w:fldCharType="begin"/>
      </w:r>
      <w:r>
        <w:rPr>
          <w:lang w:val="en-US"/>
        </w:rPr>
        <w:instrText xml:space="preserve"> ADDIN ZOTERO_ITEM CSL_CITATION {"citationID":"I1cGCn0Z","properties":{"formattedCitation":"[22, 31\\uc0\\u8211{}36]","plainCitation":"[22, 31–36]","noteIndex":0},"citationItems":[{"id":597,"uris":["http://zotero.org/users/16278972/items/PNXQVRP9"],"itemData":{"id":597,"type":"article-journal","abstract":"The European Health Literacy Survey Questionnaire (HLS-EU-Q47) is widely used in assessing health literacy (HL). There has been some controversy whether the comprehensive HLS-EU-Q47 data, reflecting a conceptual model of four cognitive domains across three health domains (i.e. 12 subscales), fit unidimensional Rasch models. Still, the HLS-EU-Q47 raw score is commonly interpreted as a sufficient statistic. Combining Rasch modelling and confirmatory factor analysis, we reduced the 47 item scale to a parsimonious 12 item scale that meets the assumptions and requirements of objective measurement while offering a clinically feasible HL screening tool. This paper aims at (1) evaluating the psychometric properties of the HLS-EU-Q47 and associated short versions in a large Norwegian sample, and (2) establishing a short version (HLS-Q12) with sufficient psychometric properties.","container-title":"BMC Health Services Research","DOI":"10.1186/s12913-018-3275-7","ISSN":"1472-6963","issue":"1","journalAbbreviation":"BMC Health Serv Res","language":"en","page":"506","source":"Springer Link","title":"Establishing the HLS-Q12 short version of the European Health Literacy Survey Questionnaire: latent trait analyses applying Rasch modelling and confirmatory factor analysis","title-short":"Establishing the HLS-Q12 short version of the European Health Literacy Survey Questionnaire","volume":"18","author":[{"family":"Finbråten","given":"Hanne Søberg"},{"family":"Wilde-Larsson","given":"Bodil"},{"family":"Nordström","given":"Gun"},{"family":"Pettersen","given":"Kjell Sverre"},{"family":"Trollvik","given":"Anne"},{"family":"Guttersrud","given":"Øystein"}],"issued":{"date-parts":[["2018",6,28]]}}},{"id":502,"uris":["http://zotero.org/users/16278972/items/8DJ2STF6"],"itemData":{"id":502,"type":"article-journal","abstract":"Health literacy measurement lays a solid foundation to identify associations with health outcomes and monitor population health literacy levels over time. In mainland China, most existing health literacy instruments are either knowledge-based or practice-based, making health literacy results incomparable between China and other countries. This study aimed to examine the reliability and validity of the 12-item Health Literacy Population Survey (HLS19-Q12) in a general population of Chinese adults.","container-title":"BMC Public Health","DOI":"10.1186/s12889-024-17977-1","ISSN":"1471-2458","issue":"1","journalAbbreviation":"BMC Public Health","language":"en","page":"1036","source":"Springer Link","title":"Measuring General Health Literacy in Chinese adults: validation of the HLS19-Q12 instrument","title-short":"Measuring General Health Literacy in Chinese adults","volume":"24","author":[{"family":"Liu","given":"Rongmei"},{"family":"Zhao","given":"Qiuping"},{"family":"Yu","given":"Mingyang"},{"family":"Chen","given":"Hui"},{"family":"Yang","given":"Xiaomo"},{"family":"Liu","given":"Shuaibin"},{"family":"Okan","given":"Orkan"},{"family":"Chen","given":"Xinghan"},{"family":"Xing","given":"Yuhan"},{"family":"Guo","given":"Shuaijun"}],"issued":{"date-parts":[["2024",4,15]]}}},{"id":499,"uris":["http://zotero.org/users/16278972/items/JW6HN229"],"itemData":{"id":499,"type":"article-journal","abstract":"General health literacy (general HL) affects both individual and population health on numerous levels, with low general HL leading to increased morbidity, poor health service utilization, and increased healthcare spending. This study calculated health literacy scores of a population attending specialty consultations in the community of Aragon, Spain. It further produced a sociodemographic profile and examined the relationships between patients’ scores and sociodemographic variables.","container-title":"BMC Public Health","DOI":"10.1186/s12889-024-20710-7","ISSN":"1471-2458","issue":"1","journalAbbreviation":"BMC Public Health","page":"3247","source":"BioMed Central","title":"Measuring general health literacy using the HLS19-Q12 in specialty consultations in Spain","volume":"24","author":[{"family":"McCaskill","given":"Angela"},{"family":"Gasch-Gallen","given":"Angel"},{"family":"Montero-Marco","given":"Jesica"}],"issued":{"date-parts":[["2024",11,22]]}}},{"id":504,"uris":["http://zotero.org/users/16278972/items/6G4S63HW"],"itemData":{"id":504,"type":"article-journal","abstract":"Objectives\nThis study sought to validate the HLS19-Q12 in Spain and in the Spanish language, as well as describe the sociodemographic profile and the general health literacy of the study population.\nStudy design\nDescriptive cross-sectional.\nMethods\nFactor analysis and Cronbach's alpha were used to validate the Spanish version of the HLS19-Q12. Health literacy scores and associated categories were calculated using the scale factsheet, and the patient population sociodemographic profile was determined using frequency analysis.\nResults\nThe HLS19-Q12 used in Spain in the Spanish language was found to be both valid and reliable (Cronbach's alpha = 0.87). The sociodemographic profile was primarily male and aged, and the majority of patients were of Spanish origin and had diabetes. General patient health literacy was limited, with 60% of participants having general health literacy categorized as inadequate or problematic, and 40 % sufficient or excellent.\nConclusions\nThis study validated the HLS19-Q12 in Spain, created a sociodemographic profile of the sample population, and calculated their health literacy scores. This contribution provides another valuable validated tool and associated data to the increasingly important field of health literacy.","container-title":"Public Health","DOI":"10.1016/j.puhe.2024.09.022","ISSN":"0033-3506","journalAbbreviation":"Public Health","page":"116-121","source":"ScienceDirect","title":"Validation of the Spanish version of the Health Literacy Survey (HLS19-Q12) in secondary care specialty consultations","volume":"237","author":[{"family":"McCaskill","given":"A."},{"family":"Gasch-Gallen","given":"A."},{"family":"Montero-Marco","given":"J."}],"issued":{"date-parts":[["2024",12,1]]}}},{"id":251,"uris":["http://zotero.org/users/16278972/items/L63STRS4"],"itemData":{"id":251,"type":"article-journal","abstract":"BACKGROUND: For improving health literacy (HL) by national and international public health policy, measuring population HL by a comprehensive instrument is needed. A short instrument, the HLS19-Q12 based on the HLS-EU-Q47, was developed, translated, applied, and validated in 17 countries in the WHO European Region.\nMETHODS: For factorial validity/dimensionality, Cronbach alphas, confirmatory factor analysis (CFA), Rasch model (RM), and Partial Credit Model (PCM) were used. For discriminant validity, correlation analysis, and for concurrent predictive validity, linear regression analysis were carried out.\nRESULTS: The Cronbach alpha coefficients are above 0.7. The fit indices for the single-factor CFAs indicate a good model fit. Some items show differential item functioning in certain country data sets. The regression analyses demonstrate an association of the HLS19-Q12 score with social determinants and selected consequences of HL. The HLS19-Q12 score correlates sufficiently highly (r ≥ 0.897) with the equivalent score for the HLS19-Q47 long form.\nCONCLUSIONS: The HLS19-Q12, based on a comprehensive understanding of HL, shows acceptable psychometric and validity characteristics for different languages, country contexts, and methods of data collection, and is suitable for measuring HL in general, national, adult populations. There are also indications for further improvement of the instrument.","container-title":"International Journal of Environmental Research and Public Health","DOI":"10.3390/ijerph192114129","ISSN":"1660-4601","issue":"21","journalAbbreviation":"Int J Environ Res Public Health","language":"eng","note":"PMID: 36361025\nPMCID: PMC9659295","page":"14129","source":"PubMed","title":"Measuring Comprehensive, General Health Literacy in the General Adult Population: The Development and Validation of the HLS19-Q12 Instrument in Seventeen Countries","title-short":"Measuring Comprehensive, General Health Literacy in the General Adult Population","volume":"19","author":[{"family":"Pelikan","given":"Jürgen M."},{"family":"Link","given":"Thomas"},{"family":"Straßmayr","given":"Christa"},{"family":"Waldherr","given":"Karin"},{"family":"Alfers","given":"Tobias"},{"family":"Bøggild","given":"Henrik"},{"family":"Griebler","given":"Robert"},{"family":"Lopatina","given":"Maria"},{"family":"Mikšová","given":"Dominika"},{"family":"Nielsen","given":"Marie Germund"},{"family":"Peer","given":"Sandra"},{"family":"Vrdelja","given":"Mitja"},{"literal":"HLS19 Consortium of the WHO Action Network M-POHL"}],"issued":{"date-parts":[["2022",10,29]]}}},{"id":493,"uris":["http://zotero.org/users/16278972/items/GP33LLXG"],"itemData":{"id":493,"type":"article-journal","abstract":"BACKGROUND: Health literacy concerns the capacities of people to meet the complex demands of health in modern society. In spite of the growing attention for the concept among European health policymakers, researchers and practitioners, information about the status of health literacy in Europe remains scarce. This article presents selected findings from the first European comparative survey on health literacy in populations.\nM ETHODS: The European health literacy survey (HLS-EU) was conducted in eight countries: Austria, Bulgaria, Germany, Greece, Ireland, the Netherlands, Poland and Spain (n = 1000 per country, n = 8000 total sample). Data collection was based on Eurobarometer standards and the implementation of the HLS-EU-Q (questionnaire) in computer-assisted or paper-assisted personal interviews.\nR ESULTS: The HLS-EU-Q constructed four levels of health literacy: insufficient, problematic, sufficient and excellent. At least 1 in 10 (12%) respondents showed insufficient health literacy and almost 1 in 2 (47%) had limited (insufficient or problematic) health literacy. However, the distribution of levels differed substantially across countries (29-62%). Subgroups within the population, defined by financial deprivation, low social status, low education or old age, had higher proportions of people with limited health literacy, suggesting the presence of a social gradient which was also confirmed by raw bivariate correlations and a multivariate linear regression model.\nDISCUSSION: Limited health literacy represents an important challenge for health policies and practices across Europe, but to a different degree for different countries. The social gradient in health literacy must be taken into account when developing public health strategies to improve health equity in Europe.","container-title":"European Journal of Public Health","DOI":"10.1093/eurpub/ckv043","ISSN":"1464-360X","issue":"6","journalAbbreviation":"Eur J Public Health","language":"eng","note":"PMID: 25843827\nPMCID: PMC4668324","page":"1053-1058","source":"PubMed","title":"Health literacy in Europe: comparative results of the European health literacy survey (HLS-EU)","title-short":"Health literacy in Europe","volume":"25","author":[{"family":"Sørensen","given":"Kristine"},{"family":"Pelikan","given":"Jürgen M."},{"family":"Röthlin","given":"Florian"},{"family":"Ganahl","given":"Kristin"},{"family":"Slonska","given":"Zofia"},{"family":"Doyle","given":"Gerardine"},{"family":"Fullam","given":"James"},{"family":"Kondilis","given":"Barbara"},{"family":"Agrafiotis","given":"Demosthenes"},{"family":"Uiters","given":"Ellen"},{"family":"Falcon","given":"Maria"},{"family":"Mensing","given":"Monika"},{"family":"Tchamov","given":"Kancho"},{"family":"Broucke","given":"Stephan","non-dropping-particle":"van den"},{"family":"Brand","given":"Helmut"},{"literal":"HLS-EU Consortium"}],"issued":{"date-parts":[["2015",12]]}}},{"id":339,"uris":["http://zotero.org/users/16278972/items/QAPBYP7Y"],"itemData":{"id":339,"type":"article-journal","abstract":"To examine the psychometrics properties of the French version of two scales measuring general (HLS19-Q12) and navigational (HLS19-NAV) health literacy (HL) using validation methods based on modern psychometric test theories: a Rasch model analysis.","container-title":"BMC Public Health","DOI":"10.1186/s12889-024-20504-x","ISSN":"1471-2458","issue":"1","journalAbbreviation":"BMC Public Health","page":"3079","source":"BioMed Central","title":"Psychometric validation of the French version of two scales measuring general (HLS19-Q12) and navigational (HLS19-NAV) health literacy using the Rasch model","volume":"24","author":[{"family":"Touzani","given":"Rajae"},{"family":"Rouquette","given":"Alexandra"},{"family":"Schultz","given":"Emilien"},{"family":"Allaire","given":"Cécile"},{"family":"Carrieri","given":"Patrizia"},{"family":"Mancini","given":"Julien"},{"family":"Hardouin","given":"Jean-Benoit"}],"issued":{"date-parts":[["2024",11,7]]}}}],"schema":"https://github.com/citation-style-language/schema/raw/master/csl-citation.json"} </w:instrText>
      </w:r>
      <w:r>
        <w:rPr>
          <w:lang w:val="en-US"/>
        </w:rPr>
        <w:fldChar w:fldCharType="separate"/>
      </w:r>
      <w:r w:rsidRPr="003979D4">
        <w:rPr>
          <w:rFonts w:ascii="Calibri" w:hAnsi="Calibri" w:cs="Calibri"/>
          <w:kern w:val="0"/>
          <w:lang w:val="en-US"/>
        </w:rPr>
        <w:t>[22, 31–36]</w:t>
      </w:r>
      <w:r>
        <w:rPr>
          <w:lang w:val="en-US"/>
        </w:rPr>
        <w:fldChar w:fldCharType="end"/>
      </w:r>
      <w:r w:rsidRPr="00FA7E54">
        <w:rPr>
          <w:lang w:val="en-US"/>
        </w:rPr>
        <w:t>.</w:t>
      </w:r>
      <w:r w:rsidRPr="009E7475">
        <w:rPr>
          <w:lang w:val="en-US"/>
        </w:rPr>
        <w:t xml:space="preserve"> </w:t>
      </w:r>
      <w:r w:rsidRPr="76C6A0BA">
        <w:rPr>
          <w:lang w:val="en-US"/>
        </w:rPr>
        <w:t>However, previously used models</w:t>
      </w:r>
      <w:r>
        <w:rPr>
          <w:lang w:val="en-US"/>
        </w:rPr>
        <w:t xml:space="preserve"> in such studies</w:t>
      </w:r>
      <w:r w:rsidRPr="76C6A0BA">
        <w:rPr>
          <w:lang w:val="en-US"/>
        </w:rPr>
        <w:t xml:space="preserve"> cannot fully accommodate the response format of items with opt-out category (</w:t>
      </w:r>
      <w:r>
        <w:rPr>
          <w:lang w:val="en-US"/>
        </w:rPr>
        <w:t xml:space="preserve">i.e. </w:t>
      </w:r>
      <w:r w:rsidRPr="76C6A0BA">
        <w:rPr>
          <w:lang w:val="en-US"/>
        </w:rPr>
        <w:t>worded as “I do not know”) combined with the four-point rating scale. To date, its impact on the overall scale</w:t>
      </w:r>
      <w:r>
        <w:rPr>
          <w:lang w:val="en-US"/>
        </w:rPr>
        <w:t xml:space="preserve"> and psychometric properties</w:t>
      </w:r>
      <w:r w:rsidRPr="76C6A0BA">
        <w:rPr>
          <w:lang w:val="en-US"/>
        </w:rPr>
        <w:t xml:space="preserve"> remain unexplored. In this study, we investigated the HLS</w:t>
      </w:r>
      <w:r w:rsidRPr="76C6A0BA">
        <w:rPr>
          <w:vertAlign w:val="subscript"/>
          <w:lang w:val="en-US"/>
        </w:rPr>
        <w:t>19</w:t>
      </w:r>
      <w:r w:rsidRPr="76C6A0BA">
        <w:rPr>
          <w:lang w:val="en-US"/>
        </w:rPr>
        <w:t xml:space="preserve">-Q12 by implementing the Nominal </w:t>
      </w:r>
      <w:r>
        <w:rPr>
          <w:lang w:val="en-US"/>
        </w:rPr>
        <w:t>Categories</w:t>
      </w:r>
      <w:r w:rsidRPr="76C6A0BA">
        <w:rPr>
          <w:lang w:val="en-US"/>
        </w:rPr>
        <w:t xml:space="preserve"> Model</w:t>
      </w:r>
      <w:r>
        <w:rPr>
          <w:lang w:val="en-US"/>
        </w:rPr>
        <w:t xml:space="preserve"> (NCM)</w:t>
      </w:r>
      <w:r w:rsidRPr="76C6A0BA">
        <w:rPr>
          <w:lang w:val="en-US"/>
        </w:rPr>
        <w:fldChar w:fldCharType="begin"/>
      </w:r>
      <w:r>
        <w:rPr>
          <w:lang w:val="en-US"/>
        </w:rPr>
        <w:instrText xml:space="preserve"> ADDIN ZOTERO_ITEM CSL_CITATION {"citationID":"ju2a7htH","properties":{"formattedCitation":"[37, 38]","plainCitation":"[37, 38]","noteIndex":0},"citationItems":[{"id":345,"uris":["http://zotero.org/users/16278972/items/G32FW5XI"],"itemData":{"id":345,"type":"article-journal","abstract":"A multivariate logistic latent trait model for items scored in two or more nominal categories is proposed. Statistical methods based on the model provide 1) estimation of two item parameters for each response alternative of each multiple choice item and 2) recovery of information from “wrong” responses when estimating latent ability. An application to a large sample of data for twenty vocabulary items shows excellent fit of the model according to a chi-square criterion. Item and test information curves are compared for estimation of ability assuming multiple category and dichotomous scoring of these items. Multiple scoring proves substantially more precise for subjects of less than median ability, and about equally precise for subjects above the median.","container-title":"Psychometrika","DOI":"10.1007/BF02291411","ISSN":"0033-3123, 1860-0980","issue":"1","language":"en","page":"29-51","source":"Cambridge University Press","title":"Estimating Item Parameters and Latent Ability when Responses are Scored in Two or More Nominal Categories","volume":"37","author":[{"family":"Bock","given":"R. Darrell"}],"issued":{"date-parts":[["1972",3]]}}},{"id":247,"uris":["http://zotero.org/users/16278972/items/PVIFUNPJ"],"itemData":{"id":247,"type":"chapter","container-title":"Handbook of Item Response Theory","edition":"Edited by Wim. J van der Linden","event-place":"Boca Raton, Florida","page":"51-74","publisher":"CRC Press","publisher-place":"Boca Raton, Florida","title":"Nominal Categories Model","volume":"Volume One: Models","author":[{"family":"Thissen","given":"David"},{"family":"Cai","given":"Li"}],"issued":{"date-parts":[["2016"]]}}}],"schema":"https://github.com/citation-style-language/schema/raw/master/csl-citation.json"} </w:instrText>
      </w:r>
      <w:r w:rsidRPr="76C6A0BA">
        <w:rPr>
          <w:lang w:val="en-US"/>
        </w:rPr>
        <w:fldChar w:fldCharType="separate"/>
      </w:r>
      <w:r w:rsidRPr="00687E56">
        <w:rPr>
          <w:rFonts w:ascii="Calibri" w:hAnsi="Calibri" w:cs="Calibri"/>
          <w:lang w:val="en-US"/>
        </w:rPr>
        <w:t>[37, 38]</w:t>
      </w:r>
      <w:r w:rsidRPr="76C6A0BA">
        <w:rPr>
          <w:lang w:val="en-US"/>
        </w:rPr>
        <w:fldChar w:fldCharType="end"/>
      </w:r>
      <w:r w:rsidRPr="76C6A0BA">
        <w:rPr>
          <w:lang w:val="en-US"/>
        </w:rPr>
        <w:t xml:space="preserve"> to better understand how the </w:t>
      </w:r>
      <w:r>
        <w:rPr>
          <w:lang w:val="en-US"/>
        </w:rPr>
        <w:t>scale</w:t>
      </w:r>
      <w:r w:rsidRPr="76C6A0BA">
        <w:rPr>
          <w:lang w:val="en-US"/>
        </w:rPr>
        <w:t xml:space="preserve"> functions across different samples and language versions. The N</w:t>
      </w:r>
      <w:r>
        <w:rPr>
          <w:lang w:val="en-US"/>
        </w:rPr>
        <w:t>C</w:t>
      </w:r>
      <w:r w:rsidRPr="76C6A0BA">
        <w:rPr>
          <w:lang w:val="en-US"/>
        </w:rPr>
        <w:t xml:space="preserve">M is indicated for multiple aspects </w:t>
      </w:r>
      <w:r>
        <w:rPr>
          <w:lang w:val="en-US"/>
        </w:rPr>
        <w:t>that</w:t>
      </w:r>
      <w:r w:rsidRPr="76C6A0BA">
        <w:rPr>
          <w:lang w:val="en-US"/>
        </w:rPr>
        <w:t xml:space="preserve"> this study</w:t>
      </w:r>
      <w:r>
        <w:rPr>
          <w:lang w:val="en-US"/>
        </w:rPr>
        <w:t xml:space="preserve"> directly addresses</w:t>
      </w:r>
      <w:r w:rsidRPr="76C6A0BA">
        <w:rPr>
          <w:lang w:val="en-US"/>
        </w:rPr>
        <w:t xml:space="preserve">, such as “for (a) testing the assumption of ordered response categories inherent in most psychological scales, </w:t>
      </w:r>
      <w:r w:rsidRPr="00B948D0">
        <w:rPr>
          <w:lang w:val="en-US"/>
        </w:rPr>
        <w:t>(b) testing the</w:t>
      </w:r>
      <w:r>
        <w:rPr>
          <w:lang w:val="en-US"/>
        </w:rPr>
        <w:t xml:space="preserve"> </w:t>
      </w:r>
      <w:r w:rsidRPr="00B948D0">
        <w:rPr>
          <w:lang w:val="en-US"/>
        </w:rPr>
        <w:t xml:space="preserve">assumptions </w:t>
      </w:r>
      <w:r>
        <w:rPr>
          <w:lang w:val="en-US"/>
        </w:rPr>
        <w:t xml:space="preserve">(…) </w:t>
      </w:r>
      <w:r w:rsidRPr="00B948D0">
        <w:rPr>
          <w:lang w:val="en-US"/>
        </w:rPr>
        <w:t>inherent in more restricted models</w:t>
      </w:r>
      <w:r>
        <w:rPr>
          <w:lang w:val="en-US"/>
        </w:rPr>
        <w:t xml:space="preserve"> (…)</w:t>
      </w:r>
      <w:r w:rsidRPr="00B948D0">
        <w:rPr>
          <w:lang w:val="en-US"/>
        </w:rPr>
        <w:t>,</w:t>
      </w:r>
      <w:r w:rsidRPr="00B948D0" w:rsidDel="00B948D0">
        <w:rPr>
          <w:lang w:val="en-US"/>
        </w:rPr>
        <w:t xml:space="preserve"> </w:t>
      </w:r>
      <w:r w:rsidRPr="76C6A0BA">
        <w:rPr>
          <w:lang w:val="en-US"/>
        </w:rPr>
        <w:t xml:space="preserve">(c) identifying poorly functioning response categories that should be collapsed, (d) conducting a fine-grained study of cross-cultural differences in category usage, and (e) studying the effects of reverse wording” </w:t>
      </w:r>
      <w:r w:rsidRPr="76C6A0BA">
        <w:rPr>
          <w:lang w:val="en-US"/>
        </w:rPr>
        <w:fldChar w:fldCharType="begin"/>
      </w:r>
      <w:r>
        <w:rPr>
          <w:lang w:val="en-US"/>
        </w:rPr>
        <w:instrText xml:space="preserve"> ADDIN ZOTERO_ITEM CSL_CITATION {"citationID":"D3Rt2OYe","properties":{"formattedCitation":"[39]","plainCitation":"[39]","noteIndex":0},"citationItems":[{"id":326,"uris":["http://zotero.org/users/16278972/items/SDHRBUY6"],"itemData":{"id":326,"type":"article-journal","abstract":"The authors used a nominal response item response theory model to estimate category boundary discrimination (CBD) parameters for items drawn from the Emotional Distress item pools (Depression, Anxiety, and Anger) developed in the Patient-Reported Outcomes Measurement Information Systems (PROMIS) project. For polytomous items with ordered response categories, CBD parameters index the degree to which a particular dichotomous distinction (e.g., a response in category two vs. one) discriminates trait levels. Findings indicated that 25 of the 86 PROMIS items displayed statistically significant (p ≤ .05) within-item variation in CBD parameters as judged by a Wald test. The most common finding was that the CBD parameter for the first (never vs. rarely) and last (sometimes vs. often/always) response distinction were higher than the CBD parameters for the remaining distinction (rarely vs. sometimes). The implications of significant CBD variation for model choice, scale analysis, and for scoring individual differences are reviewed.","container-title":"Educational and Psychological Measurement","DOI":"10.1177/0013164410382250","ISSN":"0013-1644","issue":"3","language":"en","note":"publisher: SAGE Publications Inc","page":"523-550","source":"SAGE Journals","title":"Using the Nominal Response Model to Evaluate Response Category Discrimination in the PROMIS Emotional Distress Item Pools","volume":"71","author":[{"family":"Preston","given":"Kathleen"},{"family":"Reise","given":"Steven"},{"family":"Cai","given":"Li"},{"family":"Hays","given":"Ron D."}],"issued":{"date-parts":[["2011",6,1]]}},"locator":"548","label":"page"}],"schema":"https://github.com/citation-style-language/schema/raw/master/csl-citation.json"} </w:instrText>
      </w:r>
      <w:r w:rsidRPr="76C6A0BA">
        <w:rPr>
          <w:lang w:val="en-US"/>
        </w:rPr>
        <w:fldChar w:fldCharType="separate"/>
      </w:r>
      <w:r w:rsidRPr="003979D4">
        <w:rPr>
          <w:rFonts w:ascii="Calibri" w:hAnsi="Calibri" w:cs="Calibri"/>
          <w:lang w:val="en-US"/>
        </w:rPr>
        <w:t>[39]</w:t>
      </w:r>
      <w:r w:rsidRPr="76C6A0BA">
        <w:rPr>
          <w:lang w:val="en-US"/>
        </w:rPr>
        <w:fldChar w:fldCharType="end"/>
      </w:r>
      <w:r w:rsidRPr="76C6A0BA">
        <w:rPr>
          <w:lang w:val="en-US"/>
        </w:rPr>
        <w:t xml:space="preserve">. </w:t>
      </w:r>
    </w:p>
    <w:p w14:paraId="5705312D" w14:textId="77777777" w:rsidR="00E751F2" w:rsidRPr="00015F0E" w:rsidRDefault="00E751F2" w:rsidP="00E751F2">
      <w:pPr>
        <w:pStyle w:val="ListParagraph"/>
        <w:spacing w:line="276" w:lineRule="auto"/>
        <w:ind w:left="0"/>
        <w:jc w:val="both"/>
        <w:rPr>
          <w:u w:val="single"/>
          <w:lang w:val="en-US"/>
        </w:rPr>
      </w:pPr>
      <w:r w:rsidRPr="00015F0E">
        <w:rPr>
          <w:u w:val="single"/>
          <w:lang w:val="en-US"/>
        </w:rPr>
        <w:t>Cultural differences and response style: acquiescence.</w:t>
      </w:r>
    </w:p>
    <w:p w14:paraId="7D3C75AB" w14:textId="77777777" w:rsidR="00E751F2" w:rsidRPr="00015F0E" w:rsidRDefault="00E751F2" w:rsidP="00E751F2">
      <w:pPr>
        <w:pStyle w:val="ListParagraph"/>
        <w:spacing w:line="276" w:lineRule="auto"/>
        <w:ind w:left="0"/>
        <w:jc w:val="both"/>
        <w:rPr>
          <w:lang w:val="en-US"/>
        </w:rPr>
      </w:pPr>
      <w:r w:rsidRPr="00015F0E">
        <w:rPr>
          <w:lang w:val="en-US"/>
        </w:rPr>
        <w:t xml:space="preserve">The </w:t>
      </w:r>
      <w:bookmarkStart w:id="0" w:name="_Hlk211002723"/>
      <w:r w:rsidRPr="00015F0E">
        <w:rPr>
          <w:lang w:val="en-US"/>
        </w:rPr>
        <w:t>HLS</w:t>
      </w:r>
      <w:r w:rsidRPr="00015F0E">
        <w:rPr>
          <w:vertAlign w:val="subscript"/>
          <w:lang w:val="en-US"/>
        </w:rPr>
        <w:t>19</w:t>
      </w:r>
      <w:r w:rsidRPr="00015F0E">
        <w:rPr>
          <w:lang w:val="en-US"/>
        </w:rPr>
        <w:t xml:space="preserve">-Q12 </w:t>
      </w:r>
      <w:bookmarkEnd w:id="0"/>
      <w:r w:rsidRPr="00015F0E">
        <w:rPr>
          <w:lang w:val="en-US"/>
        </w:rPr>
        <w:t xml:space="preserve">was introduced by the following statement: “How easy would you say it is to…?”, followed by a four-point rating scale starting with “Very easy” and finishing with “Very difficult” and a final “Do not know” opt-out category. Cultural differences </w:t>
      </w:r>
      <w:r w:rsidRPr="008F5EA2">
        <w:rPr>
          <w:lang w:val="en-US"/>
        </w:rPr>
        <w:t>in response behavior may introduce systematic variation unrelated to actual HL levels</w:t>
      </w:r>
      <w:r w:rsidRPr="00015F0E">
        <w:rPr>
          <w:lang w:val="en-US"/>
        </w:rPr>
        <w:t xml:space="preserve">. One possible way in which response styles could affect observed item distributions </w:t>
      </w:r>
      <w:r w:rsidRPr="000476D7">
        <w:rPr>
          <w:lang w:val="en-US"/>
        </w:rPr>
        <w:t>is acquiescence—the tendency to agree regardless of item content</w:t>
      </w:r>
      <w:r w:rsidRPr="00015F0E">
        <w:rPr>
          <w:lang w:val="en-US"/>
        </w:rPr>
        <w:t>. Differences in response style are one of the main sources of bias in cross-cultural measurement</w:t>
      </w:r>
      <w:r>
        <w:rPr>
          <w:lang w:val="en-US"/>
        </w:rPr>
        <w:t xml:space="preserve"> </w:t>
      </w:r>
      <w:r>
        <w:rPr>
          <w:lang w:val="en-US"/>
        </w:rPr>
        <w:fldChar w:fldCharType="begin"/>
      </w:r>
      <w:r>
        <w:rPr>
          <w:lang w:val="en-US"/>
        </w:rPr>
        <w:instrText xml:space="preserve"> ADDIN ZOTERO_ITEM CSL_CITATION {"citationID":"kHKlVMkD","properties":{"formattedCitation":"[40]","plainCitation":"[40]","noteIndex":0},"citationItems":[{"id":535,"uris":["http://zotero.org/users/16278972/items/2C2PDZVN"],"itemData":{"id":535,"type":"book","abstract":"This book gives an up-to-date overview of methodological and data-analytical issues of cross-cultural studies. Written by leading experts in the field, it presents the most important tools for doing cross-cultural research and outlines design considerations, methods, and analytical techniques that can improve ecological validity and help researchers to avoid pitfalls in cross-cultural psychology. By focusing on the relevant research questions that can be tackled with particular methods, it provides practical guidance on how to translate conceptual questions into decisions on study design and statistical techniques. Featuring examples from cognitive and educational assessment, personality, health, and intercultural communication and management, and illustrating key techniques in feature boxes, this concise and accessible guide is essential reading for researchers, graduate students, and professionals who work with culture-comparative data.","ISBN":"978-1-009-06398-2","language":"en","number-of-pages":"209","publisher":"Cambridge University Press","source":"Google Books","title":"Methods and Data Analysis for Cross-Cultural Research","author":[{"family":"Vijver","given":"Fons J. R.","dropping-particle":"van de"},{"family":"Leung","given":"Kwok"}],"issued":{"date-parts":[["2021",6,24]]}}}],"schema":"https://github.com/citation-style-language/schema/raw/master/csl-citation.json"} </w:instrText>
      </w:r>
      <w:r>
        <w:rPr>
          <w:lang w:val="en-US"/>
        </w:rPr>
        <w:fldChar w:fldCharType="separate"/>
      </w:r>
      <w:r w:rsidRPr="00687E56">
        <w:rPr>
          <w:rFonts w:ascii="Calibri" w:hAnsi="Calibri" w:cs="Calibri"/>
          <w:lang w:val="en-US"/>
        </w:rPr>
        <w:t>[40]</w:t>
      </w:r>
      <w:r>
        <w:rPr>
          <w:lang w:val="en-US"/>
        </w:rPr>
        <w:fldChar w:fldCharType="end"/>
      </w:r>
      <w:r w:rsidRPr="00015F0E">
        <w:rPr>
          <w:lang w:val="en-US"/>
        </w:rPr>
        <w:t xml:space="preserve">, and </w:t>
      </w:r>
      <w:r>
        <w:rPr>
          <w:lang w:val="en-US"/>
        </w:rPr>
        <w:t>its impact has</w:t>
      </w:r>
      <w:r w:rsidRPr="00015F0E">
        <w:rPr>
          <w:lang w:val="en-US"/>
        </w:rPr>
        <w:t xml:space="preserve"> not been </w:t>
      </w:r>
      <w:r>
        <w:rPr>
          <w:lang w:val="en-US"/>
        </w:rPr>
        <w:t>examined</w:t>
      </w:r>
      <w:r w:rsidRPr="00015F0E">
        <w:rPr>
          <w:lang w:val="en-US"/>
        </w:rPr>
        <w:t xml:space="preserve"> for HLS</w:t>
      </w:r>
      <w:r w:rsidRPr="00015F0E">
        <w:rPr>
          <w:vertAlign w:val="subscript"/>
          <w:lang w:val="en-US"/>
        </w:rPr>
        <w:t>19</w:t>
      </w:r>
      <w:r w:rsidRPr="00015F0E">
        <w:rPr>
          <w:lang w:val="en-US"/>
        </w:rPr>
        <w:t xml:space="preserve">-Q12. </w:t>
      </w:r>
    </w:p>
    <w:p w14:paraId="137B17A9" w14:textId="77777777" w:rsidR="00E751F2" w:rsidRPr="00015F0E" w:rsidRDefault="00E751F2" w:rsidP="00E751F2">
      <w:pPr>
        <w:pStyle w:val="ListParagraph"/>
        <w:spacing w:line="276" w:lineRule="auto"/>
        <w:ind w:left="0"/>
        <w:jc w:val="both"/>
        <w:rPr>
          <w:lang w:val="en-US"/>
        </w:rPr>
      </w:pPr>
      <w:r w:rsidRPr="76C6A0BA">
        <w:rPr>
          <w:lang w:val="en-US"/>
        </w:rPr>
        <w:lastRenderedPageBreak/>
        <w:t xml:space="preserve">The datasets of Healthy Finland and </w:t>
      </w:r>
      <w:proofErr w:type="spellStart"/>
      <w:r w:rsidRPr="76C6A0BA">
        <w:rPr>
          <w:lang w:val="en-US"/>
        </w:rPr>
        <w:t>MoniSuomi</w:t>
      </w:r>
      <w:proofErr w:type="spellEnd"/>
      <w:r w:rsidRPr="76C6A0BA">
        <w:rPr>
          <w:lang w:val="en-US"/>
        </w:rPr>
        <w:t xml:space="preserve"> studies are otherwise highly comparable but included response categories of </w:t>
      </w:r>
      <w:r>
        <w:rPr>
          <w:lang w:val="en-US"/>
        </w:rPr>
        <w:t xml:space="preserve">the </w:t>
      </w:r>
      <w:r w:rsidRPr="00015F0E">
        <w:rPr>
          <w:lang w:val="en-US"/>
        </w:rPr>
        <w:t>HLS</w:t>
      </w:r>
      <w:r w:rsidRPr="00015F0E">
        <w:rPr>
          <w:vertAlign w:val="subscript"/>
          <w:lang w:val="en-US"/>
        </w:rPr>
        <w:t>19</w:t>
      </w:r>
      <w:r w:rsidRPr="00015F0E">
        <w:rPr>
          <w:lang w:val="en-US"/>
        </w:rPr>
        <w:t>-Q12</w:t>
      </w:r>
      <w:r w:rsidRPr="76C6A0BA">
        <w:rPr>
          <w:lang w:val="en-US"/>
        </w:rPr>
        <w:t xml:space="preserve"> with reverse </w:t>
      </w:r>
      <w:r>
        <w:rPr>
          <w:lang w:val="en-US"/>
        </w:rPr>
        <w:t>orderin</w:t>
      </w:r>
      <w:r w:rsidRPr="76C6A0BA">
        <w:rPr>
          <w:lang w:val="en-US"/>
        </w:rPr>
        <w:t xml:space="preserve">g. This allows comparison of response distributions between language versions in Finnish and English, and between migrant and general populations. All formats had the opt-out category (“I do not know”) as their fifth category, after the four Likert-type response categories and at the end of the rating scale. We investigated the effect of response style by comparing response distributions and testing for IRT-based measurement invariance. </w:t>
      </w:r>
    </w:p>
    <w:p w14:paraId="74476FA7" w14:textId="77777777" w:rsidR="00E751F2" w:rsidRPr="00015F0E" w:rsidRDefault="00E751F2" w:rsidP="00E751F2">
      <w:pPr>
        <w:spacing w:line="276" w:lineRule="auto"/>
        <w:jc w:val="both"/>
        <w:rPr>
          <w:u w:val="single"/>
          <w:lang w:val="en-US"/>
        </w:rPr>
      </w:pPr>
      <w:r w:rsidRPr="00015F0E">
        <w:rPr>
          <w:u w:val="single"/>
          <w:lang w:val="en-US"/>
        </w:rPr>
        <w:t xml:space="preserve">Use of </w:t>
      </w:r>
      <w:r>
        <w:rPr>
          <w:u w:val="single"/>
          <w:lang w:val="en-US"/>
        </w:rPr>
        <w:t>scale</w:t>
      </w:r>
      <w:r w:rsidRPr="00015F0E">
        <w:rPr>
          <w:u w:val="single"/>
          <w:lang w:val="en-US"/>
        </w:rPr>
        <w:t xml:space="preserve"> scores</w:t>
      </w:r>
    </w:p>
    <w:p w14:paraId="739361E3" w14:textId="77777777" w:rsidR="00E751F2" w:rsidRPr="00015F0E" w:rsidRDefault="00E751F2" w:rsidP="00E751F2">
      <w:pPr>
        <w:pStyle w:val="ListParagraph"/>
        <w:spacing w:line="276" w:lineRule="auto"/>
        <w:ind w:left="0"/>
        <w:jc w:val="both"/>
        <w:rPr>
          <w:lang w:val="en-US"/>
        </w:rPr>
      </w:pPr>
      <w:r w:rsidRPr="00015F0E">
        <w:rPr>
          <w:lang w:val="en-US"/>
        </w:rPr>
        <w:t>The HLS</w:t>
      </w:r>
      <w:r w:rsidRPr="00015F0E">
        <w:rPr>
          <w:vertAlign w:val="subscript"/>
          <w:lang w:val="en-US"/>
        </w:rPr>
        <w:t>19</w:t>
      </w:r>
      <w:r w:rsidRPr="00015F0E">
        <w:rPr>
          <w:lang w:val="en-US"/>
        </w:rPr>
        <w:t xml:space="preserve">-Q12 is required to be both psychometrically sound and convenient to use for monitoring HL in practice. Validating the sum-score is fundamental for a tool to become widespread in the applied context, where sophisticated modeling of </w:t>
      </w:r>
      <w:r>
        <w:rPr>
          <w:lang w:val="en-US"/>
        </w:rPr>
        <w:t>scale</w:t>
      </w:r>
      <w:r w:rsidRPr="00015F0E">
        <w:rPr>
          <w:lang w:val="en-US"/>
        </w:rPr>
        <w:t xml:space="preserve"> scores, such as routin</w:t>
      </w:r>
      <w:r>
        <w:rPr>
          <w:lang w:val="en-US"/>
        </w:rPr>
        <w:t>e</w:t>
      </w:r>
      <w:r w:rsidRPr="00015F0E">
        <w:rPr>
          <w:lang w:val="en-US"/>
        </w:rPr>
        <w:t xml:space="preserve"> IRT-based estimation of HL as a latent trait, is unrealistic. We agree that “one should engage in psychometric work of various kinds to ensure that sum scoring is a reasonable approach for a particular set of items” </w:t>
      </w:r>
      <w:r w:rsidRPr="00015F0E">
        <w:rPr>
          <w:lang w:val="en-US"/>
        </w:rPr>
        <w:fldChar w:fldCharType="begin"/>
      </w:r>
      <w:r>
        <w:rPr>
          <w:lang w:val="en-US"/>
        </w:rPr>
        <w:instrText xml:space="preserve"> ADDIN ZOTERO_ITEM CSL_CITATION {"citationID":"lLV5eGB8","properties":{"formattedCitation":"[41]","plainCitation":"[41]","noteIndex":0},"citationItems":[{"id":274,"uris":["http://zotero.org/users/16278972/items/GNMLCRNX"],"itemData":{"id":274,"type":"article-journal","abstract":"The relative advantages and disadvantages of sum scores and estimated factor scores are issues of concern for substantive research in psychology. Recently, while championing estimated factor scores over sum scores, McNeish offered a trenchant rejoinder to an article by Widaman and Revelle, which had critiqued an earlier paper by McNeish and Wolf. In the recent contribution, McNeish misrepresented a number of claims by Widaman and Revelle, rendering moot his criticisms of Widaman and Revelle. Notably, McNeish chose to avoid confronting a key strength of sum scores stressed by Widaman and Revelle—the greater comparability of results across studies if sum scores are used. Instead, McNeish pivoted to present a host of simulation studies to identify relative strengths of estimated factor scores. Here, we review our prior claims and, in the process, deflect purported criticisms by McNeish. We discuss briefly issues related to simulated data and empirical data that provide evidence of strengths of each type of score. In doing so, we identified a second strength of sum scores: superior cross-validation of results across independent samples of empirical data, at least for samples of moderate size. We close with consideration of four general issues concerning sum scores and estimated factor scores that highlight the contrasts between positions offered by McNeish and by us, issues of importance when pursuing applied research in our field.","container-title":"Educational and Psychological Measurement","DOI":"10.1177/00131644231205310","ISSN":"0013-1644","issue":"4","language":"en","note":"publisher: SAGE Publications Inc","page":"637-659","source":"SAGE Journals","title":"Thinking About Sum Scores Yet Again, Maybe the Last Time, We Don’t Know, Oh No . . .: A Comment on","title-short":"Thinking About Sum Scores Yet Again, Maybe the Last Time, We Don’t Know, Oh No . . .","volume":"84","author":[{"family":"Widaman","given":"Keith F."},{"family":"Revelle","given":"William"}],"issued":{"date-parts":[["2024",8,1]]}}}],"schema":"https://github.com/citation-style-language/schema/raw/master/csl-citation.json"} </w:instrText>
      </w:r>
      <w:r w:rsidRPr="00015F0E">
        <w:rPr>
          <w:lang w:val="en-US"/>
        </w:rPr>
        <w:fldChar w:fldCharType="separate"/>
      </w:r>
      <w:r w:rsidRPr="00687E56">
        <w:rPr>
          <w:rFonts w:ascii="Calibri" w:hAnsi="Calibri" w:cs="Calibri"/>
          <w:lang w:val="en-US"/>
        </w:rPr>
        <w:t>[41]</w:t>
      </w:r>
      <w:r w:rsidRPr="00015F0E">
        <w:rPr>
          <w:lang w:val="en-US"/>
        </w:rPr>
        <w:fldChar w:fldCharType="end"/>
      </w:r>
      <w:r w:rsidRPr="00015F0E">
        <w:rPr>
          <w:lang w:val="en-US"/>
        </w:rPr>
        <w:t xml:space="preserve">. </w:t>
      </w:r>
      <w:r>
        <w:rPr>
          <w:lang w:val="en-US"/>
        </w:rPr>
        <w:t>Despite its limitations</w:t>
      </w:r>
      <w:r w:rsidRPr="00015F0E">
        <w:rPr>
          <w:lang w:val="en-US"/>
        </w:rPr>
        <w:t xml:space="preserve">, the observed sum-score approximates the true sum-score. </w:t>
      </w:r>
      <w:r w:rsidRPr="76C6A0BA">
        <w:rPr>
          <w:lang w:val="en-US"/>
        </w:rPr>
        <w:t xml:space="preserve">This study examined the association between different methods for HL scoring and factors expected to vary according to HL. Associations in the theoretically expected direction would imply evidence of concurrent criterion-related validity (e.g. low scores in HL correlating with poor scores in health-related criteria or low socioeconomic status). We compared criterion-related validity of standard scoring of HL, which are based on sum-scores, and </w:t>
      </w:r>
      <w:r>
        <w:rPr>
          <w:lang w:val="en-US"/>
        </w:rPr>
        <w:t xml:space="preserve">the </w:t>
      </w:r>
      <w:r w:rsidRPr="76C6A0BA">
        <w:rPr>
          <w:lang w:val="en-US"/>
        </w:rPr>
        <w:t>IRT-based estima</w:t>
      </w:r>
      <w:r>
        <w:rPr>
          <w:lang w:val="en-US"/>
        </w:rPr>
        <w:t>nd</w:t>
      </w:r>
      <w:r w:rsidRPr="76C6A0BA">
        <w:rPr>
          <w:lang w:val="en-US"/>
        </w:rPr>
        <w:t xml:space="preserve"> of HL.</w:t>
      </w:r>
      <w:r>
        <w:rPr>
          <w:lang w:val="en-US"/>
        </w:rPr>
        <w:t xml:space="preserve"> An array of criterion variables was chosen belonging to sociodemographic factors, variables related to health and health-related behaviors, and migration-related factors.</w:t>
      </w:r>
    </w:p>
    <w:p w14:paraId="2C2E6B62" w14:textId="77777777" w:rsidR="00E751F2" w:rsidRDefault="00E751F2" w:rsidP="00E751F2">
      <w:pPr>
        <w:spacing w:line="276" w:lineRule="auto"/>
        <w:jc w:val="center"/>
        <w:rPr>
          <w:lang w:val="en-US"/>
        </w:rPr>
      </w:pPr>
    </w:p>
    <w:p w14:paraId="71B38DB3" w14:textId="77777777" w:rsidR="00E751F2" w:rsidRDefault="00E751F2" w:rsidP="00E751F2">
      <w:pPr>
        <w:spacing w:line="276" w:lineRule="auto"/>
        <w:jc w:val="center"/>
        <w:rPr>
          <w:lang w:val="en-US"/>
        </w:rPr>
      </w:pPr>
    </w:p>
    <w:p w14:paraId="69372DA9" w14:textId="77777777" w:rsidR="00E751F2" w:rsidRDefault="00E751F2" w:rsidP="00E751F2">
      <w:pPr>
        <w:spacing w:line="276" w:lineRule="auto"/>
        <w:jc w:val="center"/>
        <w:rPr>
          <w:lang w:val="en-US"/>
        </w:rPr>
      </w:pPr>
    </w:p>
    <w:p w14:paraId="1019075B" w14:textId="77777777" w:rsidR="00E751F2" w:rsidRDefault="00E751F2" w:rsidP="00E751F2">
      <w:pPr>
        <w:spacing w:line="276" w:lineRule="auto"/>
        <w:jc w:val="center"/>
        <w:rPr>
          <w:lang w:val="en-US"/>
        </w:rPr>
      </w:pPr>
    </w:p>
    <w:p w14:paraId="36D74D72" w14:textId="77777777" w:rsidR="00E751F2" w:rsidRDefault="00E751F2" w:rsidP="00E751F2">
      <w:pPr>
        <w:spacing w:line="276" w:lineRule="auto"/>
        <w:jc w:val="center"/>
        <w:rPr>
          <w:lang w:val="en-US"/>
        </w:rPr>
      </w:pPr>
    </w:p>
    <w:p w14:paraId="266C248F" w14:textId="77777777" w:rsidR="00E751F2" w:rsidRDefault="00E751F2" w:rsidP="00E751F2">
      <w:pPr>
        <w:spacing w:line="276" w:lineRule="auto"/>
        <w:jc w:val="center"/>
        <w:rPr>
          <w:lang w:val="en-US"/>
        </w:rPr>
      </w:pPr>
    </w:p>
    <w:p w14:paraId="64FF471B" w14:textId="77777777" w:rsidR="00E751F2" w:rsidRDefault="00E751F2" w:rsidP="00E751F2">
      <w:pPr>
        <w:spacing w:line="276" w:lineRule="auto"/>
        <w:jc w:val="center"/>
        <w:rPr>
          <w:lang w:val="en-US"/>
        </w:rPr>
      </w:pPr>
    </w:p>
    <w:p w14:paraId="2F40408E" w14:textId="77777777" w:rsidR="00E751F2" w:rsidRDefault="00E751F2" w:rsidP="00E751F2">
      <w:pPr>
        <w:spacing w:line="276" w:lineRule="auto"/>
        <w:jc w:val="center"/>
        <w:rPr>
          <w:lang w:val="en-US"/>
        </w:rPr>
      </w:pPr>
    </w:p>
    <w:p w14:paraId="4EFED112" w14:textId="77777777" w:rsidR="00E751F2" w:rsidRDefault="00E751F2" w:rsidP="00E751F2">
      <w:pPr>
        <w:spacing w:line="276" w:lineRule="auto"/>
        <w:jc w:val="center"/>
        <w:rPr>
          <w:lang w:val="en-US"/>
        </w:rPr>
      </w:pPr>
    </w:p>
    <w:p w14:paraId="577D46A7" w14:textId="77777777" w:rsidR="00E751F2" w:rsidRDefault="00E751F2" w:rsidP="00E751F2">
      <w:pPr>
        <w:spacing w:line="276" w:lineRule="auto"/>
        <w:jc w:val="center"/>
        <w:rPr>
          <w:lang w:val="en-US"/>
        </w:rPr>
      </w:pPr>
    </w:p>
    <w:p w14:paraId="5BF5FB8D" w14:textId="77777777" w:rsidR="00E751F2" w:rsidRDefault="00E751F2" w:rsidP="00E751F2">
      <w:pPr>
        <w:spacing w:line="276" w:lineRule="auto"/>
        <w:jc w:val="center"/>
        <w:rPr>
          <w:lang w:val="en-US"/>
        </w:rPr>
      </w:pPr>
    </w:p>
    <w:p w14:paraId="182E160D" w14:textId="77777777" w:rsidR="00E751F2" w:rsidRDefault="00E751F2" w:rsidP="00E751F2">
      <w:pPr>
        <w:spacing w:line="276" w:lineRule="auto"/>
        <w:jc w:val="center"/>
        <w:rPr>
          <w:lang w:val="en-US"/>
        </w:rPr>
      </w:pPr>
    </w:p>
    <w:p w14:paraId="0BA86579" w14:textId="77777777" w:rsidR="00E751F2" w:rsidRDefault="00E751F2" w:rsidP="00E751F2">
      <w:pPr>
        <w:spacing w:line="276" w:lineRule="auto"/>
        <w:jc w:val="center"/>
        <w:rPr>
          <w:lang w:val="en-US"/>
        </w:rPr>
      </w:pPr>
    </w:p>
    <w:p w14:paraId="607A422E" w14:textId="77777777" w:rsidR="00E751F2" w:rsidRDefault="00E751F2" w:rsidP="00E751F2">
      <w:pPr>
        <w:spacing w:line="276" w:lineRule="auto"/>
        <w:jc w:val="center"/>
        <w:rPr>
          <w:lang w:val="en-US"/>
        </w:rPr>
      </w:pPr>
    </w:p>
    <w:p w14:paraId="2375A5A7" w14:textId="77777777" w:rsidR="00E751F2" w:rsidRDefault="00E751F2" w:rsidP="00E751F2">
      <w:pPr>
        <w:spacing w:line="276" w:lineRule="auto"/>
        <w:jc w:val="center"/>
        <w:rPr>
          <w:lang w:val="en-US"/>
        </w:rPr>
      </w:pPr>
    </w:p>
    <w:p w14:paraId="5EDD38C0" w14:textId="77777777" w:rsidR="00E751F2" w:rsidRDefault="00E751F2" w:rsidP="00E751F2">
      <w:pPr>
        <w:spacing w:line="276" w:lineRule="auto"/>
        <w:jc w:val="center"/>
        <w:rPr>
          <w:lang w:val="en-US"/>
        </w:rPr>
      </w:pPr>
    </w:p>
    <w:p w14:paraId="7D3A55DC" w14:textId="7360AD17" w:rsidR="003E684F" w:rsidRPr="00E751F2" w:rsidRDefault="00BC71B6" w:rsidP="00E751F2">
      <w:pPr>
        <w:spacing w:line="276" w:lineRule="auto"/>
        <w:jc w:val="center"/>
        <w:rPr>
          <w:b/>
          <w:bCs/>
          <w:lang w:val="en-US"/>
        </w:rPr>
      </w:pPr>
      <w:r w:rsidRPr="00E751F2">
        <w:rPr>
          <w:b/>
          <w:bCs/>
          <w:lang w:val="en-US"/>
        </w:rPr>
        <w:lastRenderedPageBreak/>
        <w:t>Supplement</w:t>
      </w:r>
      <w:r w:rsidR="003A7637" w:rsidRPr="00E751F2">
        <w:rPr>
          <w:b/>
          <w:bCs/>
          <w:lang w:val="en-US"/>
        </w:rPr>
        <w:t>ary Methods</w:t>
      </w:r>
      <w:r w:rsidR="00E751F2" w:rsidRPr="00E751F2">
        <w:rPr>
          <w:b/>
          <w:bCs/>
          <w:lang w:val="en-US"/>
        </w:rPr>
        <w:t xml:space="preserve"> 2</w:t>
      </w:r>
      <w:r w:rsidR="00CA21AF" w:rsidRPr="00E751F2">
        <w:rPr>
          <w:b/>
          <w:bCs/>
          <w:lang w:val="en-US"/>
        </w:rPr>
        <w:t>:</w:t>
      </w:r>
      <w:r w:rsidR="008A1EA8" w:rsidRPr="00E751F2">
        <w:rPr>
          <w:b/>
          <w:bCs/>
          <w:lang w:val="en-US"/>
        </w:rPr>
        <w:t xml:space="preserve"> </w:t>
      </w:r>
      <w:r w:rsidR="00CA21AF" w:rsidRPr="00E751F2">
        <w:rPr>
          <w:b/>
          <w:bCs/>
          <w:lang w:val="en-US"/>
        </w:rPr>
        <w:t>t</w:t>
      </w:r>
      <w:r w:rsidR="008A1EA8" w:rsidRPr="00E751F2">
        <w:rPr>
          <w:b/>
          <w:bCs/>
          <w:lang w:val="en-US"/>
        </w:rPr>
        <w:t>he Nominal Categories Model</w:t>
      </w:r>
    </w:p>
    <w:p w14:paraId="59D1D012" w14:textId="77777777" w:rsidR="004E110E" w:rsidRPr="008A1EA8" w:rsidRDefault="004E110E" w:rsidP="00E751F2">
      <w:pPr>
        <w:spacing w:line="276" w:lineRule="auto"/>
        <w:jc w:val="center"/>
        <w:rPr>
          <w:lang w:val="en-US"/>
        </w:rPr>
      </w:pPr>
    </w:p>
    <w:p w14:paraId="5CEA6BA7" w14:textId="77777777" w:rsidR="008A1EA8" w:rsidRPr="005E77C8" w:rsidRDefault="008A1EA8" w:rsidP="00E751F2">
      <w:pPr>
        <w:pStyle w:val="ListParagraph"/>
        <w:spacing w:line="276" w:lineRule="auto"/>
        <w:ind w:left="0"/>
        <w:jc w:val="both"/>
        <w:rPr>
          <w:lang w:val="en-US"/>
        </w:rPr>
      </w:pPr>
      <w:r w:rsidRPr="005E77C8">
        <w:rPr>
          <w:lang w:val="en-US"/>
        </w:rPr>
        <w:t xml:space="preserve">The probability that a subject with latent trait </w:t>
      </w:r>
      <w:r w:rsidRPr="00063AB4">
        <w:t>θ</w:t>
      </w:r>
      <w:r w:rsidRPr="005E77C8">
        <w:rPr>
          <w:lang w:val="en-US"/>
        </w:rPr>
        <w:t xml:space="preserve"> (HL, in this study) will respond to item </w:t>
      </w:r>
      <w:r w:rsidRPr="005E77C8">
        <w:rPr>
          <w:i/>
          <w:iCs/>
          <w:lang w:val="en-US"/>
        </w:rPr>
        <w:t>j</w:t>
      </w:r>
      <w:r w:rsidRPr="005E77C8">
        <w:rPr>
          <w:lang w:val="en-US"/>
        </w:rPr>
        <w:t xml:space="preserve"> in category </w:t>
      </w:r>
      <w:r w:rsidRPr="005E77C8">
        <w:rPr>
          <w:i/>
          <w:iCs/>
          <w:lang w:val="en-US"/>
        </w:rPr>
        <w:t>k</w:t>
      </w:r>
      <w:r w:rsidRPr="005E77C8">
        <w:rPr>
          <w:lang w:val="en-US"/>
        </w:rPr>
        <w:t xml:space="preserve"> according to the NCM is modelled as follows:</w:t>
      </w:r>
    </w:p>
    <w:p w14:paraId="2830C967" w14:textId="77777777" w:rsidR="008A1EA8" w:rsidRPr="00063AB4" w:rsidRDefault="00E751F2" w:rsidP="00E751F2">
      <w:pPr>
        <w:pStyle w:val="ListParagraph"/>
        <w:spacing w:line="276" w:lineRule="auto"/>
        <w:ind w:left="0"/>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j</m:t>
              </m:r>
            </m:sub>
          </m:sSub>
          <m:r>
            <w:rPr>
              <w:rFonts w:ascii="Cambria Math" w:hAnsi="Cambria Math"/>
              <w:lang w:val="en-US"/>
            </w:rPr>
            <m:t>(k|θ)=</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kj</m:t>
                      </m:r>
                    </m:sub>
                  </m:sSub>
                  <m:r>
                    <w:rPr>
                      <w:rFonts w:ascii="Cambria Math" w:hAnsi="Cambria Math"/>
                      <w:lang w:val="en-US"/>
                    </w:rPr>
                    <m:t>θ+</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kj</m:t>
                      </m:r>
                    </m:sub>
                  </m:sSub>
                </m:sup>
              </m:sSup>
            </m:num>
            <m:den>
              <m:nary>
                <m:naryPr>
                  <m:chr m:val="∑"/>
                  <m:limLoc m:val="subSup"/>
                  <m:ctrlPr>
                    <w:rPr>
                      <w:rFonts w:ascii="Cambria Math" w:hAnsi="Cambria Math"/>
                      <w:i/>
                      <w:lang w:val="en-US"/>
                    </w:rPr>
                  </m:ctrlPr>
                </m:naryPr>
                <m:sub>
                  <m:r>
                    <w:rPr>
                      <w:rFonts w:ascii="Cambria Math" w:hAnsi="Cambria Math"/>
                      <w:lang w:val="en-US"/>
                    </w:rPr>
                    <m:t>i=1</m:t>
                  </m:r>
                </m:sub>
                <m:sup>
                  <m:r>
                    <w:rPr>
                      <w:rFonts w:ascii="Cambria Math" w:hAnsi="Cambria Math"/>
                      <w:lang w:val="en-US"/>
                    </w:rPr>
                    <m:t>m</m:t>
                  </m:r>
                </m:sup>
                <m:e>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kj</m:t>
                          </m:r>
                        </m:sub>
                      </m:sSub>
                      <m:r>
                        <w:rPr>
                          <w:rFonts w:ascii="Cambria Math" w:hAnsi="Cambria Math"/>
                          <w:lang w:val="en-US"/>
                        </w:rPr>
                        <m:t>θ+</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kj</m:t>
                          </m:r>
                        </m:sub>
                      </m:sSub>
                    </m:sup>
                  </m:sSup>
                </m:e>
              </m:nary>
            </m:den>
          </m:f>
        </m:oMath>
      </m:oMathPara>
    </w:p>
    <w:p w14:paraId="72AB35D4" w14:textId="77777777" w:rsidR="008A1EA8" w:rsidRPr="00063AB4" w:rsidRDefault="008A1EA8" w:rsidP="00E751F2">
      <w:pPr>
        <w:pStyle w:val="ListParagraph"/>
        <w:spacing w:line="276" w:lineRule="auto"/>
        <w:ind w:left="0"/>
        <w:rPr>
          <w:lang w:val="en-US"/>
        </w:rPr>
      </w:pPr>
    </w:p>
    <w:p w14:paraId="2D3CF5CF" w14:textId="77777777" w:rsidR="008A1EA8" w:rsidRPr="00063AB4" w:rsidRDefault="008A1EA8" w:rsidP="00E751F2">
      <w:pPr>
        <w:pStyle w:val="ListParagraph"/>
        <w:spacing w:line="276" w:lineRule="auto"/>
        <w:ind w:left="0"/>
        <w:jc w:val="both"/>
        <w:rPr>
          <w:i/>
          <w:iCs/>
          <w:lang w:val="en-US"/>
        </w:rPr>
      </w:pPr>
      <w:r w:rsidRPr="76C6A0BA">
        <w:rPr>
          <w:lang w:val="en-US"/>
        </w:rPr>
        <w:t xml:space="preserve">where the summation in the denominator corresponds to all K response categories for a given item </w:t>
      </w:r>
      <w:r w:rsidRPr="76C6A0BA">
        <w:rPr>
          <w:i/>
          <w:iCs/>
          <w:lang w:val="en-US"/>
        </w:rPr>
        <w:t>j</w:t>
      </w:r>
      <w:r w:rsidRPr="76C6A0BA">
        <w:rPr>
          <w:lang w:val="en-US"/>
        </w:rPr>
        <w:t xml:space="preserve">. By convention, parameters refer to k=K-1 response categories, and thus parameters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0j</m:t>
            </m:r>
          </m:sub>
        </m:sSub>
      </m:oMath>
      <w:r w:rsidRPr="76C6A0BA">
        <w:rPr>
          <w:lang w:val="en-US"/>
        </w:rPr>
        <w:t xml:space="preserve"> and </w:t>
      </w:r>
      <m:oMath>
        <m:sSub>
          <m:sSubPr>
            <m:ctrlPr>
              <w:rPr>
                <w:rFonts w:ascii="Cambria Math" w:hAnsi="Cambria Math" w:cstheme="minorHAnsi"/>
                <w:i/>
                <w:lang w:val="en-US"/>
              </w:rPr>
            </m:ctrlPr>
          </m:sSubPr>
          <m:e>
            <m:r>
              <w:rPr>
                <w:rFonts w:ascii="Cambria Math" w:hAnsi="Cambria Math" w:cstheme="minorHAnsi"/>
                <w:lang w:val="en-US"/>
              </w:rPr>
              <m:t>d</m:t>
            </m:r>
          </m:e>
          <m:sub>
            <m:r>
              <w:rPr>
                <w:rFonts w:ascii="Cambria Math" w:hAnsi="Cambria Math" w:cstheme="minorHAnsi"/>
                <w:lang w:val="en-US"/>
              </w:rPr>
              <m:t>0j</m:t>
            </m:r>
          </m:sub>
        </m:sSub>
      </m:oMath>
      <w:r w:rsidRPr="76C6A0BA">
        <w:rPr>
          <w:rFonts w:eastAsiaTheme="minorEastAsia"/>
          <w:lang w:val="en-US"/>
        </w:rPr>
        <w:t xml:space="preserve"> correspond to k=1. Each response category has its own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kj</m:t>
            </m:r>
          </m:sub>
        </m:sSub>
      </m:oMath>
      <w:r w:rsidRPr="76C6A0BA">
        <w:rPr>
          <w:rFonts w:eastAsiaTheme="minorEastAsia"/>
          <w:lang w:val="en-US"/>
        </w:rPr>
        <w:t xml:space="preserve"> and </w:t>
      </w:r>
      <m:oMath>
        <m:sSub>
          <m:sSubPr>
            <m:ctrlPr>
              <w:rPr>
                <w:rFonts w:ascii="Cambria Math" w:hAnsi="Cambria Math" w:cstheme="minorHAnsi"/>
                <w:i/>
                <w:lang w:val="en-US"/>
              </w:rPr>
            </m:ctrlPr>
          </m:sSubPr>
          <m:e>
            <m:r>
              <w:rPr>
                <w:rFonts w:ascii="Cambria Math" w:hAnsi="Cambria Math" w:cstheme="minorHAnsi"/>
                <w:lang w:val="en-US"/>
              </w:rPr>
              <m:t>d</m:t>
            </m:r>
          </m:e>
          <m:sub>
            <m:r>
              <w:rPr>
                <w:rFonts w:ascii="Cambria Math" w:hAnsi="Cambria Math" w:cstheme="minorHAnsi"/>
                <w:lang w:val="en-US"/>
              </w:rPr>
              <m:t>kj</m:t>
            </m:r>
          </m:sub>
        </m:sSub>
      </m:oMath>
      <w:r w:rsidRPr="76C6A0BA">
        <w:rPr>
          <w:rFonts w:eastAsiaTheme="minorEastAsia"/>
          <w:lang w:val="en-US"/>
        </w:rPr>
        <w:t xml:space="preserve"> parameters, </w:t>
      </w:r>
      <w:r w:rsidRPr="76C6A0BA">
        <w:rPr>
          <w:lang w:val="en-US"/>
        </w:rPr>
        <w:t xml:space="preserve">which do not have the same interpretation as in the dichotomously scored models </w:t>
      </w:r>
      <w:r w:rsidRPr="76C6A0BA">
        <w:rPr>
          <w:lang w:val="en-US"/>
        </w:rPr>
        <w:fldChar w:fldCharType="begin"/>
      </w:r>
      <w:r w:rsidRPr="76C6A0BA">
        <w:rPr>
          <w:lang w:val="en-US"/>
        </w:rPr>
        <w:instrText xml:space="preserve"> ADDIN ZOTERO_ITEM CSL_CITATION {"citationID":"KjFpDTuH","properties":{"formattedCitation":"(Thissen &amp; Cai, 2016)","plainCitation":"(Thissen &amp; Cai, 2016)","noteIndex":0},"citationItems":[{"id":247,"uris":["http://zotero.org/users/16278972/items/PVIFUNPJ"],"itemData":{"id":247,"type":"chapter","container-title":"Handbook of Item Response Theory","edition":"Edited by Wim. J van der Linden","event-place":"Boca Raton, Florida","page":"51-74","publisher":"CRC Press","publisher-place":"Boca Raton, Florida","title":"Nominal Categories Model","volume":"Volume One: Models","author":[{"family":"Thissen","given":"David"},{"family":"Cai","given":"Li"}],"issued":{"date-parts":[["2016"]]}}}],"schema":"https://github.com/citation-style-language/schema/raw/master/csl-citation.json"} </w:instrText>
      </w:r>
      <w:r w:rsidRPr="76C6A0BA">
        <w:rPr>
          <w:lang w:val="en-US"/>
        </w:rPr>
        <w:fldChar w:fldCharType="separate"/>
      </w:r>
      <w:r w:rsidRPr="76C6A0BA">
        <w:rPr>
          <w:lang w:val="en-US"/>
        </w:rPr>
        <w:t>(Thissen &amp; Cai, 2016)</w:t>
      </w:r>
      <w:r w:rsidRPr="76C6A0BA">
        <w:rPr>
          <w:lang w:val="en-US"/>
        </w:rPr>
        <w:fldChar w:fldCharType="end"/>
      </w:r>
      <w:r w:rsidRPr="76C6A0BA">
        <w:rPr>
          <w:lang w:val="en-US"/>
        </w:rPr>
        <w:t xml:space="preserve">. For a given value of </w:t>
      </w:r>
      <w:r w:rsidRPr="76C6A0BA">
        <w:t>θ</w:t>
      </w:r>
      <w:r w:rsidRPr="76C6A0BA">
        <w:rPr>
          <w:lang w:val="en-US"/>
        </w:rPr>
        <w:t xml:space="preserve">, the response category most likely chosen will be the one with the highest numerator, because of the increasing exponential function </w:t>
      </w:r>
      <w:r w:rsidRPr="76C6A0BA">
        <w:rPr>
          <w:i/>
          <w:iCs/>
          <w:lang w:val="en-US"/>
        </w:rPr>
        <w:t>y=exp(x)</w:t>
      </w:r>
      <w:r w:rsidRPr="76C6A0BA">
        <w:rPr>
          <w:lang w:val="en-US"/>
        </w:rPr>
        <w:t xml:space="preserve">, and thus choice depends on values of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kj</m:t>
            </m:r>
          </m:sub>
        </m:sSub>
        <m:r>
          <w:rPr>
            <w:rFonts w:ascii="Cambria Math" w:hAnsi="Cambria Math" w:cstheme="minorHAnsi"/>
            <w:lang w:val="en-US"/>
          </w:rPr>
          <m:t>θ+</m:t>
        </m:r>
        <m:sSub>
          <m:sSubPr>
            <m:ctrlPr>
              <w:rPr>
                <w:rFonts w:ascii="Cambria Math" w:hAnsi="Cambria Math" w:cstheme="minorHAnsi"/>
                <w:i/>
                <w:lang w:val="en-US"/>
              </w:rPr>
            </m:ctrlPr>
          </m:sSubPr>
          <m:e>
            <m:r>
              <w:rPr>
                <w:rFonts w:ascii="Cambria Math" w:hAnsi="Cambria Math" w:cstheme="minorHAnsi"/>
                <w:lang w:val="en-US"/>
              </w:rPr>
              <m:t>d</m:t>
            </m:r>
          </m:e>
          <m:sub>
            <m:r>
              <w:rPr>
                <w:rFonts w:ascii="Cambria Math" w:hAnsi="Cambria Math" w:cstheme="minorHAnsi"/>
                <w:lang w:val="en-US"/>
              </w:rPr>
              <m:t>kj</m:t>
            </m:r>
          </m:sub>
        </m:sSub>
      </m:oMath>
      <w:r w:rsidRPr="76C6A0BA">
        <w:rPr>
          <w:rFonts w:eastAsiaTheme="minorEastAsia"/>
          <w:lang w:val="en-US"/>
        </w:rPr>
        <w:t xml:space="preserve">. The intercept parameter </w:t>
      </w:r>
      <m:oMath>
        <m:sSub>
          <m:sSubPr>
            <m:ctrlPr>
              <w:rPr>
                <w:rFonts w:ascii="Cambria Math" w:hAnsi="Cambria Math" w:cstheme="minorHAnsi"/>
                <w:i/>
                <w:lang w:val="en-US"/>
              </w:rPr>
            </m:ctrlPr>
          </m:sSubPr>
          <m:e>
            <m:r>
              <w:rPr>
                <w:rFonts w:ascii="Cambria Math" w:hAnsi="Cambria Math" w:cstheme="minorHAnsi"/>
                <w:lang w:val="en-US"/>
              </w:rPr>
              <m:t>d</m:t>
            </m:r>
          </m:e>
          <m:sub>
            <m:r>
              <w:rPr>
                <w:rFonts w:ascii="Cambria Math" w:hAnsi="Cambria Math" w:cstheme="minorHAnsi"/>
                <w:lang w:val="en-US"/>
              </w:rPr>
              <m:t>kj</m:t>
            </m:r>
          </m:sub>
        </m:sSub>
      </m:oMath>
      <w:r w:rsidRPr="76C6A0BA">
        <w:rPr>
          <w:rFonts w:eastAsiaTheme="minorEastAsia"/>
          <w:lang w:val="en-US"/>
        </w:rPr>
        <w:t xml:space="preserve"> quantifies how appealing a response category independently of the value of </w:t>
      </w:r>
      <w:r w:rsidRPr="76C6A0BA">
        <w:t>θ</w:t>
      </w:r>
      <w:r w:rsidRPr="00FA3AE0">
        <w:rPr>
          <w:lang w:val="en-US"/>
        </w:rPr>
        <w:t xml:space="preserve"> </w:t>
      </w:r>
      <w:r w:rsidRPr="76C6A0BA">
        <w:rPr>
          <w:rFonts w:eastAsiaTheme="minorEastAsia"/>
          <w:lang w:val="en-US"/>
        </w:rPr>
        <w:t>is</w:t>
      </w:r>
      <w:r w:rsidRPr="76C6A0BA">
        <w:rPr>
          <w:lang w:val="en-US"/>
        </w:rPr>
        <w:t xml:space="preserve">. When </w:t>
      </w:r>
      <w:r w:rsidRPr="76C6A0BA">
        <w:t>θ</w:t>
      </w:r>
      <w:r w:rsidRPr="76C6A0BA">
        <w:rPr>
          <w:lang w:val="en-US"/>
        </w:rPr>
        <w:t xml:space="preserve">=0, the highest the value of </w:t>
      </w:r>
      <m:oMath>
        <m:sSub>
          <m:sSubPr>
            <m:ctrlPr>
              <w:rPr>
                <w:rFonts w:ascii="Cambria Math" w:hAnsi="Cambria Math" w:cstheme="minorHAnsi"/>
                <w:i/>
                <w:lang w:val="en-US"/>
              </w:rPr>
            </m:ctrlPr>
          </m:sSubPr>
          <m:e>
            <m:r>
              <w:rPr>
                <w:rFonts w:ascii="Cambria Math" w:hAnsi="Cambria Math" w:cstheme="minorHAnsi"/>
                <w:lang w:val="en-US"/>
              </w:rPr>
              <m:t>d</m:t>
            </m:r>
          </m:e>
          <m:sub>
            <m:r>
              <w:rPr>
                <w:rFonts w:ascii="Cambria Math" w:hAnsi="Cambria Math" w:cstheme="minorHAnsi"/>
                <w:lang w:val="en-US"/>
              </w:rPr>
              <m:t>kj</m:t>
            </m:r>
          </m:sub>
        </m:sSub>
      </m:oMath>
      <w:r w:rsidRPr="76C6A0BA">
        <w:rPr>
          <w:rFonts w:eastAsiaTheme="minorEastAsia"/>
          <w:lang w:val="en-US"/>
        </w:rPr>
        <w:t xml:space="preserve">, the more likely the response category is to be chosen. The slope parameter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kj</m:t>
            </m:r>
          </m:sub>
        </m:sSub>
      </m:oMath>
      <w:r w:rsidRPr="76C6A0BA">
        <w:rPr>
          <w:rFonts w:eastAsiaTheme="minorEastAsia"/>
          <w:lang w:val="en-US"/>
        </w:rPr>
        <w:t xml:space="preserve"> indicates how values of </w:t>
      </w:r>
      <w:r w:rsidRPr="76C6A0BA">
        <w:t>θ</w:t>
      </w:r>
      <w:r w:rsidRPr="76C6A0BA">
        <w:rPr>
          <w:lang w:val="en-US"/>
        </w:rPr>
        <w:t xml:space="preserve"> relate to the probability of choosing a given response category </w:t>
      </w:r>
      <w:r w:rsidRPr="76C6A0BA">
        <w:rPr>
          <w:i/>
          <w:iCs/>
          <w:lang w:val="en-US"/>
        </w:rPr>
        <w:t xml:space="preserve">k. </w:t>
      </w:r>
    </w:p>
    <w:p w14:paraId="16AEE057" w14:textId="77777777" w:rsidR="008A1EA8" w:rsidRPr="00063AB4" w:rsidRDefault="008A1EA8" w:rsidP="00E751F2">
      <w:pPr>
        <w:pStyle w:val="ListParagraph"/>
        <w:spacing w:line="276" w:lineRule="auto"/>
        <w:ind w:left="0"/>
        <w:jc w:val="both"/>
        <w:rPr>
          <w:lang w:val="en-US"/>
        </w:rPr>
      </w:pPr>
    </w:p>
    <w:p w14:paraId="4DE130C9" w14:textId="77777777" w:rsidR="008A1EA8" w:rsidRPr="00063AB4" w:rsidRDefault="008A1EA8" w:rsidP="00E751F2">
      <w:pPr>
        <w:pStyle w:val="ListParagraph"/>
        <w:spacing w:line="276" w:lineRule="auto"/>
        <w:ind w:left="0"/>
        <w:jc w:val="both"/>
        <w:rPr>
          <w:rFonts w:eastAsiaTheme="minorEastAsia"/>
          <w:lang w:val="en-US"/>
        </w:rPr>
      </w:pPr>
      <w:r w:rsidRPr="00063AB4">
        <w:rPr>
          <w:lang w:val="en-US"/>
        </w:rPr>
        <w:t xml:space="preserve">When scoring function values are left freely estimated, the nominal model shows the empirical location and functioning of every response function, which is particularly useful for test construction and development. However, the set of slope and intercept parameters must include anchoring conditions to be able to uniquely determine the parameter values. Additionally, the NCM can become numerically unstable if poor choices for the high and low values of parameters are chosen, resulting in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kj</m:t>
            </m:r>
          </m:sub>
        </m:sSub>
      </m:oMath>
      <w:r w:rsidRPr="00063AB4">
        <w:rPr>
          <w:lang w:val="en-US"/>
        </w:rPr>
        <w:t xml:space="preserve"> values with very large absolute values. It is recommended to choose </w:t>
      </w:r>
      <w:r w:rsidRPr="00E7764C">
        <w:rPr>
          <w:lang w:val="en-US"/>
        </w:rPr>
        <w:t xml:space="preserve">high and low anchors that constrain estimated </w:t>
      </w: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kj</m:t>
            </m:r>
          </m:sub>
        </m:sSub>
      </m:oMath>
      <w:r w:rsidRPr="00E7764C">
        <w:rPr>
          <w:lang w:val="en-US"/>
        </w:rPr>
        <w:t xml:space="preserve"> parameters to fall between 0 and K−1 either by theoretical means or by re-estimating the model with better values following convergence. </w:t>
      </w:r>
      <w:r w:rsidRPr="008F5EA2">
        <w:rPr>
          <w:lang w:val="en-US"/>
        </w:rPr>
        <w:t xml:space="preserve">The </w:t>
      </w:r>
      <w:r w:rsidRPr="00E7764C">
        <w:rPr>
          <w:lang w:val="en-US"/>
        </w:rPr>
        <w:t xml:space="preserve">response function corresponding to the highest (lowest) category monotonically increase (decrease), and reaches the asymptotic value of 1 (zero) for increasingly high (low) values of </w:t>
      </w:r>
      <w:r w:rsidRPr="00E7764C">
        <w:t>θ</w:t>
      </w:r>
      <w:r w:rsidRPr="00E7764C">
        <w:rPr>
          <w:lang w:val="en-US"/>
        </w:rPr>
        <w:t xml:space="preserve">. </w:t>
      </w:r>
      <w:r w:rsidRPr="00E7764C">
        <w:rPr>
          <w:rFonts w:eastAsiaTheme="minorEastAsia"/>
          <w:lang w:val="en-US"/>
        </w:rPr>
        <w:t xml:space="preserve">All response categories in between them show unimodal distribution and, if showing equal values of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kj</m:t>
            </m:r>
          </m:sub>
        </m:sSub>
        <m:r>
          <w:rPr>
            <w:rFonts w:ascii="Cambria Math" w:hAnsi="Cambria Math"/>
            <w:lang w:val="en-US"/>
          </w:rPr>
          <m:t xml:space="preserve"> </m:t>
        </m:r>
      </m:oMath>
      <w:r w:rsidRPr="00E7764C">
        <w:rPr>
          <w:rFonts w:eastAsiaTheme="minorEastAsia"/>
          <w:lang w:val="en-US"/>
        </w:rPr>
        <w:t xml:space="preserve">they reach their maximum at the corresponding </w:t>
      </w:r>
      <w:r w:rsidRPr="00E7764C">
        <w:t>θ</w:t>
      </w:r>
      <w:r w:rsidRPr="00E7764C">
        <w:rPr>
          <w:lang w:val="en-US"/>
        </w:rPr>
        <w:t xml:space="preserve">, regardless of their associated </w:t>
      </w: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kj</m:t>
            </m:r>
          </m:sub>
        </m:sSub>
      </m:oMath>
      <w:r w:rsidRPr="00E7764C">
        <w:rPr>
          <w:rFonts w:eastAsiaTheme="minorEastAsia"/>
          <w:lang w:val="en-US"/>
        </w:rPr>
        <w:t xml:space="preserve"> values.</w:t>
      </w:r>
      <w:r w:rsidRPr="00063AB4">
        <w:rPr>
          <w:rFonts w:eastAsiaTheme="minorEastAsia"/>
          <w:lang w:val="en-US"/>
        </w:rPr>
        <w:t xml:space="preserve"> </w:t>
      </w:r>
    </w:p>
    <w:p w14:paraId="53197E4A" w14:textId="77777777" w:rsidR="008A1EA8" w:rsidRPr="00063AB4" w:rsidRDefault="008A1EA8" w:rsidP="00E751F2">
      <w:pPr>
        <w:pStyle w:val="ListParagraph"/>
        <w:spacing w:line="276" w:lineRule="auto"/>
        <w:ind w:left="0"/>
        <w:jc w:val="both"/>
        <w:rPr>
          <w:lang w:val="en-US"/>
        </w:rPr>
      </w:pPr>
    </w:p>
    <w:p w14:paraId="140EAC9C" w14:textId="77777777" w:rsidR="008A1EA8" w:rsidRPr="00063AB4" w:rsidRDefault="008A1EA8" w:rsidP="00E751F2">
      <w:pPr>
        <w:pStyle w:val="ListParagraph"/>
        <w:spacing w:line="276" w:lineRule="auto"/>
        <w:ind w:left="0"/>
        <w:jc w:val="both"/>
        <w:rPr>
          <w:lang w:val="en-US"/>
        </w:rPr>
      </w:pPr>
      <w:r w:rsidRPr="00063AB4">
        <w:rPr>
          <w:lang w:val="en-US"/>
        </w:rPr>
        <w:t xml:space="preserve">If the scoring function values are equal to the integer category values 0, …, K − 1, the nominal model becomes a model for graded item response data </w:t>
      </w:r>
      <w:r w:rsidRPr="00063AB4">
        <w:rPr>
          <w:lang w:val="en-US"/>
        </w:rPr>
        <w:fldChar w:fldCharType="begin"/>
      </w:r>
      <w:r w:rsidRPr="00063AB4">
        <w:rPr>
          <w:lang w:val="en-US"/>
        </w:rPr>
        <w:instrText xml:space="preserve"> ADDIN ZOTERO_ITEM CSL_CITATION {"citationID":"bYsUUix9","properties":{"formattedCitation":"(Thissen &amp; Cai, 2016)","plainCitation":"(Thissen &amp; Cai, 2016)","noteIndex":0},"citationItems":[{"id":247,"uris":["http://zotero.org/users/16278972/items/PVIFUNPJ"],"itemData":{"id":247,"type":"chapter","container-title":"Handbook of Item Response Theory","edition":"Edited by Wim. J van der Linden","event-place":"Boca Raton, Florida","page":"51-74","publisher":"CRC Press","publisher-place":"Boca Raton, Florida","title":"Nominal Categories Model","volume":"Volume One: Models","author":[{"family":"Thissen","given":"David"},{"family":"Cai","given":"Li"}],"issued":{"date-parts":[["2016"]]}}}],"schema":"https://github.com/citation-style-language/schema/raw/master/csl-citation.json"} </w:instrText>
      </w:r>
      <w:r w:rsidRPr="00063AB4">
        <w:rPr>
          <w:lang w:val="en-US"/>
        </w:rPr>
        <w:fldChar w:fldCharType="separate"/>
      </w:r>
      <w:r w:rsidRPr="00063AB4">
        <w:rPr>
          <w:rFonts w:ascii="Calibri" w:hAnsi="Calibri" w:cs="Calibri"/>
          <w:lang w:val="en-US"/>
        </w:rPr>
        <w:t>(Thissen &amp; Cai, 2016)</w:t>
      </w:r>
      <w:r w:rsidRPr="00063AB4">
        <w:rPr>
          <w:lang w:val="en-US"/>
        </w:rPr>
        <w:fldChar w:fldCharType="end"/>
      </w:r>
      <w:r w:rsidRPr="00063AB4">
        <w:rPr>
          <w:lang w:val="en-US"/>
        </w:rPr>
        <w:t xml:space="preserve">. Consequently, we expect the models in our study to shed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m:t>
            </m:r>
          </m:sub>
        </m:sSub>
      </m:oMath>
      <w:r w:rsidRPr="00063AB4">
        <w:rPr>
          <w:lang w:val="en-US"/>
        </w:rPr>
        <w:t xml:space="preserve"> parameters compatible with a 4-point graded response process (i.e. </w:t>
      </w:r>
      <w:r w:rsidRPr="00063AB4">
        <w:rPr>
          <w:i/>
          <w:iCs/>
          <w:lang w:val="en-US"/>
        </w:rPr>
        <w:t>a</w:t>
      </w:r>
      <w:r w:rsidRPr="00063AB4">
        <w:rPr>
          <w:i/>
          <w:iCs/>
          <w:vertAlign w:val="subscript"/>
          <w:lang w:val="en-US"/>
        </w:rPr>
        <w:t>k0</w:t>
      </w:r>
      <w:r w:rsidRPr="00063AB4">
        <w:rPr>
          <w:lang w:val="en-US"/>
        </w:rPr>
        <w:t xml:space="preserve"> to </w:t>
      </w:r>
      <w:r w:rsidRPr="00063AB4">
        <w:rPr>
          <w:i/>
          <w:iCs/>
          <w:lang w:val="en-US"/>
        </w:rPr>
        <w:t>a</w:t>
      </w:r>
      <w:r w:rsidRPr="00063AB4">
        <w:rPr>
          <w:i/>
          <w:iCs/>
          <w:vertAlign w:val="subscript"/>
          <w:lang w:val="en-US"/>
        </w:rPr>
        <w:t>k3</w:t>
      </w:r>
      <w:r w:rsidRPr="00063AB4">
        <w:rPr>
          <w:lang w:val="en-US"/>
        </w:rPr>
        <w:t xml:space="preserve"> showing increasingly higher values) and to show trace lines where categories are arranged accordingly. In agreement with anchoring and identification arguments above, we fixed few parameters to work as scaling anchors (i.e. </w:t>
      </w:r>
      <w:r w:rsidRPr="00063AB4">
        <w:rPr>
          <w:i/>
          <w:iCs/>
          <w:lang w:val="en-US"/>
        </w:rPr>
        <w:t>a</w:t>
      </w:r>
      <w:r w:rsidRPr="00063AB4">
        <w:rPr>
          <w:i/>
          <w:iCs/>
          <w:vertAlign w:val="subscript"/>
          <w:lang w:val="en-US"/>
        </w:rPr>
        <w:t xml:space="preserve">k0 </w:t>
      </w:r>
      <w:r w:rsidRPr="00063AB4">
        <w:rPr>
          <w:lang w:val="en-US"/>
        </w:rPr>
        <w:t xml:space="preserve">=0, </w:t>
      </w:r>
      <w:r w:rsidRPr="00063AB4">
        <w:rPr>
          <w:i/>
          <w:iCs/>
          <w:lang w:val="en-US"/>
        </w:rPr>
        <w:t>a</w:t>
      </w:r>
      <w:r w:rsidRPr="00063AB4">
        <w:rPr>
          <w:i/>
          <w:iCs/>
          <w:vertAlign w:val="subscript"/>
          <w:lang w:val="en-US"/>
        </w:rPr>
        <w:t>K-1</w:t>
      </w:r>
      <w:r w:rsidRPr="00063AB4">
        <w:rPr>
          <w:lang w:val="en-US"/>
        </w:rPr>
        <w:t xml:space="preserve">=K-1, </w:t>
      </w:r>
      <w:r w:rsidRPr="00063AB4">
        <w:rPr>
          <w:i/>
          <w:iCs/>
          <w:lang w:val="en-US"/>
        </w:rPr>
        <w:t>d</w:t>
      </w:r>
      <w:r w:rsidRPr="00063AB4">
        <w:rPr>
          <w:i/>
          <w:iCs/>
          <w:vertAlign w:val="subscript"/>
          <w:lang w:val="en-US"/>
        </w:rPr>
        <w:t>0</w:t>
      </w:r>
      <w:r w:rsidRPr="00063AB4">
        <w:rPr>
          <w:lang w:val="en-US"/>
        </w:rPr>
        <w:t>=0</w:t>
      </w:r>
      <w:r w:rsidRPr="00063AB4">
        <w:rPr>
          <w:i/>
          <w:iCs/>
          <w:lang w:val="en-US"/>
        </w:rPr>
        <w:t>)</w:t>
      </w:r>
      <w:r w:rsidRPr="00063AB4">
        <w:rPr>
          <w:lang w:val="en-US"/>
        </w:rPr>
        <w:t xml:space="preserve">. Note that the last response category (K-1) corresponds to the opt-out option, and thus we left it freely estimated and set the value of the highest graded response slope parameter to </w:t>
      </w:r>
      <w:r w:rsidRPr="00063AB4">
        <w:rPr>
          <w:i/>
          <w:iCs/>
          <w:lang w:val="en-US"/>
        </w:rPr>
        <w:t>a</w:t>
      </w:r>
      <w:r w:rsidRPr="00063AB4">
        <w:rPr>
          <w:i/>
          <w:iCs/>
          <w:vertAlign w:val="subscript"/>
          <w:lang w:val="en-US"/>
        </w:rPr>
        <w:t>k3</w:t>
      </w:r>
      <w:r w:rsidRPr="00063AB4">
        <w:rPr>
          <w:lang w:val="en-US"/>
        </w:rPr>
        <w:t xml:space="preserve">=4 instead. </w:t>
      </w:r>
    </w:p>
    <w:p w14:paraId="51859569" w14:textId="77777777" w:rsidR="008A1EA8" w:rsidRDefault="008A1EA8" w:rsidP="00E751F2">
      <w:pPr>
        <w:spacing w:line="276" w:lineRule="auto"/>
        <w:rPr>
          <w:lang w:val="en-US"/>
        </w:rPr>
      </w:pPr>
    </w:p>
    <w:p w14:paraId="2B901F78" w14:textId="77777777" w:rsidR="003A7637" w:rsidRDefault="003A7637" w:rsidP="00E751F2">
      <w:pPr>
        <w:spacing w:line="276" w:lineRule="auto"/>
        <w:rPr>
          <w:lang w:val="en-US"/>
        </w:rPr>
      </w:pPr>
    </w:p>
    <w:p w14:paraId="400964E6" w14:textId="77777777" w:rsidR="003A7637" w:rsidRDefault="003A7637" w:rsidP="00E751F2">
      <w:pPr>
        <w:spacing w:line="276" w:lineRule="auto"/>
        <w:rPr>
          <w:lang w:val="en-US"/>
        </w:rPr>
      </w:pPr>
    </w:p>
    <w:p w14:paraId="5807E4CB" w14:textId="701332EB" w:rsidR="003A7637" w:rsidRPr="008A1EA8" w:rsidRDefault="003A7637" w:rsidP="00E751F2">
      <w:pPr>
        <w:spacing w:line="276" w:lineRule="auto"/>
        <w:rPr>
          <w:lang w:val="en-US"/>
        </w:rPr>
      </w:pPr>
    </w:p>
    <w:sectPr w:rsidR="003A7637" w:rsidRPr="008A1EA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B6"/>
    <w:rsid w:val="0019690A"/>
    <w:rsid w:val="00260AAB"/>
    <w:rsid w:val="003A7637"/>
    <w:rsid w:val="003E684F"/>
    <w:rsid w:val="004E110E"/>
    <w:rsid w:val="0076528F"/>
    <w:rsid w:val="008A1EA8"/>
    <w:rsid w:val="0097043A"/>
    <w:rsid w:val="00B33DEC"/>
    <w:rsid w:val="00B37D9B"/>
    <w:rsid w:val="00BC71B6"/>
    <w:rsid w:val="00CA21AF"/>
    <w:rsid w:val="00E751F2"/>
    <w:rsid w:val="00FD2B9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C99B"/>
  <w15:chartTrackingRefBased/>
  <w15:docId w15:val="{75895A70-E892-4803-B32D-1E248FB3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1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71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71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71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71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7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1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71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71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71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71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7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1B6"/>
    <w:rPr>
      <w:rFonts w:eastAsiaTheme="majorEastAsia" w:cstheme="majorBidi"/>
      <w:color w:val="272727" w:themeColor="text1" w:themeTint="D8"/>
    </w:rPr>
  </w:style>
  <w:style w:type="paragraph" w:styleId="Title">
    <w:name w:val="Title"/>
    <w:basedOn w:val="Normal"/>
    <w:next w:val="Normal"/>
    <w:link w:val="TitleChar"/>
    <w:uiPriority w:val="10"/>
    <w:qFormat/>
    <w:rsid w:val="00BC7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1B6"/>
    <w:pPr>
      <w:spacing w:before="160"/>
      <w:jc w:val="center"/>
    </w:pPr>
    <w:rPr>
      <w:i/>
      <w:iCs/>
      <w:color w:val="404040" w:themeColor="text1" w:themeTint="BF"/>
    </w:rPr>
  </w:style>
  <w:style w:type="character" w:customStyle="1" w:styleId="QuoteChar">
    <w:name w:val="Quote Char"/>
    <w:basedOn w:val="DefaultParagraphFont"/>
    <w:link w:val="Quote"/>
    <w:uiPriority w:val="29"/>
    <w:rsid w:val="00BC71B6"/>
    <w:rPr>
      <w:i/>
      <w:iCs/>
      <w:color w:val="404040" w:themeColor="text1" w:themeTint="BF"/>
    </w:rPr>
  </w:style>
  <w:style w:type="paragraph" w:styleId="ListParagraph">
    <w:name w:val="List Paragraph"/>
    <w:basedOn w:val="Normal"/>
    <w:uiPriority w:val="34"/>
    <w:qFormat/>
    <w:rsid w:val="00BC71B6"/>
    <w:pPr>
      <w:ind w:left="720"/>
      <w:contextualSpacing/>
    </w:pPr>
  </w:style>
  <w:style w:type="character" w:styleId="IntenseEmphasis">
    <w:name w:val="Intense Emphasis"/>
    <w:basedOn w:val="DefaultParagraphFont"/>
    <w:uiPriority w:val="21"/>
    <w:qFormat/>
    <w:rsid w:val="00BC71B6"/>
    <w:rPr>
      <w:i/>
      <w:iCs/>
      <w:color w:val="2F5496" w:themeColor="accent1" w:themeShade="BF"/>
    </w:rPr>
  </w:style>
  <w:style w:type="paragraph" w:styleId="IntenseQuote">
    <w:name w:val="Intense Quote"/>
    <w:basedOn w:val="Normal"/>
    <w:next w:val="Normal"/>
    <w:link w:val="IntenseQuoteChar"/>
    <w:uiPriority w:val="30"/>
    <w:qFormat/>
    <w:rsid w:val="00BC71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71B6"/>
    <w:rPr>
      <w:i/>
      <w:iCs/>
      <w:color w:val="2F5496" w:themeColor="accent1" w:themeShade="BF"/>
    </w:rPr>
  </w:style>
  <w:style w:type="character" w:styleId="IntenseReference">
    <w:name w:val="Intense Reference"/>
    <w:basedOn w:val="DefaultParagraphFont"/>
    <w:uiPriority w:val="32"/>
    <w:qFormat/>
    <w:rsid w:val="00BC71B6"/>
    <w:rPr>
      <w:b/>
      <w:bCs/>
      <w:smallCaps/>
      <w:color w:val="2F5496" w:themeColor="accent1" w:themeShade="BF"/>
      <w:spacing w:val="5"/>
    </w:rPr>
  </w:style>
  <w:style w:type="character" w:styleId="CommentReference">
    <w:name w:val="annotation reference"/>
    <w:basedOn w:val="DefaultParagraphFont"/>
    <w:uiPriority w:val="99"/>
    <w:semiHidden/>
    <w:unhideWhenUsed/>
    <w:rsid w:val="008A1EA8"/>
    <w:rPr>
      <w:sz w:val="16"/>
      <w:szCs w:val="16"/>
    </w:rPr>
  </w:style>
  <w:style w:type="paragraph" w:styleId="CommentText">
    <w:name w:val="annotation text"/>
    <w:basedOn w:val="Normal"/>
    <w:link w:val="CommentTextChar"/>
    <w:uiPriority w:val="99"/>
    <w:unhideWhenUsed/>
    <w:rsid w:val="008A1EA8"/>
    <w:pPr>
      <w:spacing w:line="240" w:lineRule="auto"/>
    </w:pPr>
    <w:rPr>
      <w:sz w:val="20"/>
      <w:szCs w:val="20"/>
    </w:rPr>
  </w:style>
  <w:style w:type="character" w:customStyle="1" w:styleId="CommentTextChar">
    <w:name w:val="Comment Text Char"/>
    <w:basedOn w:val="DefaultParagraphFont"/>
    <w:link w:val="CommentText"/>
    <w:uiPriority w:val="99"/>
    <w:rsid w:val="008A1EA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3818</Words>
  <Characters>30928</Characters>
  <Application>Microsoft Office Word</Application>
  <DocSecurity>0</DocSecurity>
  <Lines>257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García Velázquez</dc:creator>
  <cp:keywords/>
  <dc:description/>
  <cp:lastModifiedBy>Regina García Velázquez</cp:lastModifiedBy>
  <cp:revision>5</cp:revision>
  <dcterms:created xsi:type="dcterms:W3CDTF">2025-10-08T07:10:00Z</dcterms:created>
  <dcterms:modified xsi:type="dcterms:W3CDTF">2025-11-03T12:51:00Z</dcterms:modified>
</cp:coreProperties>
</file>