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A87" w:rsidRDefault="00C13A87" w:rsidP="00C13A8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30"/>
        </w:rPr>
      </w:pPr>
      <w:r w:rsidRPr="00C13A87">
        <w:rPr>
          <w:rFonts w:ascii="Times New Roman" w:eastAsia="Times New Roman" w:hAnsi="Times New Roman" w:cs="Times New Roman"/>
          <w:b/>
          <w:bCs/>
          <w:color w:val="0F1115"/>
          <w:sz w:val="24"/>
          <w:szCs w:val="30"/>
        </w:rPr>
        <w:t>Supplementary Table S2: Full Results of Subgroup Analyses for Inadequate Waste Segregation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819"/>
        <w:gridCol w:w="1446"/>
        <w:gridCol w:w="2455"/>
        <w:gridCol w:w="1754"/>
        <w:gridCol w:w="1876"/>
      </w:tblGrid>
      <w:tr w:rsidR="00C13A87" w:rsidRPr="00C13A87" w:rsidTr="00C13A87"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Subgroup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Number of Studies (k)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Pooled Prevalence of Inadequate Segregation (%)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95% Confidence Interval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I² (Heterogeneity)</w:t>
            </w:r>
          </w:p>
        </w:tc>
      </w:tr>
      <w:tr w:rsidR="00C13A87" w:rsidRPr="00C13A87" w:rsidTr="00C13A87"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Overall Pooled Prevalence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68.4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61.2 – 75.1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96.5%</w:t>
            </w:r>
          </w:p>
        </w:tc>
      </w:tr>
      <w:tr w:rsidR="00C13A87" w:rsidRPr="00C13A87" w:rsidTr="00C13A87"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By Facility Type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A87" w:rsidRPr="00C13A87" w:rsidTr="00C13A87"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Tertiary Hospital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64.5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56.1 – 72.3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94.1%</w:t>
            </w:r>
          </w:p>
        </w:tc>
      </w:tr>
      <w:tr w:rsidR="00C13A87" w:rsidRPr="00C13A87" w:rsidTr="00C13A87"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Primary Health Center / Clinic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72.1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64.3 – 79.2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95.8%</w:t>
            </w:r>
          </w:p>
        </w:tc>
      </w:tr>
      <w:tr w:rsidR="00C13A87" w:rsidRPr="00C13A87" w:rsidTr="00C13A87"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Other/ Mixed Facilities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C13A87" w:rsidRPr="00C13A87" w:rsidTr="00C13A87"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By Region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A87" w:rsidRPr="00C13A87" w:rsidTr="00C13A87"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Sub-Saharan Africa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75.8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68.9 – 81.9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93.2%</w:t>
            </w:r>
          </w:p>
        </w:tc>
      </w:tr>
      <w:tr w:rsidR="00C13A87" w:rsidRPr="00C13A87" w:rsidTr="00C13A87"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South Asia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71.2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63.0 – 78.5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95.1%</w:t>
            </w:r>
          </w:p>
        </w:tc>
      </w:tr>
      <w:tr w:rsidR="00C13A87" w:rsidRPr="00C13A87" w:rsidTr="00C13A87"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East Asia &amp; Pacific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59.1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48.3 – 69.3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92.7%</w:t>
            </w:r>
          </w:p>
        </w:tc>
      </w:tr>
      <w:tr w:rsidR="00C13A87" w:rsidRPr="00C13A87" w:rsidTr="00C13A87"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Middle East &amp; North Africa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65.5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51.4 – 77.6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89.5%</w:t>
            </w:r>
          </w:p>
        </w:tc>
        <w:bookmarkStart w:id="0" w:name="_GoBack"/>
        <w:bookmarkEnd w:id="0"/>
      </w:tr>
      <w:tr w:rsidR="00C13A87" w:rsidRPr="00C13A87" w:rsidTr="00C13A87"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Latin America &amp; Caribbean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61.8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47.1 – 74.8</w:t>
            </w:r>
          </w:p>
        </w:tc>
        <w:tc>
          <w:tcPr>
            <w:tcW w:w="0" w:type="auto"/>
            <w:hideMark/>
          </w:tcPr>
          <w:p w:rsidR="00C13A87" w:rsidRPr="00C13A87" w:rsidRDefault="00C13A87" w:rsidP="00C13A87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A87">
              <w:rPr>
                <w:rFonts w:ascii="Times New Roman" w:eastAsia="Times New Roman" w:hAnsi="Times New Roman" w:cs="Times New Roman"/>
                <w:sz w:val="24"/>
                <w:szCs w:val="24"/>
              </w:rPr>
              <w:t>88.1%</w:t>
            </w:r>
          </w:p>
        </w:tc>
      </w:tr>
    </w:tbl>
    <w:p w:rsidR="00C13A87" w:rsidRPr="00C13A87" w:rsidRDefault="00C13A87" w:rsidP="00C13A8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30"/>
        </w:rPr>
      </w:pPr>
    </w:p>
    <w:p w:rsidR="00C13A87" w:rsidRPr="00C13A87" w:rsidRDefault="00C13A87" w:rsidP="00C13A87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</w:pPr>
      <w:r w:rsidRPr="00C13A87">
        <w:rPr>
          <w:rStyle w:val="Strong"/>
        </w:rPr>
        <w:t>*</w:t>
      </w:r>
      <w:r w:rsidRPr="00C13A87">
        <w:t> </w:t>
      </w:r>
      <w:r w:rsidRPr="00C13A87">
        <w:rPr>
          <w:rStyle w:val="Emphasis"/>
          <w:i w:val="0"/>
        </w:rPr>
        <w:t>A separate subgroup analysis for "Other/Mixed Facilities" was not performed or reported, as the focus was on the comparison between primary and tertiary care settings.</w:t>
      </w:r>
    </w:p>
    <w:p w:rsidR="00C13A87" w:rsidRPr="00C13A87" w:rsidRDefault="00C13A87" w:rsidP="00C13A87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</w:pPr>
      <w:r w:rsidRPr="00C13A87">
        <w:rPr>
          <w:rStyle w:val="Strong"/>
        </w:rPr>
        <w:t>Footnote:</w:t>
      </w:r>
      <w:r w:rsidRPr="00C13A87">
        <w:t> The high I² values within each subgroup indicate that substantial heterogeneity remains unexplained, suggesting other factors (e.g., national policies, training programs, resource allocation) also significantly influence segregation practices.</w:t>
      </w:r>
    </w:p>
    <w:p w:rsidR="00A1045E" w:rsidRDefault="00A1045E"/>
    <w:sectPr w:rsidR="00A1045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9D8" w:rsidRDefault="002419D8" w:rsidP="00C13A87">
      <w:pPr>
        <w:spacing w:after="0" w:line="240" w:lineRule="auto"/>
      </w:pPr>
      <w:r>
        <w:separator/>
      </w:r>
    </w:p>
  </w:endnote>
  <w:endnote w:type="continuationSeparator" w:id="0">
    <w:p w:rsidR="002419D8" w:rsidRDefault="002419D8" w:rsidP="00C13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3524214"/>
      <w:docPartObj>
        <w:docPartGallery w:val="Page Numbers (Bottom of Page)"/>
        <w:docPartUnique/>
      </w:docPartObj>
    </w:sdtPr>
    <w:sdtContent>
      <w:p w:rsidR="00C13A87" w:rsidRDefault="00C13A87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C13A87" w:rsidRDefault="00C13A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9D8" w:rsidRDefault="002419D8" w:rsidP="00C13A87">
      <w:pPr>
        <w:spacing w:after="0" w:line="240" w:lineRule="auto"/>
      </w:pPr>
      <w:r>
        <w:separator/>
      </w:r>
    </w:p>
  </w:footnote>
  <w:footnote w:type="continuationSeparator" w:id="0">
    <w:p w:rsidR="002419D8" w:rsidRDefault="002419D8" w:rsidP="00C13A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A87"/>
    <w:rsid w:val="002419D8"/>
    <w:rsid w:val="00A1045E"/>
    <w:rsid w:val="00C1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AA9ED9-3DB2-4440-9FDC-8CDCEAE5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13A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13A8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13A87"/>
    <w:rPr>
      <w:b/>
      <w:bCs/>
    </w:rPr>
  </w:style>
  <w:style w:type="character" w:styleId="Emphasis">
    <w:name w:val="Emphasis"/>
    <w:basedOn w:val="DefaultParagraphFont"/>
    <w:uiPriority w:val="20"/>
    <w:qFormat/>
    <w:rsid w:val="00C13A87"/>
    <w:rPr>
      <w:i/>
      <w:iCs/>
    </w:rPr>
  </w:style>
  <w:style w:type="table" w:styleId="TableGridLight">
    <w:name w:val="Grid Table Light"/>
    <w:basedOn w:val="TableNormal"/>
    <w:uiPriority w:val="40"/>
    <w:rsid w:val="00C13A8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Normal"/>
    <w:rsid w:val="00C13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3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A87"/>
  </w:style>
  <w:style w:type="paragraph" w:styleId="Footer">
    <w:name w:val="footer"/>
    <w:basedOn w:val="Normal"/>
    <w:link w:val="FooterChar"/>
    <w:uiPriority w:val="99"/>
    <w:unhideWhenUsed/>
    <w:rsid w:val="00C13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7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Ashenafi Woldemichael Woime (Ph.D)</dc:creator>
  <cp:keywords/>
  <dc:description/>
  <cp:lastModifiedBy>Ashenafi Woldemichael Woime (Ph.D)</cp:lastModifiedBy>
  <cp:revision>1</cp:revision>
  <dcterms:created xsi:type="dcterms:W3CDTF">2025-11-19T19:40:00Z</dcterms:created>
  <dcterms:modified xsi:type="dcterms:W3CDTF">2025-11-19T19:48:00Z</dcterms:modified>
</cp:coreProperties>
</file>