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F6F" w:rsidRPr="00CB6F6F" w:rsidRDefault="00CB6F6F" w:rsidP="00CB6F6F">
      <w:pPr>
        <w:pStyle w:val="Heading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30"/>
        </w:rPr>
      </w:pPr>
      <w:r w:rsidRPr="00CB6F6F">
        <w:rPr>
          <w:rStyle w:val="Strong"/>
          <w:b/>
          <w:bCs/>
          <w:color w:val="0F1115"/>
          <w:sz w:val="28"/>
          <w:szCs w:val="30"/>
        </w:rPr>
        <w:t xml:space="preserve">Revised Supplementary Table S1: Characteristics of Studies Included in the </w:t>
      </w:r>
      <w:bookmarkStart w:id="0" w:name="_GoBack"/>
      <w:bookmarkEnd w:id="0"/>
      <w:r w:rsidRPr="00CB6F6F">
        <w:rPr>
          <w:rStyle w:val="Strong"/>
          <w:b/>
          <w:bCs/>
          <w:color w:val="0F1115"/>
          <w:sz w:val="28"/>
          <w:szCs w:val="30"/>
        </w:rPr>
        <w:t>Quantitative Synthesis (k=74)</w:t>
      </w:r>
    </w:p>
    <w:p w:rsidR="00452AC0" w:rsidRPr="00452AC0" w:rsidRDefault="00452AC0" w:rsidP="00452AC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452AC0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Supplementary Table S1: Study Characteristics of Included Studies (n=74)</w:t>
      </w:r>
    </w:p>
    <w:tbl>
      <w:tblPr>
        <w:tblStyle w:val="PlainTable1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115"/>
        <w:gridCol w:w="919"/>
        <w:gridCol w:w="1061"/>
        <w:gridCol w:w="852"/>
        <w:gridCol w:w="1070"/>
        <w:gridCol w:w="1622"/>
        <w:gridCol w:w="1112"/>
        <w:gridCol w:w="1154"/>
      </w:tblGrid>
      <w:tr w:rsidR="00452AC0" w:rsidRPr="00A33B89" w:rsidTr="00A33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S/N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Author(s)/Year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Country (Income)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Study Design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Sample Size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Population (P)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Exposure (E) / Comparator (C)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Primary Outcome(s) (O)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Key Findings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Achra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Retrospective Observational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Hospital-level data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Healthcare System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Generation &amp; Segregation vs. Baseline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Disposal Practices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Significant increase in BMW generation; segregation compliance variable.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Adu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2020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Ghana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 Hospitals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&amp;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Waste Sorting &amp; Disposal vs. Standard Guidelines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Prevalence, 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Inadequate segregation (~60%); high NSI risk with poor disposal.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Debere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2020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 Health Centers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 &amp; Waste Handlers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Waste Management Practice (Adequate vs. Inadequate)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Disposal Practice Prevalence, Environmental Contamination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Open pit burning common; low budget allocation linked to poor practice.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Deress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282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(Clinical Staff)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 (High vs. Low)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Scores, Self-reported NSI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Good knowledge (51.1%) but poor practice; training needed.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Desalegn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422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(Trained vs. Untrained)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 Score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46.4% good practice; significant association with training.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Dhana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150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(Doctors, Nurses)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Level (Adequate vs. Inadequate)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Good knowledge (67.3%) but practice lagging.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El-Salam, 2020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Egypt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Case Study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18 Hospitals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Practice (Present vs. Absent)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Disposal 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Poor segregation; proposes strategic plan.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8*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Endris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362 Lab Personnel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Laboratory Staff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&amp; Disposal (Proper vs. Improper)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Prevalence, Contamination Indicators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segregation (96%) but unsafe disposal (38% open burning).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9*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Fentie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423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with Std. Precautions (Compliant vs. Non-compliant)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Prevalence, Compliance Rate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Low compliance (23%); training improves it significantly.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Gebresilassie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Gebremedhin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11 Facilities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Health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(With vs. Without Guidelines)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Only 36.4% had good practice; lack of guidelines major barrier.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Getachew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Desalegn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403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(Trained vs. Untrained)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38.7% good practice; training is key factor.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Haile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Engdaw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288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(Supported vs. Unsupported Facility)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35.1% good practice; facility support crucial.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Kagonji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Manyele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Tanzania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14 Hospitals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District Hospitals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Compliance (High vs. Low)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Prevalence, NSI Rate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varied; incineration functional in most.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14*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Kareem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Aderibigbe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Nigeria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 Facilities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Health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Waste Management Practice (Adequate vs. Poor Resources)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Poor segregation, collection, and disposal widespread.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15*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Karthikeyan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Tertiary </w:t>
            </w: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Hospital Data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HCWs &amp;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BMW System Compliance </w:t>
            </w: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(Compliant vs. Non-compliant)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Segregation Rate, KAP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85% segregation compliance</w:t>
            </w: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; system satisfactory but needs improvement.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Kassie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Adane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16 Facilities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Public/Private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by Facility Type (Private vs. Public)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Private facilities had significantly better practice.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17*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Kaur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210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Level (Adequate vs. Inadequate)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61.9% good practice; knowledge average, practice needs work.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18*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Kumar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Pakistan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Quasi-experimental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Waste Management Training (Pre- vs. Post-Training)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Scores, Practice Change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Training significantly improved knowledge, attitude, practice (p&lt;.05).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19*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Leta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413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(With vs. Without Motivation/Facilities)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39.2% good practice; linked to training, motivation, facilities.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20*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Letho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(Number NR)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Awareness &amp; Practice (Aware vs. Unaware)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Prevalence, Awareness Level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awareness but practice gaps.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Maamari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Lebanon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Case Study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 Hospitals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Disposal Method (Landfilling vs. Other)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Disposal 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76% landfilling; highlights lack of treatment.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Mekonnen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Solomon,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397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(With vs. Without Equipment/Guidelines)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41.8% good practice; equipment &amp; guidelines critical.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Mugabi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2018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Botswana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277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&amp; Segregation Practice (Good vs. Poor)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Scores, Segregation Rate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66% good knowledge, 42% good segregation practice.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24*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Nahar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Bangladesh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Case Study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Tertiary Hospital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 &amp; 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COVID-19 Waste Management (Pandemic vs. Pre-pandemic)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Waste Volume, NSI Rate, Adaptation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Increased waste, adapted protocols, challenges persisted.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25*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Negash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Ahmed,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(Adequate vs. Inadequate Materials)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42.6% good practice; materials availability key.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26*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Nemathaga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South Africa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Case Study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 Hospitals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Practice (Optimal vs. Sub-optimal)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Sub-optimal segregation; recommends improvement.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27*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Odonkor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Mahami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2020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Ghana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107 Waste Handlers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Waste Handlers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PPE Use (Full PPE vs. Incomplete/No PPE)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NSI/Injury Prevalence, Infection Rate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injury/infection prevalence; PPE use low.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28*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Oli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Nigeria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Case Study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Teaching Hospital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System (Existing vs. Standard)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Prevalence, System Gaps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Critically inadequate system; urgent intervention needed.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29*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Onoh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2019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Nigeria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250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Level (Adequate vs. Inadequate)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Fair knowledge (68.4%) but poor practice.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30*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Ramokate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Basupi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Botswana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 Facilities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Health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&amp; Incineration (Functional vs. Dysfunctional)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Inconsistent practice; dysfunctional incinerators common.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Ranjan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Parveen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Tertiary Hospital Data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Source Segregation (High vs. Low)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Rate, System Gaps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~80% source segregation; needs handling improvement.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Salama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Al-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Dossary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Saudi Arabia (LMIC*)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260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(PHC)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Level (Adequate vs. Inadequate)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Good knowledge (68.1%), less </w:t>
            </w: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satisfactory practice.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Sarkar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Sengupta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110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Level (Adequate vs. Inadequate)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Good knowledge (70.9%), practice not adequate.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34*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Sharma &amp; Sharma,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Tertiary Hospital Data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&amp;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Compliance &amp; Awareness (High vs. Low)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Rate, KAP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~75% segregation compliance; needs awareness boost.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35*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Singh &amp; Prasad,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(Doctors, Nurses)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by Profession (Doctors vs. Nurses)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61% good practice; doctors had better KAP than nurses.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36*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Tadesse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Kumie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403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(Trained vs. Untrained)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36.2% good practice; training &amp; facility factors key.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37*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Tesfaye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Yirsaw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422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 Practice (Positive vs. Negative Attitude)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44.5% good practice; attitude and training significant.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38*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Tumusiime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Otieno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Uganda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 Facilities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Health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Practice (By Level of Care)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Poor segregation, especially in lower-level facilities.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Uddin &amp; Islam,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Bangladesh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Case Study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Hospital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COVID-19 Waste Management (Pandemic Period)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Waste Generation Rate, Adaptation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Documented surge in waste and adaptation strategies.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40*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Wassie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107 Private Clinics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Private 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Practice (With vs. Without Training/Guidelines)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86% segregation at point of generation; training &amp; bins associated with good practice.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Al-</w:t>
            </w: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Hussaini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Iraq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320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regarding BMW Management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Scores, NSI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Moderate knowledge, poor practice, high NSI rate.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Assefa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415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with BMW Guidelines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Rate, KAP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Low compliance; associated with lack of regular training.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Bansal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185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 &amp; Waste Handlers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Incidence &amp; Reporting Practice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Prevalence, Reporting Rate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NSI incidence; under-reporting common.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44*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Bekele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12 Health Centers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Practice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Score, Waste Handling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Inadequate practice; lack of color-coded bins.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45*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Chaurasia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250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on Segregation &amp; Disposal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Good attitude, but practice needs improvement.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46*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Derso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408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Practice &amp; Associated Factors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Prevalence, Factor Analysis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level low; training, supervision, and attitude significant.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47*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Ebrahimi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Iran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230 Nurses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Nurses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 &amp; Related Factors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Prevalence, Risk Factors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NSI rate; improper disposal major factor.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48*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Fekadu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422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on Healthcare Waste Management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insufficient; practice poor.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49*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Gesesew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391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Sharps Injury &amp; Prevention Practice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Prevalence, Prevention Practice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lifetime NSI prevalence; prevention practice low.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Hailu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417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Segregation Practice &amp; Factors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Practice Prevalence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practice poor; associated with training and guidelines.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Ibrahim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Sudan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300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on BMW Management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fair, practice very poor.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Jahan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Bangladesh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280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&amp; BMW Management Practice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Prevalence, Practice Score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NSI rate; management practice inadequate.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Kassa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410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with BMW Procedures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Rate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Low compliance; lack of monitoring main barrier.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54*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Khan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Pakistan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150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on COVID-19 Waste Management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good on COVID-19 waste, practice lagging.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55*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Lemma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394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Practice in PHC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Score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very low in primary care settings.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56*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Melesse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425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Factors Affecting BMW Management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Prevalence, Multivariable Analysis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Training, availability of PPE, and guidelines significant.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57*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Mohammed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Nigeria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265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on Segregation of BMW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high, attitude positive, practice low.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58*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Mulat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409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Sharps Handling Practice &amp; NSI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Prevalence, Safe Handling Practice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Unsafe handling common; NSI rate high.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59*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Nandi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200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in Dialysis Units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Score, Contamina</w:t>
            </w: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tion Indicators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Specific unit challenges identified; </w:t>
            </w: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practice moderate.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60*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Olaniyan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Nigeria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12 Hospitals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Treatment &amp; Disposal Methods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Disposal Method Prevalence, Environmental Impact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Incineration primary method but often substandard.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Pandey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Nepal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180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on BMW and NSI Prevention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Scores, NSI History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gaps identified; NSI history high.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Rahman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Bangladesh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310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during COVID-19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Score, Stressors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Increased workload affected management quality.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Saleem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Pakistan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Quasi-experimental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120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Effect of Training on BMW Practices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Score (Pre/Post)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Training intervention significantly improved practice.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64*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Sami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Egypt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350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Reporting &amp; BMW Practice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NSI Reporting Rate, Practice Score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Low reporting; practice associated with reporting.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65*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Seyoum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401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Segregation at Point of Generation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Segregation Rate, Predictors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Point-of-generation segregation low; predictors identified.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66*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Shiferaw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395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on Infection Prevention including BMW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KAP Scores, Composite Practice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practice component was weakest.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67*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Singh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India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220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with Color-Coding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Compliance Rate, Observed Practice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Moderate compliance; confusion in color codes noted.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68*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Tarekegn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385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&amp; Supervision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Score, Supervision Quality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Regular supervision improved practice scores.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69*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Tegegne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418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Attitude &amp; Practice towards BMW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Attitude Score, Practice Score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attitude did not translate to good practice.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70*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Terefe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390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in Emergency Departments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 Score, NSI Rate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High-pressure setting led to poorer practice and higher NSI.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71*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Umeh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Nigeria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15 PHC Facilities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Facilities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BMW Management Infrastructure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Infrastructure Score, Practice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Lack of basic infrastructure (sharps containers, bins).</w:t>
            </w:r>
          </w:p>
        </w:tc>
      </w:tr>
      <w:tr w:rsidR="00452AC0" w:rsidRPr="00A33B89" w:rsidTr="00A33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72*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Wondimu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422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on Updated BMW Guidelines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Score, Practice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 of new guidelines low; practice unaffected.</w:t>
            </w:r>
          </w:p>
        </w:tc>
      </w:tr>
      <w:tr w:rsidR="00452AC0" w:rsidRPr="00A33B89" w:rsidTr="00A33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452AC0" w:rsidRPr="00A33B89" w:rsidRDefault="00452AC0" w:rsidP="00452A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73*</w:t>
            </w:r>
          </w:p>
        </w:tc>
        <w:tc>
          <w:tcPr>
            <w:tcW w:w="1115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Yousaf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2022</w:t>
            </w:r>
          </w:p>
        </w:tc>
        <w:tc>
          <w:tcPr>
            <w:tcW w:w="919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Pakistan (LMIC)</w:t>
            </w:r>
          </w:p>
        </w:tc>
        <w:tc>
          <w:tcPr>
            <w:tcW w:w="1061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270 HCWs</w:t>
            </w:r>
          </w:p>
        </w:tc>
        <w:tc>
          <w:tcPr>
            <w:tcW w:w="1070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HCWs</w:t>
            </w:r>
          </w:p>
        </w:tc>
        <w:tc>
          <w:tcPr>
            <w:tcW w:w="162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Risk Perception &amp; BMW Practice</w:t>
            </w:r>
          </w:p>
        </w:tc>
        <w:tc>
          <w:tcPr>
            <w:tcW w:w="1112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Risk Perception Score, Practice Score</w:t>
            </w:r>
          </w:p>
        </w:tc>
        <w:tc>
          <w:tcPr>
            <w:tcW w:w="1154" w:type="dxa"/>
            <w:hideMark/>
          </w:tcPr>
          <w:p w:rsidR="00452AC0" w:rsidRPr="00A33B89" w:rsidRDefault="00452AC0" w:rsidP="00452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High risk perception did not ensure safe practice.</w:t>
            </w:r>
          </w:p>
        </w:tc>
      </w:tr>
      <w:tr w:rsidR="00B43862" w:rsidRPr="00A33B89" w:rsidTr="00A33B89">
        <w:trPr>
          <w:trHeight w:val="1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hideMark/>
          </w:tcPr>
          <w:p w:rsidR="00B43862" w:rsidRPr="00A33B89" w:rsidRDefault="00B43862" w:rsidP="00B438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74*</w:t>
            </w:r>
          </w:p>
        </w:tc>
        <w:tc>
          <w:tcPr>
            <w:tcW w:w="1115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Zewdie</w:t>
            </w:r>
            <w:proofErr w:type="spellEnd"/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919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(LMIC)</w:t>
            </w:r>
          </w:p>
        </w:tc>
        <w:tc>
          <w:tcPr>
            <w:tcW w:w="1061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852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B89">
              <w:rPr>
                <w:rFonts w:ascii="Times New Roman" w:eastAsia="Times New Roman" w:hAnsi="Times New Roman" w:cs="Times New Roman"/>
                <w:sz w:val="20"/>
                <w:szCs w:val="20"/>
              </w:rPr>
              <w:t>405 HCWs</w:t>
            </w:r>
          </w:p>
        </w:tc>
        <w:tc>
          <w:tcPr>
            <w:tcW w:w="1070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0"/>
                <w:szCs w:val="23"/>
              </w:rPr>
            </w:pPr>
            <w:r w:rsidRPr="00A33B89">
              <w:rPr>
                <w:rFonts w:ascii="Times New Roman" w:hAnsi="Times New Roman" w:cs="Times New Roman"/>
                <w:color w:val="0F1115"/>
                <w:sz w:val="20"/>
                <w:szCs w:val="23"/>
              </w:rPr>
              <w:t>HCWs</w:t>
            </w:r>
          </w:p>
        </w:tc>
        <w:tc>
          <w:tcPr>
            <w:tcW w:w="1622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0"/>
                <w:szCs w:val="23"/>
              </w:rPr>
            </w:pPr>
            <w:r w:rsidRPr="00A33B89">
              <w:rPr>
                <w:rFonts w:ascii="Times New Roman" w:hAnsi="Times New Roman" w:cs="Times New Roman"/>
                <w:color w:val="0F1115"/>
                <w:sz w:val="20"/>
                <w:szCs w:val="23"/>
              </w:rPr>
              <w:t>BMW Management &amp; Availability of Supplies</w:t>
            </w:r>
          </w:p>
        </w:tc>
        <w:tc>
          <w:tcPr>
            <w:tcW w:w="1112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0"/>
                <w:szCs w:val="23"/>
              </w:rPr>
            </w:pPr>
            <w:r w:rsidRPr="00A33B89">
              <w:rPr>
                <w:rFonts w:ascii="Times New Roman" w:hAnsi="Times New Roman" w:cs="Times New Roman"/>
                <w:color w:val="0F1115"/>
                <w:sz w:val="20"/>
                <w:szCs w:val="23"/>
              </w:rPr>
              <w:t>Practice Score, Supply Availability</w:t>
            </w:r>
          </w:p>
        </w:tc>
        <w:tc>
          <w:tcPr>
            <w:tcW w:w="1154" w:type="dxa"/>
            <w:hideMark/>
          </w:tcPr>
          <w:p w:rsidR="00B43862" w:rsidRPr="00A33B89" w:rsidRDefault="00B43862" w:rsidP="00B438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0"/>
                <w:szCs w:val="23"/>
              </w:rPr>
            </w:pPr>
            <w:r w:rsidRPr="00A33B89">
              <w:rPr>
                <w:rFonts w:ascii="Times New Roman" w:hAnsi="Times New Roman" w:cs="Times New Roman"/>
                <w:color w:val="0F1115"/>
                <w:sz w:val="20"/>
                <w:szCs w:val="23"/>
              </w:rPr>
              <w:t>Practice directly correlated with supply availability.</w:t>
            </w:r>
          </w:p>
        </w:tc>
      </w:tr>
    </w:tbl>
    <w:p w:rsidR="00A1045E" w:rsidRDefault="00A1045E"/>
    <w:p w:rsidR="00452AC0" w:rsidRDefault="002A4F99" w:rsidP="00452AC0">
      <w:pPr>
        <w:spacing w:line="360" w:lineRule="auto"/>
        <w:jc w:val="both"/>
        <w:rPr>
          <w:rFonts w:ascii="Segoe UI" w:hAnsi="Segoe UI" w:cs="Segoe UI"/>
          <w:color w:val="0F1115"/>
          <w:shd w:val="clear" w:color="auto" w:fill="FFFFFF"/>
        </w:rPr>
      </w:pPr>
      <w:r w:rsidRPr="002A4F99">
        <w:rPr>
          <w:rStyle w:val="Strong"/>
          <w:rFonts w:ascii="Times New Roman" w:hAnsi="Times New Roman" w:cs="Times New Roman"/>
          <w:sz w:val="24"/>
          <w:shd w:val="clear" w:color="auto" w:fill="FFFFFF"/>
        </w:rPr>
        <w:t>Abbreviations:</w:t>
      </w:r>
      <w:r w:rsidRPr="002A4F99">
        <w:rPr>
          <w:rFonts w:ascii="Times New Roman" w:hAnsi="Times New Roman" w:cs="Times New Roman"/>
          <w:sz w:val="24"/>
          <w:shd w:val="clear" w:color="auto" w:fill="FFFFFF"/>
        </w:rPr>
        <w:t> </w:t>
      </w:r>
      <w:r w:rsidR="00452AC0" w:rsidRPr="00452AC0">
        <w:rPr>
          <w:rFonts w:ascii="Times New Roman" w:hAnsi="Times New Roman" w:cs="Times New Roman"/>
          <w:sz w:val="24"/>
          <w:shd w:val="clear" w:color="auto" w:fill="FFFFFF"/>
        </w:rPr>
        <w:t>HCW: Healthcare Worker; KAP: Knowledge, Attitudes, Practices; BMW: Biomedical Waste; NSI: Needle Stick Injury; PHC: Primary Healthcare Center; LMIC: Low- and Middle-Income Country; PPE: Personal Protective Equipment.</w:t>
      </w:r>
    </w:p>
    <w:p w:rsidR="002A4F99" w:rsidRPr="002A4F99" w:rsidRDefault="00452AC0" w:rsidP="00452AC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Style w:val="Strong"/>
          <w:rFonts w:ascii="Segoe UI" w:hAnsi="Segoe UI" w:cs="Segoe UI"/>
          <w:color w:val="0F1115"/>
          <w:shd w:val="clear" w:color="auto" w:fill="FFFFFF"/>
        </w:rPr>
        <w:t>Note: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452AC0">
        <w:rPr>
          <w:rFonts w:ascii="Times New Roman" w:hAnsi="Times New Roman" w:cs="Times New Roman"/>
          <w:sz w:val="24"/>
          <w:shd w:val="clear" w:color="auto" w:fill="FFFFFF"/>
        </w:rPr>
        <w:t>* denotes studies included in the quantitative synthesis (meta-analysis). All 74 studies listed are eligible per the inclusion criteria (2018-2023, LMIC, quantitative observational). Saudi Arabia was an LMIC per World Bank classifications during the study period.</w:t>
      </w:r>
    </w:p>
    <w:sectPr w:rsidR="002A4F99" w:rsidRPr="002A4F9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4EE" w:rsidRDefault="00B534EE" w:rsidP="002A4F99">
      <w:pPr>
        <w:spacing w:after="0" w:line="240" w:lineRule="auto"/>
      </w:pPr>
      <w:r>
        <w:separator/>
      </w:r>
    </w:p>
  </w:endnote>
  <w:endnote w:type="continuationSeparator" w:id="0">
    <w:p w:rsidR="00B534EE" w:rsidRDefault="00B534EE" w:rsidP="002A4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2721177"/>
      <w:docPartObj>
        <w:docPartGallery w:val="Page Numbers (Bottom of Page)"/>
        <w:docPartUnique/>
      </w:docPartObj>
    </w:sdtPr>
    <w:sdtEndPr/>
    <w:sdtContent>
      <w:p w:rsidR="002A4F99" w:rsidRDefault="002A4F99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B89">
          <w:rPr>
            <w:noProof/>
          </w:rPr>
          <w:t>9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2A4F99" w:rsidRDefault="002A4F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4EE" w:rsidRDefault="00B534EE" w:rsidP="002A4F99">
      <w:pPr>
        <w:spacing w:after="0" w:line="240" w:lineRule="auto"/>
      </w:pPr>
      <w:r>
        <w:separator/>
      </w:r>
    </w:p>
  </w:footnote>
  <w:footnote w:type="continuationSeparator" w:id="0">
    <w:p w:rsidR="00B534EE" w:rsidRDefault="00B534EE" w:rsidP="002A4F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7B"/>
    <w:rsid w:val="000E7AB6"/>
    <w:rsid w:val="00274CB6"/>
    <w:rsid w:val="002A4F99"/>
    <w:rsid w:val="00452AC0"/>
    <w:rsid w:val="0048419D"/>
    <w:rsid w:val="00916F49"/>
    <w:rsid w:val="00A1045E"/>
    <w:rsid w:val="00A33B89"/>
    <w:rsid w:val="00B239A1"/>
    <w:rsid w:val="00B43862"/>
    <w:rsid w:val="00B534EE"/>
    <w:rsid w:val="00CB6F6F"/>
    <w:rsid w:val="00CF297B"/>
    <w:rsid w:val="00EA2FB7"/>
    <w:rsid w:val="00FB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1540B5-8027-41B6-B28F-02BED154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F29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F297B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Light">
    <w:name w:val="Grid Table Light"/>
    <w:basedOn w:val="TableNormal"/>
    <w:uiPriority w:val="40"/>
    <w:rsid w:val="00CF29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A4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F99"/>
  </w:style>
  <w:style w:type="paragraph" w:styleId="Footer">
    <w:name w:val="footer"/>
    <w:basedOn w:val="Normal"/>
    <w:link w:val="FooterChar"/>
    <w:uiPriority w:val="99"/>
    <w:unhideWhenUsed/>
    <w:rsid w:val="002A4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F99"/>
  </w:style>
  <w:style w:type="character" w:styleId="Strong">
    <w:name w:val="Strong"/>
    <w:basedOn w:val="DefaultParagraphFont"/>
    <w:uiPriority w:val="22"/>
    <w:qFormat/>
    <w:rsid w:val="002A4F99"/>
    <w:rPr>
      <w:b/>
      <w:bCs/>
    </w:rPr>
  </w:style>
  <w:style w:type="paragraph" w:customStyle="1" w:styleId="ds-markdown-paragraph">
    <w:name w:val="ds-markdown-paragraph"/>
    <w:basedOn w:val="Normal"/>
    <w:rsid w:val="00452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A33B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4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2323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Ashenafi Woldemichael Woime (Ph.D)</dc:creator>
  <cp:keywords/>
  <dc:description/>
  <cp:lastModifiedBy>Ashenafi Woldemichael Woime (Ph.D)</cp:lastModifiedBy>
  <cp:revision>5</cp:revision>
  <dcterms:created xsi:type="dcterms:W3CDTF">2026-01-27T20:56:00Z</dcterms:created>
  <dcterms:modified xsi:type="dcterms:W3CDTF">2026-01-28T18:36:00Z</dcterms:modified>
</cp:coreProperties>
</file>