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FB077" w14:textId="77777777" w:rsidR="00C72191" w:rsidRPr="00AD2B60" w:rsidRDefault="00C72191" w:rsidP="00C72191">
      <w:pPr>
        <w:spacing w:line="240" w:lineRule="auto"/>
        <w:jc w:val="both"/>
        <w:rPr>
          <w:rFonts w:asciiTheme="minorHAnsi" w:hAnsiTheme="minorHAnsi" w:cstheme="minorHAnsi"/>
          <w:b/>
        </w:rPr>
      </w:pPr>
      <w:r w:rsidRPr="00AD2B60">
        <w:rPr>
          <w:rFonts w:asciiTheme="minorHAnsi" w:hAnsiTheme="minorHAnsi" w:cstheme="minorHAnsi"/>
          <w:b/>
        </w:rPr>
        <w:t>Appendix 1. Search syntaxes</w:t>
      </w:r>
    </w:p>
    <w:p w14:paraId="26E1B9E5" w14:textId="77777777" w:rsidR="00C72191" w:rsidRPr="00AD2B60" w:rsidRDefault="00C72191" w:rsidP="00C72191">
      <w:pPr>
        <w:spacing w:after="0" w:line="240" w:lineRule="auto"/>
        <w:jc w:val="both"/>
        <w:rPr>
          <w:rFonts w:asciiTheme="minorHAnsi" w:hAnsiTheme="minorHAnsi" w:cstheme="minorHAnsi"/>
          <w:b/>
        </w:rPr>
      </w:pPr>
      <w:proofErr w:type="spellStart"/>
      <w:r w:rsidRPr="00AD2B60">
        <w:rPr>
          <w:rFonts w:asciiTheme="minorHAnsi" w:hAnsiTheme="minorHAnsi" w:cstheme="minorHAnsi"/>
          <w:b/>
        </w:rPr>
        <w:t>Pubmed</w:t>
      </w:r>
      <w:proofErr w:type="spellEnd"/>
    </w:p>
    <w:p w14:paraId="3CA558FD"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("sex workers"[title/abstract] OR prostitutes[title/abstract] OR "transactional Sex"[title/abstract] OR "sexual services" [title/abstract] OR "selling sex" [title/abstract] OR "exchanged sex" [title/abstract] OR "sex trade" [title/abstract] OR "commercial sex"[title/abstract] OR "sex industry"[title/abstract]) AND ("health services accessibility"[title/abstract] OR "access to health care"[title/abstract] OR "access to care"[title/abstract] OR "health care"[title/abstract] OR "sexual health"[title/abstract] OR "sexual health services"[title/abstract] OR "reproductive health"[title/abstract] OR "reproductive health services"[title/abstract]) AND (strategy [title/abstract] OR strategies [title/abstract] OR interventions [title/abstract] OR intervention [title/abstract] OR program [title/abstract] OR programs [title/abstract] OR project [title/abstract] OR projects [title/abstract] OR outreach [title/abstract]) NOT (minors [title/abstract] OR minor [title/abstract] OR adolescent [title/abstract] OR adolescents [title/abstract] OR child [title/abstract] OR children [title/abstract] OR "survival sex"[title/abstract])</w:t>
      </w:r>
    </w:p>
    <w:p w14:paraId="2E53B0BC" w14:textId="77777777" w:rsidR="00C72191" w:rsidRPr="00AD2B60" w:rsidRDefault="00C72191" w:rsidP="00C72191">
      <w:pPr>
        <w:spacing w:after="0" w:line="240" w:lineRule="auto"/>
        <w:jc w:val="both"/>
        <w:rPr>
          <w:rFonts w:asciiTheme="minorHAnsi" w:hAnsiTheme="minorHAnsi" w:cstheme="minorHAnsi"/>
        </w:rPr>
      </w:pPr>
    </w:p>
    <w:p w14:paraId="5BAFF96E" w14:textId="77777777" w:rsidR="00C72191" w:rsidRPr="00AD2B60" w:rsidRDefault="00C72191" w:rsidP="00C72191">
      <w:pPr>
        <w:spacing w:after="0" w:line="240" w:lineRule="auto"/>
        <w:jc w:val="both"/>
        <w:rPr>
          <w:rFonts w:asciiTheme="minorHAnsi" w:hAnsiTheme="minorHAnsi" w:cstheme="minorHAnsi"/>
          <w:b/>
        </w:rPr>
      </w:pPr>
      <w:proofErr w:type="spellStart"/>
      <w:r w:rsidRPr="00AD2B60">
        <w:rPr>
          <w:rFonts w:asciiTheme="minorHAnsi" w:hAnsiTheme="minorHAnsi" w:cstheme="minorHAnsi"/>
          <w:b/>
        </w:rPr>
        <w:t>Redalyc</w:t>
      </w:r>
      <w:proofErr w:type="spellEnd"/>
    </w:p>
    <w:p w14:paraId="0900E8B3"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 xml:space="preserve">("sex workers" OR prostitutes OR "transactional Sex" OR "sexual services") AND ("health services accessibility" OR "access to health care" OR "access to care" OR "health care" OR "sexual health" OR "sexual health services" OR "reproductive health" OR "reproductive health services") AND (strategy OR strategies OR interventions OR intervention OR program OR programs OR project OR projects) NOT (minors OR minor OR adolescent OR adolescents OR child OR children OR "survival sex") </w:t>
      </w:r>
    </w:p>
    <w:p w14:paraId="02EBD88C" w14:textId="77777777" w:rsidR="00C72191" w:rsidRPr="00AD2B60" w:rsidRDefault="00C72191" w:rsidP="00C72191">
      <w:pPr>
        <w:spacing w:after="0" w:line="240" w:lineRule="auto"/>
        <w:jc w:val="both"/>
        <w:rPr>
          <w:rFonts w:asciiTheme="minorHAnsi" w:hAnsiTheme="minorHAnsi" w:cstheme="minorHAnsi"/>
        </w:rPr>
      </w:pPr>
    </w:p>
    <w:p w14:paraId="2CDF2B35" w14:textId="77777777" w:rsidR="00C72191" w:rsidRPr="00AD2B60" w:rsidRDefault="00C72191" w:rsidP="00C72191">
      <w:pPr>
        <w:spacing w:after="0" w:line="240" w:lineRule="auto"/>
        <w:jc w:val="both"/>
        <w:rPr>
          <w:rFonts w:asciiTheme="minorHAnsi" w:hAnsiTheme="minorHAnsi" w:cstheme="minorHAnsi"/>
          <w:b/>
        </w:rPr>
      </w:pPr>
      <w:r w:rsidRPr="00AD2B60">
        <w:rPr>
          <w:rFonts w:asciiTheme="minorHAnsi" w:hAnsiTheme="minorHAnsi" w:cstheme="minorHAnsi"/>
          <w:b/>
        </w:rPr>
        <w:t>SCIELO</w:t>
      </w:r>
    </w:p>
    <w:p w14:paraId="08895A84"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 xml:space="preserve">("sex workers" OR prostitutes OR "transactional Sex" OR "sexual services") AND (strategy OR strategies OR interventions OR intervention OR program OR programs OR project OR projects OR outreach) </w:t>
      </w:r>
    </w:p>
    <w:p w14:paraId="18621E4C" w14:textId="77777777" w:rsidR="00C72191" w:rsidRPr="00AD2B60" w:rsidRDefault="00C72191" w:rsidP="00C72191">
      <w:pPr>
        <w:spacing w:after="0" w:line="240" w:lineRule="auto"/>
        <w:jc w:val="both"/>
        <w:rPr>
          <w:rFonts w:asciiTheme="minorHAnsi" w:hAnsiTheme="minorHAnsi" w:cstheme="minorHAnsi"/>
        </w:rPr>
      </w:pPr>
    </w:p>
    <w:p w14:paraId="073100C3" w14:textId="77777777" w:rsidR="00C72191" w:rsidRPr="00AD2B60" w:rsidRDefault="00C72191" w:rsidP="00C72191">
      <w:pPr>
        <w:spacing w:after="0" w:line="240" w:lineRule="auto"/>
        <w:jc w:val="both"/>
        <w:rPr>
          <w:rFonts w:asciiTheme="minorHAnsi" w:hAnsiTheme="minorHAnsi" w:cstheme="minorHAnsi"/>
          <w:b/>
        </w:rPr>
      </w:pPr>
      <w:r w:rsidRPr="00AD2B60">
        <w:rPr>
          <w:rFonts w:asciiTheme="minorHAnsi" w:hAnsiTheme="minorHAnsi" w:cstheme="minorHAnsi"/>
          <w:b/>
        </w:rPr>
        <w:t>Google academic</w:t>
      </w:r>
    </w:p>
    <w:p w14:paraId="7DF6E053" w14:textId="77777777" w:rsidR="00C72191" w:rsidRPr="00AD2B60" w:rsidRDefault="00C72191" w:rsidP="00C72191">
      <w:pPr>
        <w:spacing w:after="0" w:line="240" w:lineRule="auto"/>
        <w:jc w:val="both"/>
        <w:rPr>
          <w:rFonts w:asciiTheme="minorHAnsi" w:hAnsiTheme="minorHAnsi" w:cstheme="minorHAnsi"/>
        </w:rPr>
      </w:pPr>
      <w:proofErr w:type="spellStart"/>
      <w:r w:rsidRPr="00AD2B60">
        <w:rPr>
          <w:rFonts w:asciiTheme="minorHAnsi" w:hAnsiTheme="minorHAnsi" w:cstheme="minorHAnsi"/>
        </w:rPr>
        <w:t>allintitle</w:t>
      </w:r>
      <w:proofErr w:type="spellEnd"/>
      <w:r w:rsidRPr="00AD2B60">
        <w:rPr>
          <w:rFonts w:asciiTheme="minorHAnsi" w:hAnsiTheme="minorHAnsi" w:cstheme="minorHAnsi"/>
        </w:rPr>
        <w:t xml:space="preserve">: ("sex workers" OR prostitutes OR "transactional Sex" OR "sexual services" OR "selling sex" OR "exchanged sex" OR "sex trade" OR "commercial sex" OR "sex industry") AND ("health services accessibility" OR "access to health care" OR "access to care" OR "health care" OR "sexual health" OR "reproductive health services") AND (strategy OR strategies OR interventions OR intervention OR program OR programs OR project OR projects OR outreach) -minors -minor -adolescent -adolescents -child -children -"survival sex" </w:t>
      </w:r>
    </w:p>
    <w:p w14:paraId="0308C5CB" w14:textId="77777777" w:rsidR="00C72191" w:rsidRPr="00AD2B60" w:rsidRDefault="00C72191" w:rsidP="00C72191">
      <w:pPr>
        <w:spacing w:after="0" w:line="240" w:lineRule="auto"/>
        <w:jc w:val="both"/>
        <w:rPr>
          <w:rFonts w:asciiTheme="minorHAnsi" w:hAnsiTheme="minorHAnsi" w:cstheme="minorHAnsi"/>
        </w:rPr>
      </w:pPr>
    </w:p>
    <w:p w14:paraId="0298B71F" w14:textId="77777777" w:rsidR="00C72191" w:rsidRPr="00AD2B60" w:rsidRDefault="00C72191" w:rsidP="00C72191">
      <w:pPr>
        <w:spacing w:after="0" w:line="240" w:lineRule="auto"/>
        <w:jc w:val="both"/>
        <w:rPr>
          <w:rFonts w:asciiTheme="minorHAnsi" w:hAnsiTheme="minorHAnsi" w:cstheme="minorHAnsi"/>
          <w:b/>
        </w:rPr>
      </w:pPr>
      <w:proofErr w:type="spellStart"/>
      <w:r w:rsidRPr="00AD2B60">
        <w:rPr>
          <w:rFonts w:asciiTheme="minorHAnsi" w:hAnsiTheme="minorHAnsi" w:cstheme="minorHAnsi"/>
          <w:b/>
        </w:rPr>
        <w:t>Embase</w:t>
      </w:r>
      <w:proofErr w:type="spellEnd"/>
    </w:p>
    <w:p w14:paraId="37B5C07C"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('sex workers':</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prostitutes:ti,ab,kw</w:t>
      </w:r>
      <w:proofErr w:type="spellEnd"/>
      <w:r w:rsidRPr="00AD2B60">
        <w:rPr>
          <w:rFonts w:asciiTheme="minorHAnsi" w:hAnsiTheme="minorHAnsi" w:cstheme="minorHAnsi"/>
        </w:rPr>
        <w:t xml:space="preserve"> OR 'transactional sex':</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'sexual services':</w:t>
      </w:r>
      <w:proofErr w:type="spellStart"/>
      <w:r w:rsidRPr="00AD2B60">
        <w:rPr>
          <w:rFonts w:asciiTheme="minorHAnsi" w:hAnsiTheme="minorHAnsi" w:cstheme="minorHAnsi"/>
        </w:rPr>
        <w:t>ti,ab,kw</w:t>
      </w:r>
      <w:proofErr w:type="spellEnd"/>
      <w:r w:rsidRPr="00AD2B60">
        <w:rPr>
          <w:rFonts w:asciiTheme="minorHAnsi" w:hAnsiTheme="minorHAnsi" w:cstheme="minorHAnsi"/>
        </w:rPr>
        <w:t>) AND ('health services accessibility':</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'access to health care':</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'access to care':</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'health care':</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'sexual health':</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'sexual health services':</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'reproductive health':</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'reproductive health services':</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AND (strategy: </w:t>
      </w:r>
      <w:proofErr w:type="spellStart"/>
      <w:r w:rsidRPr="00AD2B60">
        <w:rPr>
          <w:rFonts w:asciiTheme="minorHAnsi" w:hAnsiTheme="minorHAnsi" w:cstheme="minorHAnsi"/>
        </w:rPr>
        <w:t>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strategies:ti,ab,kw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interventions:ti,ab,kw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intervention:ti,ab,kw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program:ti,ab,kw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programs:ti,ab,kw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project:ti,ab,kw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projects:ti,ab,kw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outreach:ti,ab,kw</w:t>
      </w:r>
      <w:proofErr w:type="spellEnd"/>
      <w:r w:rsidRPr="00AD2B60">
        <w:rPr>
          <w:rFonts w:asciiTheme="minorHAnsi" w:hAnsiTheme="minorHAnsi" w:cstheme="minorHAnsi"/>
        </w:rPr>
        <w:t>) NOT (</w:t>
      </w:r>
      <w:proofErr w:type="spellStart"/>
      <w:r w:rsidRPr="00AD2B60">
        <w:rPr>
          <w:rFonts w:asciiTheme="minorHAnsi" w:hAnsiTheme="minorHAnsi" w:cstheme="minorHAnsi"/>
        </w:rPr>
        <w:t>minors:ti,ab,kw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minor:ti,ab,kw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adolescent:ti</w:t>
      </w:r>
      <w:proofErr w:type="spellEnd"/>
      <w:r w:rsidRPr="00AD2B60">
        <w:rPr>
          <w:rFonts w:asciiTheme="minorHAnsi" w:hAnsiTheme="minorHAnsi" w:cstheme="minorHAnsi"/>
        </w:rPr>
        <w:t xml:space="preserve">, </w:t>
      </w:r>
      <w:proofErr w:type="spellStart"/>
      <w:r w:rsidRPr="00AD2B60">
        <w:rPr>
          <w:rFonts w:asciiTheme="minorHAnsi" w:hAnsiTheme="minorHAnsi" w:cstheme="minorHAnsi"/>
        </w:rPr>
        <w:t>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adolescents:ti,ab,kw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child:ti,ab,kw</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children:ti,ab,kw</w:t>
      </w:r>
      <w:proofErr w:type="spellEnd"/>
      <w:r w:rsidRPr="00AD2B60">
        <w:rPr>
          <w:rFonts w:asciiTheme="minorHAnsi" w:hAnsiTheme="minorHAnsi" w:cstheme="minorHAnsi"/>
        </w:rPr>
        <w:t xml:space="preserve"> OR 'survival sex':</w:t>
      </w:r>
      <w:proofErr w:type="spellStart"/>
      <w:r w:rsidRPr="00AD2B60">
        <w:rPr>
          <w:rFonts w:asciiTheme="minorHAnsi" w:hAnsiTheme="minorHAnsi" w:cstheme="minorHAnsi"/>
        </w:rPr>
        <w:t>ti,ab,kw</w:t>
      </w:r>
      <w:proofErr w:type="spellEnd"/>
      <w:r w:rsidRPr="00AD2B60">
        <w:rPr>
          <w:rFonts w:asciiTheme="minorHAnsi" w:hAnsiTheme="minorHAnsi" w:cstheme="minorHAnsi"/>
        </w:rPr>
        <w:t>) AND ([</w:t>
      </w:r>
      <w:proofErr w:type="spellStart"/>
      <w:r w:rsidRPr="00AD2B60">
        <w:rPr>
          <w:rFonts w:asciiTheme="minorHAnsi" w:hAnsiTheme="minorHAnsi" w:cstheme="minorHAnsi"/>
        </w:rPr>
        <w:t>english</w:t>
      </w:r>
      <w:proofErr w:type="spellEnd"/>
      <w:r w:rsidRPr="00AD2B60">
        <w:rPr>
          <w:rFonts w:asciiTheme="minorHAnsi" w:hAnsiTheme="minorHAnsi" w:cstheme="minorHAnsi"/>
        </w:rPr>
        <w:t>]/</w:t>
      </w:r>
      <w:proofErr w:type="spellStart"/>
      <w:r w:rsidRPr="00AD2B60">
        <w:rPr>
          <w:rFonts w:asciiTheme="minorHAnsi" w:hAnsiTheme="minorHAnsi" w:cstheme="minorHAnsi"/>
        </w:rPr>
        <w:t>lim</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portuguese</w:t>
      </w:r>
      <w:proofErr w:type="spellEnd"/>
      <w:r w:rsidRPr="00AD2B60">
        <w:rPr>
          <w:rFonts w:asciiTheme="minorHAnsi" w:hAnsiTheme="minorHAnsi" w:cstheme="minorHAnsi"/>
        </w:rPr>
        <w:t>]/</w:t>
      </w:r>
      <w:proofErr w:type="spellStart"/>
      <w:r w:rsidRPr="00AD2B60">
        <w:rPr>
          <w:rFonts w:asciiTheme="minorHAnsi" w:hAnsiTheme="minorHAnsi" w:cstheme="minorHAnsi"/>
        </w:rPr>
        <w:t>lim</w:t>
      </w:r>
      <w:proofErr w:type="spellEnd"/>
      <w:r w:rsidRPr="00AD2B60">
        <w:rPr>
          <w:rFonts w:asciiTheme="minorHAnsi" w:hAnsiTheme="minorHAnsi" w:cstheme="minorHAnsi"/>
        </w:rPr>
        <w:t xml:space="preserve"> OR [</w:t>
      </w:r>
      <w:proofErr w:type="spellStart"/>
      <w:r w:rsidRPr="00AD2B60">
        <w:rPr>
          <w:rFonts w:asciiTheme="minorHAnsi" w:hAnsiTheme="minorHAnsi" w:cstheme="minorHAnsi"/>
        </w:rPr>
        <w:t>spanish</w:t>
      </w:r>
      <w:proofErr w:type="spellEnd"/>
      <w:r w:rsidRPr="00AD2B60">
        <w:rPr>
          <w:rFonts w:asciiTheme="minorHAnsi" w:hAnsiTheme="minorHAnsi" w:cstheme="minorHAnsi"/>
        </w:rPr>
        <w:t>]/</w:t>
      </w:r>
      <w:proofErr w:type="spellStart"/>
      <w:r w:rsidRPr="00AD2B60">
        <w:rPr>
          <w:rFonts w:asciiTheme="minorHAnsi" w:hAnsiTheme="minorHAnsi" w:cstheme="minorHAnsi"/>
        </w:rPr>
        <w:t>lim</w:t>
      </w:r>
      <w:proofErr w:type="spellEnd"/>
      <w:r w:rsidRPr="00AD2B60">
        <w:rPr>
          <w:rFonts w:asciiTheme="minorHAnsi" w:hAnsiTheme="minorHAnsi" w:cstheme="minorHAnsi"/>
        </w:rPr>
        <w:t>) AND [humans]/</w:t>
      </w:r>
      <w:proofErr w:type="spellStart"/>
      <w:r w:rsidRPr="00AD2B60">
        <w:rPr>
          <w:rFonts w:asciiTheme="minorHAnsi" w:hAnsiTheme="minorHAnsi" w:cstheme="minorHAnsi"/>
        </w:rPr>
        <w:t>lim</w:t>
      </w:r>
      <w:proofErr w:type="spellEnd"/>
      <w:r w:rsidRPr="00AD2B60">
        <w:rPr>
          <w:rFonts w:asciiTheme="minorHAnsi" w:hAnsiTheme="minorHAnsi" w:cstheme="minorHAnsi"/>
        </w:rPr>
        <w:t xml:space="preserve"> </w:t>
      </w:r>
    </w:p>
    <w:p w14:paraId="52A62391" w14:textId="77777777" w:rsidR="00C72191" w:rsidRPr="00AD2B60" w:rsidRDefault="00C72191" w:rsidP="00C72191">
      <w:pPr>
        <w:spacing w:after="0" w:line="240" w:lineRule="auto"/>
        <w:jc w:val="both"/>
        <w:rPr>
          <w:rFonts w:asciiTheme="minorHAnsi" w:hAnsiTheme="minorHAnsi" w:cstheme="minorHAnsi"/>
        </w:rPr>
      </w:pPr>
    </w:p>
    <w:p w14:paraId="4AAF51A9" w14:textId="77777777" w:rsidR="00C72191" w:rsidRPr="00AD2B60" w:rsidRDefault="00C72191" w:rsidP="00C72191">
      <w:pPr>
        <w:spacing w:after="0" w:line="240" w:lineRule="auto"/>
        <w:jc w:val="both"/>
        <w:rPr>
          <w:rFonts w:asciiTheme="minorHAnsi" w:hAnsiTheme="minorHAnsi" w:cstheme="minorHAnsi"/>
        </w:rPr>
        <w:sectPr w:rsidR="00C72191" w:rsidRPr="00AD2B60" w:rsidSect="00703023">
          <w:pgSz w:w="12240" w:h="15840"/>
          <w:pgMar w:top="1417" w:right="1608" w:bottom="1417" w:left="1771" w:header="708" w:footer="708" w:gutter="0"/>
          <w:pgNumType w:start="1"/>
          <w:cols w:space="720"/>
        </w:sectPr>
      </w:pPr>
    </w:p>
    <w:p w14:paraId="42DC8E05" w14:textId="77777777" w:rsidR="00C72191" w:rsidRPr="00AD2B60" w:rsidRDefault="00C72191" w:rsidP="00C72191">
      <w:pPr>
        <w:spacing w:after="0" w:line="240" w:lineRule="auto"/>
        <w:jc w:val="both"/>
        <w:rPr>
          <w:rFonts w:asciiTheme="minorHAnsi" w:hAnsiTheme="minorHAnsi" w:cstheme="minorHAnsi"/>
          <w:b/>
        </w:rPr>
      </w:pPr>
      <w:r w:rsidRPr="00AD2B60">
        <w:rPr>
          <w:rFonts w:asciiTheme="minorHAnsi" w:hAnsiTheme="minorHAnsi" w:cstheme="minorHAnsi"/>
          <w:b/>
        </w:rPr>
        <w:lastRenderedPageBreak/>
        <w:t>Appendix 2: Main characteristics of included articles</w:t>
      </w:r>
    </w:p>
    <w:p w14:paraId="2241368D" w14:textId="77777777" w:rsidR="00C72191" w:rsidRPr="00AD2B60" w:rsidRDefault="00C72191" w:rsidP="00C72191">
      <w:pPr>
        <w:spacing w:after="0" w:line="240" w:lineRule="auto"/>
        <w:jc w:val="both"/>
        <w:rPr>
          <w:rFonts w:asciiTheme="minorHAnsi" w:hAnsiTheme="minorHAnsi" w:cstheme="minorHAnsi"/>
          <w:b/>
        </w:rPr>
      </w:pPr>
    </w:p>
    <w:tbl>
      <w:tblPr>
        <w:tblStyle w:val="Tablaconcuadrcula"/>
        <w:tblW w:w="5125" w:type="pct"/>
        <w:jc w:val="center"/>
        <w:tblLayout w:type="fixed"/>
        <w:tblLook w:val="04A0" w:firstRow="1" w:lastRow="0" w:firstColumn="1" w:lastColumn="0" w:noHBand="0" w:noVBand="1"/>
      </w:tblPr>
      <w:tblGrid>
        <w:gridCol w:w="1029"/>
        <w:gridCol w:w="1256"/>
        <w:gridCol w:w="1512"/>
        <w:gridCol w:w="986"/>
        <w:gridCol w:w="3439"/>
        <w:gridCol w:w="1136"/>
        <w:gridCol w:w="3973"/>
      </w:tblGrid>
      <w:tr w:rsidR="00C72191" w:rsidRPr="00AD2B60" w14:paraId="3173D585" w14:textId="77777777" w:rsidTr="00192B09">
        <w:trPr>
          <w:cantSplit/>
          <w:tblHeader/>
          <w:jc w:val="center"/>
        </w:trPr>
        <w:tc>
          <w:tcPr>
            <w:tcW w:w="386" w:type="pct"/>
            <w:shd w:val="clear" w:color="auto" w:fill="9CC2E5" w:themeFill="accent5" w:themeFillTint="99"/>
            <w:vAlign w:val="center"/>
          </w:tcPr>
          <w:p w14:paraId="3AD685CE"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Author</w:t>
            </w:r>
          </w:p>
        </w:tc>
        <w:tc>
          <w:tcPr>
            <w:tcW w:w="471" w:type="pct"/>
            <w:shd w:val="clear" w:color="auto" w:fill="9CC2E5" w:themeFill="accent5" w:themeFillTint="99"/>
            <w:vAlign w:val="center"/>
          </w:tcPr>
          <w:p w14:paraId="52D80DB8" w14:textId="77777777" w:rsidR="00C72191" w:rsidRPr="00AD2B60" w:rsidRDefault="00C72191" w:rsidP="00192B09">
            <w:pPr>
              <w:jc w:val="center"/>
              <w:rPr>
                <w:rFonts w:ascii="Arial" w:eastAsia="Times New Roman" w:hAnsi="Arial" w:cs="Arial"/>
                <w:b/>
                <w:bCs/>
                <w:sz w:val="16"/>
                <w:szCs w:val="16"/>
              </w:rPr>
            </w:pPr>
            <w:r w:rsidRPr="00AD2B60">
              <w:rPr>
                <w:rFonts w:ascii="Arial" w:eastAsia="Times New Roman" w:hAnsi="Arial" w:cs="Arial"/>
                <w:b/>
                <w:bCs/>
                <w:sz w:val="16"/>
                <w:szCs w:val="16"/>
              </w:rPr>
              <w:t xml:space="preserve">Intervention´s country </w:t>
            </w:r>
          </w:p>
          <w:p w14:paraId="45933C89"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Participants number</w:t>
            </w:r>
          </w:p>
        </w:tc>
        <w:tc>
          <w:tcPr>
            <w:tcW w:w="567" w:type="pct"/>
            <w:shd w:val="clear" w:color="auto" w:fill="9CC2E5" w:themeFill="accent5" w:themeFillTint="99"/>
            <w:vAlign w:val="center"/>
          </w:tcPr>
          <w:p w14:paraId="3C8634CD"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Population</w:t>
            </w:r>
          </w:p>
        </w:tc>
        <w:tc>
          <w:tcPr>
            <w:tcW w:w="370" w:type="pct"/>
            <w:shd w:val="clear" w:color="auto" w:fill="9CC2E5" w:themeFill="accent5" w:themeFillTint="99"/>
            <w:vAlign w:val="center"/>
          </w:tcPr>
          <w:p w14:paraId="03A47EEF"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Intervention setting or context</w:t>
            </w:r>
          </w:p>
        </w:tc>
        <w:tc>
          <w:tcPr>
            <w:tcW w:w="1290" w:type="pct"/>
            <w:shd w:val="clear" w:color="auto" w:fill="9CC2E5" w:themeFill="accent5" w:themeFillTint="99"/>
            <w:vAlign w:val="center"/>
          </w:tcPr>
          <w:p w14:paraId="58A63DDC"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Intervention</w:t>
            </w:r>
          </w:p>
        </w:tc>
        <w:tc>
          <w:tcPr>
            <w:tcW w:w="426" w:type="pct"/>
            <w:shd w:val="clear" w:color="auto" w:fill="9CC2E5" w:themeFill="accent5" w:themeFillTint="99"/>
            <w:vAlign w:val="center"/>
          </w:tcPr>
          <w:p w14:paraId="7CA0131C"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Comparison or control</w:t>
            </w:r>
          </w:p>
        </w:tc>
        <w:tc>
          <w:tcPr>
            <w:tcW w:w="1490" w:type="pct"/>
            <w:shd w:val="clear" w:color="auto" w:fill="9CC2E5" w:themeFill="accent5" w:themeFillTint="99"/>
            <w:vAlign w:val="center"/>
          </w:tcPr>
          <w:p w14:paraId="240A127C" w14:textId="77777777" w:rsidR="00C72191" w:rsidRPr="00AD2B60" w:rsidRDefault="00C72191" w:rsidP="00192B09">
            <w:pPr>
              <w:jc w:val="center"/>
              <w:rPr>
                <w:rFonts w:ascii="Arial" w:hAnsi="Arial" w:cs="Arial"/>
                <w:sz w:val="16"/>
                <w:szCs w:val="16"/>
              </w:rPr>
            </w:pPr>
            <w:r w:rsidRPr="00AD2B60">
              <w:rPr>
                <w:rFonts w:ascii="Arial" w:eastAsia="Times New Roman" w:hAnsi="Arial" w:cs="Arial"/>
                <w:b/>
                <w:bCs/>
                <w:sz w:val="16"/>
                <w:szCs w:val="16"/>
              </w:rPr>
              <w:t>Outcomes</w:t>
            </w:r>
          </w:p>
        </w:tc>
      </w:tr>
      <w:tr w:rsidR="00C72191" w:rsidRPr="00AD2B60" w14:paraId="7F8FBE30" w14:textId="77777777" w:rsidTr="00192B09">
        <w:trPr>
          <w:cantSplit/>
          <w:jc w:val="center"/>
        </w:trPr>
        <w:tc>
          <w:tcPr>
            <w:tcW w:w="386" w:type="pct"/>
            <w:vAlign w:val="center"/>
          </w:tcPr>
          <w:p w14:paraId="43D32B2E"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Ampt</w:t>
            </w:r>
            <w:proofErr w:type="spellEnd"/>
            <w:r w:rsidRPr="00AD2B60">
              <w:rPr>
                <w:rFonts w:ascii="Arial" w:hAnsi="Arial" w:cs="Arial"/>
                <w:sz w:val="16"/>
                <w:szCs w:val="16"/>
              </w:rPr>
              <w:t xml:space="preserve"> et al.(2020)</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{"citationID":"zdQcSdLu","properties":{"formattedCitation":"\\super 40\\nosupersub{}","plainCitation":"40","noteIndex":0},"citationItems":[{"id":1055,"uris":["http://zotero.org/users/1379219/items/BQW83BII"],"itemData":{"id":1055,"type":"article-journal","abstract":"BACKGROUND: Female sex workers (FSWs) have high rates of both unintended pregnancy and HIV, but few health promotion interventions address their contraceptive needs or other sexual and reproductive health and rights (SRHR) concerns. A broader approach integrates contraceptive promotion with HIV and sexually transmitted infection (STI) prevention and management, alcohol awareness, gender-based violence and rights, and health care utilization. The Women's Health Intervention using SMS for Preventing Pregnancy (WHISPER) mobile phone intervention uses a participatory development approach and behavior change theory to address these high-priority concerns of FSWs in Mombasa, Kenya.\nOBJECTIVE: This paper aimed to (1) describe the process of development of the WHISPER intervention, its theoretical framework, key content domains and strategies and (2) explore workshop participants' responses to the proposed intervention, particularly with regard to message content, behavior change constructs, and feasibility and acceptability.\nMETHODS: The research team worked closely with FSWs in two phases of intervention development. First, we drafted content for three different types of messages based on a review of the literature and behavior change theories. Second, we piloted the intervention by conducting six workshops with 42 FSWs to test and refine message content and 12 interviews to assess the technical performance of the intervention. Workshop data were thematically analyzed using a mixed deductive and inductive approach.\nRESULTS: The intervention framework specified six SRHR domains that were viewed as highly relevant by FSWs. Reactions to intervention content revealed that social cognitive strategies to improve knowledge, outcome expectations, skills, and self-efficacy resonated well with workshop participants. Participants found the content empowering, and most said they would share the messages with others. The refined intervention was a 12-month SMS program consisting of informational and motivational messages, role model stories portraying behavior change among FSWs, and on-demand contraceptive information.\nCONCLUSIONS: Our results highlight the need for health promotion interventions that incorporate broader components of SRHR, not only HIV prevention. Using a theory-based, participatory approach, we developed a digital health intervention that reflects the complex reality of FSWs' lives and provides a feasible, acceptable approach for addressing SRHR concerns and needs. FSWs may benefit from health promotion interventions that provide relevant, actionable, and engaging content to support behavior change.","container-title":"JMIR mHealth and uHealth","DOI":"10.2196/15096","ISSN":"2291-5222","issue":"5","journalAbbreviation":"JMIR Mhealth Uhealth","language":"eng","note":"PMID: 32469326\nPMCID: PMC7293053","page":"e15096","source":"PubMed","title":"A Mobile Phone-Based Sexual and Reproductive Health Intervention for Female Sex Workers in Kenya: Development and Qualitative Study","title-short":"A Mobile Phone-Based Sexual and Reproductive Health Intervention for Female Sex Workers in Kenya","volume":"8","author":[{"family":"Ampt","given":"Frances H."},{"family":"L'Engle","given":"Kelly"},{"family":"Lim","given":"Megan S. C."},{"family":"Plourde","given":"Kate F."},{"family":"Mangone","given":"Emily"},{"family":"Mukanya","given":"Collins Mudogo"},{"family":"Gichangi","given":"Peter"},{"family":"Manguro","given":"Griffins"},{"family":"Hellard","given":"Margaret"},{"family":"Stoové","given":"Mark"},{"family":"Chersich","given":"Matthew F."},{"family":"Jaoko","given":"Walter"},{"family":"Agius","given":"Paul A."},{"family":"Temmerman","given":"Marleen"},{"family":"Wangari","given":"Winnie"},{"family":"Luchters","given":"Stanley"}],"issued":{"date-parts":[["2020",5,29]]}}}],"schema":"https://github.com/citation-style-language/schema/raw/master/csl-citation.json"}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40</w:t>
            </w:r>
            <w:r w:rsidRPr="00AD2B60">
              <w:rPr>
                <w:rFonts w:asciiTheme="minorHAnsi" w:hAnsiTheme="minorHAnsi" w:cstheme="minorHAnsi"/>
                <w:sz w:val="16"/>
                <w:szCs w:val="16"/>
              </w:rPr>
              <w:fldChar w:fldCharType="end"/>
            </w:r>
          </w:p>
        </w:tc>
        <w:tc>
          <w:tcPr>
            <w:tcW w:w="471" w:type="pct"/>
            <w:vAlign w:val="center"/>
          </w:tcPr>
          <w:p w14:paraId="172C51B7" w14:textId="77777777" w:rsidR="00C72191" w:rsidRPr="00AD2B60" w:rsidRDefault="00C72191" w:rsidP="00192B09">
            <w:pPr>
              <w:rPr>
                <w:rFonts w:ascii="Arial" w:hAnsi="Arial" w:cs="Arial"/>
                <w:sz w:val="16"/>
                <w:szCs w:val="16"/>
              </w:rPr>
            </w:pPr>
            <w:r w:rsidRPr="00AD2B60">
              <w:rPr>
                <w:rFonts w:ascii="Arial" w:hAnsi="Arial" w:cs="Arial"/>
                <w:sz w:val="16"/>
                <w:szCs w:val="16"/>
              </w:rPr>
              <w:t>Kenya</w:t>
            </w:r>
          </w:p>
          <w:p w14:paraId="1A479055" w14:textId="77777777" w:rsidR="00C72191" w:rsidRPr="00AD2B60" w:rsidRDefault="00C72191" w:rsidP="00192B09">
            <w:pPr>
              <w:rPr>
                <w:rFonts w:ascii="Arial" w:hAnsi="Arial" w:cs="Arial"/>
                <w:sz w:val="16"/>
                <w:szCs w:val="16"/>
              </w:rPr>
            </w:pPr>
          </w:p>
          <w:p w14:paraId="4678BEDB" w14:textId="77777777" w:rsidR="00C72191" w:rsidRPr="00AD2B60" w:rsidRDefault="00C72191" w:rsidP="00192B09">
            <w:pPr>
              <w:rPr>
                <w:rFonts w:ascii="Arial" w:hAnsi="Arial" w:cs="Arial"/>
                <w:sz w:val="16"/>
                <w:szCs w:val="16"/>
              </w:rPr>
            </w:pPr>
            <w:r w:rsidRPr="00AD2B60">
              <w:rPr>
                <w:rFonts w:ascii="Arial" w:hAnsi="Arial" w:cs="Arial"/>
                <w:sz w:val="16"/>
                <w:szCs w:val="16"/>
              </w:rPr>
              <w:t>54</w:t>
            </w:r>
          </w:p>
        </w:tc>
        <w:tc>
          <w:tcPr>
            <w:tcW w:w="567" w:type="pct"/>
            <w:vAlign w:val="center"/>
          </w:tcPr>
          <w:p w14:paraId="213EB752" w14:textId="77777777" w:rsidR="00C72191" w:rsidRPr="00AD2B60" w:rsidRDefault="00C72191" w:rsidP="00192B09">
            <w:pPr>
              <w:rPr>
                <w:rFonts w:ascii="Arial" w:hAnsi="Arial" w:cs="Arial"/>
                <w:sz w:val="16"/>
                <w:szCs w:val="16"/>
              </w:rPr>
            </w:pPr>
            <w:r w:rsidRPr="00AD2B60">
              <w:rPr>
                <w:rFonts w:ascii="Arial" w:hAnsi="Arial" w:cs="Arial"/>
                <w:sz w:val="16"/>
                <w:szCs w:val="16"/>
              </w:rPr>
              <w:t>FSW in the previous 6 months at least 16 years old, not currently pregnant or planning a pregnancy in the next year, and own and use a mobile phone.</w:t>
            </w:r>
          </w:p>
        </w:tc>
        <w:tc>
          <w:tcPr>
            <w:tcW w:w="370" w:type="pct"/>
            <w:vAlign w:val="center"/>
          </w:tcPr>
          <w:p w14:paraId="7E0B7D82"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centers and sex work hotspots.</w:t>
            </w:r>
          </w:p>
        </w:tc>
        <w:tc>
          <w:tcPr>
            <w:tcW w:w="1290" w:type="pct"/>
            <w:vAlign w:val="center"/>
          </w:tcPr>
          <w:p w14:paraId="19DAD153"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Tailored sexual and reproductive SMS health messages for FSWs based on behavior change theories and consultations with peer educators. The topics covered were contraception, dual protection strategies, HIV/STI, gender-based violence, stigma, and rights, alcohol and drug use, service information and access. </w:t>
            </w:r>
          </w:p>
        </w:tc>
        <w:tc>
          <w:tcPr>
            <w:tcW w:w="426" w:type="pct"/>
            <w:vAlign w:val="center"/>
          </w:tcPr>
          <w:p w14:paraId="7A9D229C"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7945A31E" w14:textId="77777777" w:rsidR="00C72191" w:rsidRPr="00AD2B60" w:rsidRDefault="00C72191" w:rsidP="00192B09">
            <w:pPr>
              <w:rPr>
                <w:rFonts w:ascii="Arial" w:hAnsi="Arial" w:cs="Arial"/>
                <w:sz w:val="16"/>
                <w:szCs w:val="16"/>
              </w:rPr>
            </w:pPr>
            <w:r w:rsidRPr="00AD2B60">
              <w:rPr>
                <w:rFonts w:ascii="Arial" w:hAnsi="Arial" w:cs="Arial"/>
                <w:sz w:val="16"/>
                <w:szCs w:val="16"/>
              </w:rPr>
              <w:t>FSWs found the intervention topics highly relevant. The social cognitive strategies to improve knowledge, expectations, skills, and self-efficacy resonated with participants, who felt empowered and expressed willingness to share the messages with others.</w:t>
            </w:r>
          </w:p>
        </w:tc>
      </w:tr>
      <w:tr w:rsidR="00C72191" w:rsidRPr="00AD2B60" w14:paraId="17BE2A6E" w14:textId="77777777" w:rsidTr="00192B09">
        <w:trPr>
          <w:cantSplit/>
          <w:jc w:val="center"/>
        </w:trPr>
        <w:tc>
          <w:tcPr>
            <w:tcW w:w="386" w:type="pct"/>
            <w:vAlign w:val="center"/>
          </w:tcPr>
          <w:p w14:paraId="4880473A" w14:textId="77777777" w:rsidR="00C72191" w:rsidRPr="00AD2B60" w:rsidRDefault="00C72191" w:rsidP="00192B09">
            <w:pPr>
              <w:rPr>
                <w:rFonts w:ascii="Arial" w:hAnsi="Arial" w:cs="Arial"/>
                <w:sz w:val="16"/>
                <w:szCs w:val="16"/>
              </w:rPr>
            </w:pPr>
            <w:r w:rsidRPr="00AD2B60">
              <w:rPr>
                <w:rFonts w:ascii="Arial" w:hAnsi="Arial" w:cs="Arial"/>
                <w:sz w:val="16"/>
                <w:szCs w:val="16"/>
              </w:rPr>
              <w:t>Beattie et al.(2010)</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{"citationID":"2vXvZNj7","properties":{"formattedCitation":"\\super 41\\nosupersub{}","plainCitation":"41","noteIndex":0},"citationItems":[{"id":1047,"uris":["http://zotero.org/users/1379219/items/YA77Q7CG"],"itemData":{"id":1047,"type":"article-journal","abstract":"Violence against female sex workers (FSWs) can impede HIV prevention efforts and contravenes their human rights. We developed a multi-layered violence intervention targeting policy makers, secondary stakeholders (police, lawyers, media), and primary stakeholders (FSWs), as part of wider HIV prevention programming involving &gt;60,000 FSWs in Karnataka state. This study examined if violence against FSWs is associated with reduced condom use and increased STI/HIV risk, and if addressing violence against FSWs within a large-scale HIV prevention program can reduce levels of violence against them.","container-title":"BMC Public Health","DOI":"10.1186/1471-2458-10-476","ISSN":"1471-2458","issue":"1","journalAbbreviation":"BMC Public Health","page":"476","source":"BioMed Central","title":"Violence against female sex workers in Karnataka state, south India: impact on health, and reductions in violence following an intervention program","title-short":"Violence against female sex workers in Karnataka state, south India","volume":"10","author":[{"family":"Beattie","given":"Tara SH"},{"family":"Bhattacharjee","given":"Parinita"},{"family":"Ramesh","given":"BM"},{"family":"Gurnani","given":"Vandana"},{"family":"Anthony","given":"John"},{"family":"Isac","given":"Shajy"},{"family":"Mohan","given":"HL"},{"family":"Ramakrishnan","given":"Aparajita"},{"family":"Wheeler","given":"Tisha"},{"family":"Bradley","given":"Janet"},{"family":"Blanchard","given":"James F."},{"family":"Moses","given":"Stephen"}],"issued":{"date-parts":[["2010",8,11]]}}}],"schema":"https://github.com/citation-style-language/schema/raw/master/csl-citation.json"}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41</w:t>
            </w:r>
            <w:r w:rsidRPr="00AD2B60">
              <w:rPr>
                <w:rFonts w:asciiTheme="minorHAnsi" w:hAnsiTheme="minorHAnsi" w:cstheme="minorHAnsi"/>
                <w:sz w:val="16"/>
                <w:szCs w:val="16"/>
              </w:rPr>
              <w:fldChar w:fldCharType="end"/>
            </w:r>
          </w:p>
        </w:tc>
        <w:tc>
          <w:tcPr>
            <w:tcW w:w="471" w:type="pct"/>
            <w:vAlign w:val="center"/>
          </w:tcPr>
          <w:p w14:paraId="7C39456C" w14:textId="77777777" w:rsidR="00C72191" w:rsidRPr="00AD2B60" w:rsidRDefault="00C72191" w:rsidP="00192B09">
            <w:pPr>
              <w:rPr>
                <w:rFonts w:ascii="Arial" w:hAnsi="Arial" w:cs="Arial"/>
                <w:sz w:val="16"/>
                <w:szCs w:val="16"/>
              </w:rPr>
            </w:pPr>
            <w:r w:rsidRPr="00AD2B60">
              <w:rPr>
                <w:rFonts w:ascii="Arial" w:hAnsi="Arial" w:cs="Arial"/>
                <w:sz w:val="16"/>
                <w:szCs w:val="16"/>
              </w:rPr>
              <w:t>India</w:t>
            </w:r>
          </w:p>
          <w:p w14:paraId="3C2939C5" w14:textId="77777777" w:rsidR="00C72191" w:rsidRPr="00AD2B60" w:rsidRDefault="00C72191" w:rsidP="00192B09">
            <w:pPr>
              <w:rPr>
                <w:rFonts w:ascii="Arial" w:hAnsi="Arial" w:cs="Arial"/>
                <w:sz w:val="16"/>
                <w:szCs w:val="16"/>
              </w:rPr>
            </w:pPr>
          </w:p>
          <w:p w14:paraId="149A0606" w14:textId="77777777" w:rsidR="00C72191" w:rsidRPr="00AD2B60" w:rsidRDefault="00C72191" w:rsidP="00192B09">
            <w:pPr>
              <w:rPr>
                <w:rFonts w:ascii="Arial" w:hAnsi="Arial" w:cs="Arial"/>
                <w:sz w:val="16"/>
                <w:szCs w:val="16"/>
              </w:rPr>
            </w:pPr>
            <w:r w:rsidRPr="00AD2B60">
              <w:rPr>
                <w:rFonts w:ascii="Arial" w:hAnsi="Arial" w:cs="Arial"/>
                <w:sz w:val="16"/>
                <w:szCs w:val="16"/>
              </w:rPr>
              <w:t>11490</w:t>
            </w:r>
          </w:p>
        </w:tc>
        <w:tc>
          <w:tcPr>
            <w:tcW w:w="567" w:type="pct"/>
            <w:vAlign w:val="center"/>
          </w:tcPr>
          <w:p w14:paraId="73E5C448" w14:textId="77777777" w:rsidR="00C72191" w:rsidRPr="00AD2B60" w:rsidRDefault="00C72191" w:rsidP="00192B09">
            <w:pPr>
              <w:rPr>
                <w:rFonts w:ascii="Arial" w:hAnsi="Arial" w:cs="Arial"/>
                <w:sz w:val="16"/>
                <w:szCs w:val="16"/>
              </w:rPr>
            </w:pPr>
            <w:r w:rsidRPr="00AD2B60">
              <w:rPr>
                <w:rFonts w:ascii="Arial" w:hAnsi="Arial" w:cs="Arial"/>
                <w:sz w:val="16"/>
                <w:szCs w:val="16"/>
              </w:rPr>
              <w:t>FSW.</w:t>
            </w:r>
          </w:p>
        </w:tc>
        <w:tc>
          <w:tcPr>
            <w:tcW w:w="370" w:type="pct"/>
            <w:vAlign w:val="center"/>
          </w:tcPr>
          <w:p w14:paraId="50A7EF86"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centers.</w:t>
            </w:r>
          </w:p>
        </w:tc>
        <w:tc>
          <w:tcPr>
            <w:tcW w:w="1290" w:type="pct"/>
            <w:vAlign w:val="center"/>
          </w:tcPr>
          <w:p w14:paraId="559CBAC6" w14:textId="77777777" w:rsidR="00C72191" w:rsidRPr="00AD2B60" w:rsidRDefault="00C72191" w:rsidP="00192B09">
            <w:pPr>
              <w:rPr>
                <w:rFonts w:ascii="Arial" w:hAnsi="Arial" w:cs="Arial"/>
                <w:sz w:val="16"/>
                <w:szCs w:val="16"/>
              </w:rPr>
            </w:pPr>
            <w:r w:rsidRPr="00AD2B60">
              <w:rPr>
                <w:rFonts w:ascii="Arial" w:hAnsi="Arial" w:cs="Arial"/>
                <w:sz w:val="16"/>
                <w:szCs w:val="16"/>
              </w:rPr>
              <w:t>The multi-layered violence intervention within broader HIV prevention targeted:</w:t>
            </w:r>
          </w:p>
          <w:p w14:paraId="78B628A0" w14:textId="77777777" w:rsidR="00C72191" w:rsidRPr="00AD2B60" w:rsidRDefault="00C72191" w:rsidP="00192B09">
            <w:pPr>
              <w:rPr>
                <w:rFonts w:ascii="Arial" w:hAnsi="Arial" w:cs="Arial"/>
                <w:sz w:val="16"/>
                <w:szCs w:val="16"/>
              </w:rPr>
            </w:pPr>
            <w:r w:rsidRPr="00AD2B60">
              <w:rPr>
                <w:rFonts w:ascii="Arial" w:hAnsi="Arial" w:cs="Arial"/>
                <w:sz w:val="16"/>
                <w:szCs w:val="16"/>
              </w:rPr>
              <w:t>Policy makers: establishing HIV/AIDS committees.</w:t>
            </w:r>
          </w:p>
          <w:p w14:paraId="7F417523" w14:textId="77777777" w:rsidR="00C72191" w:rsidRPr="00AD2B60" w:rsidRDefault="00C72191" w:rsidP="00192B09">
            <w:pPr>
              <w:rPr>
                <w:rFonts w:ascii="Arial" w:hAnsi="Arial" w:cs="Arial"/>
                <w:sz w:val="16"/>
                <w:szCs w:val="16"/>
              </w:rPr>
            </w:pPr>
            <w:r w:rsidRPr="00AD2B60">
              <w:rPr>
                <w:rFonts w:ascii="Arial" w:hAnsi="Arial" w:cs="Arial"/>
                <w:sz w:val="16"/>
                <w:szCs w:val="16"/>
              </w:rPr>
              <w:t>Secondary stakeholders (police, lawyers, media): statewide training of 12,000 police officers and 2,000 journalists, providing legal literacy, and prosecuting violence perpetrators.</w:t>
            </w:r>
          </w:p>
          <w:p w14:paraId="0D37B907" w14:textId="77777777" w:rsidR="00C72191" w:rsidRPr="00AD2B60" w:rsidRDefault="00C72191" w:rsidP="00192B09">
            <w:pPr>
              <w:rPr>
                <w:rFonts w:ascii="Arial" w:hAnsi="Arial" w:cs="Arial"/>
                <w:sz w:val="16"/>
                <w:szCs w:val="16"/>
              </w:rPr>
            </w:pPr>
            <w:r w:rsidRPr="00AD2B60">
              <w:rPr>
                <w:rFonts w:ascii="Arial" w:hAnsi="Arial" w:cs="Arial"/>
                <w:sz w:val="16"/>
                <w:szCs w:val="16"/>
              </w:rPr>
              <w:t>Primary stakeholders (FSWs): community mobilization.</w:t>
            </w:r>
          </w:p>
        </w:tc>
        <w:tc>
          <w:tcPr>
            <w:tcW w:w="426" w:type="pct"/>
            <w:vAlign w:val="center"/>
          </w:tcPr>
          <w:p w14:paraId="2DC1F804" w14:textId="77777777" w:rsidR="00C72191" w:rsidRPr="00AD2B60" w:rsidRDefault="00C72191" w:rsidP="00192B09">
            <w:pPr>
              <w:rPr>
                <w:rFonts w:ascii="Arial" w:hAnsi="Arial" w:cs="Arial"/>
                <w:sz w:val="16"/>
                <w:szCs w:val="16"/>
              </w:rPr>
            </w:pPr>
            <w:r w:rsidRPr="00AD2B60">
              <w:rPr>
                <w:rFonts w:ascii="Arial" w:hAnsi="Arial" w:cs="Arial"/>
                <w:sz w:val="16"/>
                <w:szCs w:val="16"/>
              </w:rPr>
              <w:t>Comparison with data taken three years earlier.</w:t>
            </w:r>
          </w:p>
        </w:tc>
        <w:tc>
          <w:tcPr>
            <w:tcW w:w="1490" w:type="pct"/>
            <w:vAlign w:val="center"/>
          </w:tcPr>
          <w:p w14:paraId="05548D52" w14:textId="77777777" w:rsidR="00C72191" w:rsidRPr="00AD2B60" w:rsidRDefault="00C72191" w:rsidP="00192B09">
            <w:pPr>
              <w:rPr>
                <w:rFonts w:ascii="Arial" w:hAnsi="Arial" w:cs="Arial"/>
                <w:sz w:val="16"/>
                <w:szCs w:val="16"/>
              </w:rPr>
            </w:pPr>
            <w:r w:rsidRPr="00AD2B60">
              <w:rPr>
                <w:rFonts w:ascii="Arial" w:hAnsi="Arial" w:cs="Arial"/>
                <w:sz w:val="16"/>
                <w:szCs w:val="16"/>
              </w:rPr>
              <w:t>FSWs who reported violence in the past year were less likely to use condoms with clients (AOR 0.4, 95% CI 0.3-0.5), access HIV intervention programs (AOR 0.7, 95% CI 0.4-1.0), and visit the sexual health clinic (AOR 0.7, 95% CI 0.6-1.0). They were more likely to be infected with gonorrhea (AOR 1.9, 95% CI 1.1-3.3). Follow-up showed a reduction in violence reported by FSWs (crude OR 0.5, 95% CI 0.4-0.5).</w:t>
            </w:r>
          </w:p>
        </w:tc>
      </w:tr>
      <w:tr w:rsidR="00C72191" w:rsidRPr="00AD2B60" w14:paraId="032F4093" w14:textId="77777777" w:rsidTr="00192B09">
        <w:trPr>
          <w:cantSplit/>
          <w:trHeight w:val="2251"/>
          <w:jc w:val="center"/>
        </w:trPr>
        <w:tc>
          <w:tcPr>
            <w:tcW w:w="386" w:type="pct"/>
            <w:vAlign w:val="center"/>
          </w:tcPr>
          <w:p w14:paraId="756E74CE" w14:textId="77777777" w:rsidR="00C72191" w:rsidRPr="00AD2B60" w:rsidRDefault="00C72191" w:rsidP="00192B09">
            <w:pPr>
              <w:rPr>
                <w:rFonts w:ascii="Arial" w:hAnsi="Arial" w:cs="Arial"/>
                <w:sz w:val="16"/>
                <w:szCs w:val="16"/>
              </w:rPr>
            </w:pPr>
            <w:r w:rsidRPr="00AD2B60">
              <w:rPr>
                <w:rFonts w:ascii="Arial" w:hAnsi="Arial" w:cs="Arial"/>
                <w:sz w:val="16"/>
                <w:szCs w:val="16"/>
              </w:rPr>
              <w:t>Boisvert et al. (2022)</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{"citationID":"oGTdGMn8","properties":{"formattedCitation":"\\super 42\\nosupersub{}","plainCitation":"42","noteIndex":0},"citationItems":[{"id":1018,"uris":["http://zotero.org/users/1379219/items/NMWA5ZMM"],"itemData":{"id":1018,"type":"article-journal","abstract":"In Benin, the burden of HIV is disproportionately high among female sex workers (FSWs). HIV testing and knowledge of status are starting points for HIV treatment and prevention interventions. Despite the importance given to testing services in HIV control, its uptake among FSWs remains suboptimal in Benin. HIV self-testing (HIVST) may be useful for increasing testing rates in FSWs.","container-title":"BMC Public Health","DOI":"10.1186/s12889-022-12917-3","ISSN":"1471-2458","issue":"1","journalAbbreviation":"BMC Public Health","page":"589","source":"BioMed Central","title":"HIV self-testing implementation, distribution and use among female sex workers in Cotonou, Benin: a qualitative evaluation of acceptability and feasibility","title-short":"HIV self-testing implementation, distribution and use among female sex workers in Cotonou, Benin","volume":"22","author":[{"family":"Boisvert Moreau","given":"Marianne"},{"family":"Kintin","given":"Frédéric D."},{"family":"Atchekpe","given":"Septime"},{"family":"Batona","given":"Georges"},{"family":"Béhanzin","given":"Luc"},{"family":"Guédou","given":"Fernand A."},{"family":"Gagnon","given":"Marie-Pierre"},{"family":"Alary","given":"Michel"}],"issued":{"date-parts":[["2022",3,26]]}}}],"schema":"https://github.com/citation-style-language/schema/raw/master/csl-citation.json"}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42</w:t>
            </w:r>
            <w:r w:rsidRPr="00AD2B60">
              <w:rPr>
                <w:rFonts w:asciiTheme="minorHAnsi" w:hAnsiTheme="minorHAnsi" w:cstheme="minorHAnsi"/>
                <w:sz w:val="16"/>
                <w:szCs w:val="16"/>
              </w:rPr>
              <w:fldChar w:fldCharType="end"/>
            </w:r>
          </w:p>
        </w:tc>
        <w:tc>
          <w:tcPr>
            <w:tcW w:w="471" w:type="pct"/>
            <w:vAlign w:val="center"/>
          </w:tcPr>
          <w:p w14:paraId="2984018B" w14:textId="77777777" w:rsidR="00C72191" w:rsidRPr="00AD2B60" w:rsidRDefault="00C72191" w:rsidP="00192B09">
            <w:pPr>
              <w:rPr>
                <w:rFonts w:ascii="Arial" w:hAnsi="Arial" w:cs="Arial"/>
                <w:sz w:val="16"/>
                <w:szCs w:val="16"/>
              </w:rPr>
            </w:pPr>
            <w:r w:rsidRPr="00AD2B60">
              <w:rPr>
                <w:rFonts w:ascii="Arial" w:hAnsi="Arial" w:cs="Arial"/>
                <w:sz w:val="16"/>
                <w:szCs w:val="16"/>
              </w:rPr>
              <w:t>Benin</w:t>
            </w:r>
          </w:p>
          <w:p w14:paraId="483BEAF7" w14:textId="77777777" w:rsidR="00C72191" w:rsidRPr="00AD2B60" w:rsidRDefault="00C72191" w:rsidP="00192B09">
            <w:pPr>
              <w:rPr>
                <w:rFonts w:ascii="Arial" w:hAnsi="Arial" w:cs="Arial"/>
                <w:sz w:val="16"/>
                <w:szCs w:val="16"/>
              </w:rPr>
            </w:pPr>
          </w:p>
          <w:p w14:paraId="3DB1EBC9" w14:textId="77777777" w:rsidR="00C72191" w:rsidRPr="00AD2B60" w:rsidRDefault="00C72191" w:rsidP="00192B09">
            <w:pPr>
              <w:rPr>
                <w:rFonts w:ascii="Arial" w:hAnsi="Arial" w:cs="Arial"/>
                <w:sz w:val="16"/>
                <w:szCs w:val="16"/>
              </w:rPr>
            </w:pPr>
            <w:r w:rsidRPr="00AD2B60">
              <w:rPr>
                <w:rFonts w:ascii="Arial" w:hAnsi="Arial" w:cs="Arial"/>
                <w:sz w:val="16"/>
                <w:szCs w:val="16"/>
              </w:rPr>
              <w:t>29</w:t>
            </w:r>
          </w:p>
        </w:tc>
        <w:tc>
          <w:tcPr>
            <w:tcW w:w="567" w:type="pct"/>
            <w:vAlign w:val="center"/>
          </w:tcPr>
          <w:p w14:paraId="6DAF40A1" w14:textId="77777777" w:rsidR="00C72191" w:rsidRPr="00AD2B60" w:rsidRDefault="00C72191" w:rsidP="00192B09">
            <w:pPr>
              <w:rPr>
                <w:rFonts w:ascii="Arial" w:hAnsi="Arial" w:cs="Arial"/>
                <w:sz w:val="16"/>
                <w:szCs w:val="16"/>
              </w:rPr>
            </w:pPr>
            <w:r w:rsidRPr="00AD2B60">
              <w:rPr>
                <w:rFonts w:ascii="Arial" w:hAnsi="Arial" w:cs="Arial"/>
                <w:sz w:val="16"/>
                <w:szCs w:val="16"/>
              </w:rPr>
              <w:t>FSW 18 and over.</w:t>
            </w:r>
          </w:p>
        </w:tc>
        <w:tc>
          <w:tcPr>
            <w:tcW w:w="370" w:type="pct"/>
            <w:vAlign w:val="center"/>
          </w:tcPr>
          <w:p w14:paraId="774F4CAF" w14:textId="77777777" w:rsidR="00C72191" w:rsidRPr="00AD2B60" w:rsidRDefault="00C72191" w:rsidP="00192B09">
            <w:pPr>
              <w:rPr>
                <w:rFonts w:ascii="Arial" w:hAnsi="Arial" w:cs="Arial"/>
                <w:sz w:val="16"/>
                <w:szCs w:val="16"/>
              </w:rPr>
            </w:pPr>
            <w:r w:rsidRPr="00AD2B60">
              <w:rPr>
                <w:rFonts w:ascii="Arial" w:hAnsi="Arial" w:cs="Arial"/>
                <w:sz w:val="16"/>
                <w:szCs w:val="16"/>
              </w:rPr>
              <w:t>Community-based and facility-based.</w:t>
            </w:r>
          </w:p>
        </w:tc>
        <w:tc>
          <w:tcPr>
            <w:tcW w:w="1290" w:type="pct"/>
            <w:vAlign w:val="center"/>
          </w:tcPr>
          <w:p w14:paraId="383DBA81" w14:textId="77777777" w:rsidR="00C72191" w:rsidRPr="00AD2B60" w:rsidRDefault="00C72191" w:rsidP="00192B09">
            <w:pPr>
              <w:rPr>
                <w:rFonts w:ascii="Arial" w:hAnsi="Arial" w:cs="Arial"/>
                <w:sz w:val="16"/>
                <w:szCs w:val="16"/>
              </w:rPr>
            </w:pPr>
            <w:r w:rsidRPr="00AD2B60">
              <w:rPr>
                <w:rFonts w:ascii="Arial" w:hAnsi="Arial" w:cs="Arial"/>
                <w:sz w:val="16"/>
                <w:szCs w:val="16"/>
              </w:rPr>
              <w:t>Pilot study of the distribution of saliva</w:t>
            </w:r>
            <w:r w:rsidRPr="00AD2B60">
              <w:rPr>
                <w:rFonts w:ascii="Arial" w:hAnsi="Arial" w:cs="Arial"/>
                <w:sz w:val="16"/>
                <w:szCs w:val="16"/>
              </w:rPr>
              <w:noBreakHyphen/>
              <w:t>based HIV self</w:t>
            </w:r>
            <w:r w:rsidRPr="00AD2B60">
              <w:rPr>
                <w:rFonts w:ascii="Arial" w:hAnsi="Arial" w:cs="Arial"/>
                <w:sz w:val="16"/>
                <w:szCs w:val="16"/>
              </w:rPr>
              <w:noBreakHyphen/>
              <w:t>testing (HIVST) among FSWs. The HIVST promotion and distribution model included three complementary strategies: community</w:t>
            </w:r>
            <w:r w:rsidRPr="00AD2B60">
              <w:rPr>
                <w:rFonts w:ascii="Arial" w:hAnsi="Arial" w:cs="Arial"/>
                <w:sz w:val="16"/>
                <w:szCs w:val="16"/>
              </w:rPr>
              <w:noBreakHyphen/>
              <w:t>based, facility</w:t>
            </w:r>
            <w:r w:rsidRPr="00AD2B60">
              <w:rPr>
                <w:rFonts w:ascii="Arial" w:hAnsi="Arial" w:cs="Arial"/>
                <w:sz w:val="16"/>
                <w:szCs w:val="16"/>
              </w:rPr>
              <w:noBreakHyphen/>
              <w:t>based and secondary distribution.</w:t>
            </w:r>
          </w:p>
        </w:tc>
        <w:tc>
          <w:tcPr>
            <w:tcW w:w="426" w:type="pct"/>
            <w:vAlign w:val="center"/>
          </w:tcPr>
          <w:p w14:paraId="3328B41E"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3B92A0CA" w14:textId="77777777" w:rsidR="00C72191" w:rsidRPr="00AD2B60" w:rsidRDefault="00C72191" w:rsidP="00192B09">
            <w:pPr>
              <w:rPr>
                <w:rFonts w:ascii="Arial" w:hAnsi="Arial" w:cs="Arial"/>
                <w:sz w:val="16"/>
                <w:szCs w:val="16"/>
              </w:rPr>
            </w:pPr>
            <w:r w:rsidRPr="00AD2B60">
              <w:rPr>
                <w:rFonts w:ascii="Arial" w:hAnsi="Arial" w:cs="Arial"/>
                <w:sz w:val="16"/>
                <w:szCs w:val="16"/>
              </w:rPr>
              <w:t>Only 6.9% were aware of HIV self-testing (HIVST), but all expressed interest in using it if available. Barriers included fear of unreliability, lack of psychological support and medical follow-up, and concern about result concealment. FSWs’ boyfriends and clients also showed interest, and some FSWs used HIVST for serosorting or to inform condom use decisions.</w:t>
            </w:r>
          </w:p>
        </w:tc>
      </w:tr>
      <w:tr w:rsidR="00C72191" w:rsidRPr="00AD2B60" w14:paraId="1247F5B9" w14:textId="77777777" w:rsidTr="00192B09">
        <w:trPr>
          <w:cantSplit/>
          <w:jc w:val="center"/>
        </w:trPr>
        <w:tc>
          <w:tcPr>
            <w:tcW w:w="386" w:type="pct"/>
            <w:vAlign w:val="center"/>
          </w:tcPr>
          <w:p w14:paraId="46CCFD0D"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Brody et al.(2022)</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{"citationID":"MbwAN6eA","properties":{"formattedCitation":"\\super 43\\nosupersub{}","plainCitation":"43","noteIndex":0},"citationItems":[{"id":1031,"uris":["http://zotero.org/users/1379219/items/VPSXXVFJ"],"itemData":{"id":1031,"type":"article-journal","abstract":"BACKGROUND: Female entertainment workers (FEWs) in Cambodia experience a greater prevalence of human immunodeficiency virus (HIV), other sexually transmitted infections (STIs), psychological distress, substance abuse, and gender-based violence (GBV) than the general female population. Reaching FEWs with health education and linking them to services has been difficult because of their hidden and stigmatized status.\nOBJECTIVE: This study evaluated the efficacy of the Mobile Link intervention in improving FEWs' health by engaging and connecting them to existing HIV, sexual and reproductive health, and GBV services.\nMETHODS: A randomized controlled trial was conducted between March 2018 and June 2019 in the capital city and 3 other provinces in Cambodia. FEWs in the intervention arm received automated twice-weekly Short Message Service messages and voice messages with health information and direct links to outreach workers. The control group received the existing standard care, including free HIV and STI counseling and testing and a toll-free helpline staffed by trained counselors. We used a stratified random sampling method to select participants from 5 study sites in the 4 selected provinces. Initially, we randomly selected 600 participants from a list of 4000 FEWs by age group (18-24 and 25-30 years) and study site using a random number generator and enrolled them in person. The primary outcome measures included self-reported HIV and STI testing, condom use, and contraceptive use assessed through a face-to-face structured interview. We also measured secondary outcomes, including contact with outreach workers, escorted referral service use, forced drinking, and GBV experiences. Intervention effects were modeled using repeated measures, multilevel mixed-effects logistic regression.\nRESULTS: A total of 1118 participants were recruited and enrolled in the study. We included 218 FEWs in the intervention arm and 170 FEWs in the control arm in the per protocol analyses after removing 730 dropouts. Evidence of positive intervention effects was detected for the following secondary outcomes: contacting an outreach worker (at 30 weeks: adjusted odds ratio [AOR] 3.29, 95% CI 1.28-8.47), receiving an escorted referral (at 30 weeks: AOR 2.86, 95% CI 1.09-7.52; at 60 weeks: AOR 8.15, 95% CI 1.65-40.25), and never being forced to drink at work (at 60 weeks: AOR 3.95, 95% CI 1.62-9.60). Over time, no significant differences between intervention and control groups were observed for any primary outcomes in the fully adjusted models.\nCONCLUSIONS: The Mobile Link intervention effectively connected FEWs with outreach workers and escorted referrals but did not show an effect on primary outcomes. Reduced forced drinking at work was also significantly more extensive in the intervention group than in the control group. Longer-term messaging may increase access to services and impact FEWs' health outcomes in the future.\nTRIAL REGISTRATION: Clinicaltrials.gov NCT03117842; https://clinicaltrials.gov/ct2/show/NCT03117842.\nINTERNATIONAL REGISTERED REPORT IDENTIFIER (IRRID): RR2-10.1186/s13063-018-2614-7.","container-title":"Journal of Medical Internet Research","DOI":"10.2196/27696","ISSN":"1438-8871","issue":"1","journalAbbreviation":"J Med Internet Res","language":"eng","note":"PMID: 34982716\nPMCID: PMC8767471","page":"e27696","source":"PubMed","title":"A Mobile Intervention to Link Young Female Entertainment Workers in Cambodia to Health and Gender-Based Violence Services: Randomized Controlled Trial","title-short":"A Mobile Intervention to Link Young Female Entertainment Workers in Cambodia to Health and Gender-Based Violence Services","volume":"24","author":[{"family":"Brody","given":"Carinne"},{"family":"Chhoun","given":"Pheak"},{"family":"Tuot","given":"Sovannary"},{"family":"Fehrenbacher","given":"Anne E."},{"family":"Moran","given":"Alexander"},{"family":"Swendeman","given":"Dallas"},{"family":"Yi","given":"Siyan"}],"issued":{"date-parts":[["2022",1,4]]}}}],"schema":"https://github.com/citation-style-language/schema/raw/master/csl-citation.json"}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43</w:t>
            </w:r>
            <w:r w:rsidRPr="00AD2B60">
              <w:rPr>
                <w:rFonts w:asciiTheme="minorHAnsi" w:hAnsiTheme="minorHAnsi" w:cstheme="minorHAnsi"/>
                <w:sz w:val="16"/>
                <w:szCs w:val="16"/>
              </w:rPr>
              <w:fldChar w:fldCharType="end"/>
            </w:r>
          </w:p>
        </w:tc>
        <w:tc>
          <w:tcPr>
            <w:tcW w:w="471" w:type="pct"/>
            <w:vAlign w:val="center"/>
          </w:tcPr>
          <w:p w14:paraId="4114B7AA" w14:textId="77777777" w:rsidR="00C72191" w:rsidRPr="00AD2B60" w:rsidRDefault="00C72191" w:rsidP="00192B09">
            <w:pPr>
              <w:rPr>
                <w:rFonts w:ascii="Arial" w:hAnsi="Arial" w:cs="Arial"/>
                <w:sz w:val="16"/>
                <w:szCs w:val="16"/>
              </w:rPr>
            </w:pPr>
            <w:r w:rsidRPr="00AD2B60">
              <w:rPr>
                <w:rFonts w:ascii="Arial" w:hAnsi="Arial" w:cs="Arial"/>
                <w:sz w:val="16"/>
                <w:szCs w:val="16"/>
              </w:rPr>
              <w:t>Cambodia</w:t>
            </w:r>
          </w:p>
          <w:p w14:paraId="52D6BA5E" w14:textId="77777777" w:rsidR="00C72191" w:rsidRPr="00AD2B60" w:rsidRDefault="00C72191" w:rsidP="00192B09">
            <w:pPr>
              <w:rPr>
                <w:rFonts w:ascii="Arial" w:hAnsi="Arial" w:cs="Arial"/>
                <w:sz w:val="16"/>
                <w:szCs w:val="16"/>
              </w:rPr>
            </w:pPr>
          </w:p>
          <w:p w14:paraId="12B8782D" w14:textId="77777777" w:rsidR="00C72191" w:rsidRPr="00AD2B60" w:rsidRDefault="00C72191" w:rsidP="00192B09">
            <w:pPr>
              <w:rPr>
                <w:rFonts w:ascii="Arial" w:hAnsi="Arial" w:cs="Arial"/>
                <w:sz w:val="16"/>
                <w:szCs w:val="16"/>
              </w:rPr>
            </w:pPr>
            <w:r w:rsidRPr="00AD2B60">
              <w:rPr>
                <w:rFonts w:ascii="Arial" w:hAnsi="Arial" w:cs="Arial"/>
                <w:sz w:val="16"/>
                <w:szCs w:val="16"/>
              </w:rPr>
              <w:t>Intervention: 435</w:t>
            </w:r>
            <w:r w:rsidRPr="00AD2B60">
              <w:rPr>
                <w:rFonts w:ascii="Arial" w:hAnsi="Arial" w:cs="Arial"/>
                <w:sz w:val="16"/>
                <w:szCs w:val="16"/>
              </w:rPr>
              <w:br/>
              <w:t>Control: 683</w:t>
            </w:r>
          </w:p>
        </w:tc>
        <w:tc>
          <w:tcPr>
            <w:tcW w:w="567" w:type="pct"/>
            <w:vAlign w:val="center"/>
          </w:tcPr>
          <w:p w14:paraId="49E70986" w14:textId="77777777" w:rsidR="00C72191" w:rsidRPr="00AD2B60" w:rsidRDefault="00C72191" w:rsidP="00192B09">
            <w:pPr>
              <w:rPr>
                <w:rFonts w:ascii="Arial" w:hAnsi="Arial" w:cs="Arial"/>
                <w:sz w:val="16"/>
                <w:szCs w:val="16"/>
              </w:rPr>
            </w:pPr>
            <w:r w:rsidRPr="00AD2B60">
              <w:rPr>
                <w:rFonts w:ascii="Arial" w:hAnsi="Arial" w:cs="Arial"/>
                <w:sz w:val="16"/>
                <w:szCs w:val="16"/>
              </w:rPr>
              <w:t>FSW aged 18 to 30 who had sex in the past 3 months, possessed a mobile phone, knew how to retrieve voice messages and SMS, and were willing to receive two messages per week for one year.</w:t>
            </w:r>
          </w:p>
        </w:tc>
        <w:tc>
          <w:tcPr>
            <w:tcW w:w="370" w:type="pct"/>
            <w:vAlign w:val="center"/>
          </w:tcPr>
          <w:p w14:paraId="3F6535D8" w14:textId="77777777" w:rsidR="00C72191" w:rsidRPr="00AD2B60" w:rsidRDefault="00C72191" w:rsidP="00192B09">
            <w:pPr>
              <w:rPr>
                <w:rFonts w:ascii="Arial" w:hAnsi="Arial" w:cs="Arial"/>
                <w:sz w:val="16"/>
                <w:szCs w:val="16"/>
              </w:rPr>
            </w:pPr>
            <w:r w:rsidRPr="00AD2B60">
              <w:rPr>
                <w:rFonts w:ascii="Arial" w:hAnsi="Arial" w:cs="Arial"/>
                <w:sz w:val="16"/>
                <w:szCs w:val="16"/>
              </w:rPr>
              <w:t>Automated short Message Service (SMS) and voice messages (VMs) through cellphone.</w:t>
            </w:r>
          </w:p>
        </w:tc>
        <w:tc>
          <w:tcPr>
            <w:tcW w:w="1290" w:type="pct"/>
            <w:vAlign w:val="center"/>
          </w:tcPr>
          <w:p w14:paraId="28CF62FB" w14:textId="77777777" w:rsidR="00C72191" w:rsidRPr="00AD2B60" w:rsidRDefault="00C72191" w:rsidP="00192B09">
            <w:pPr>
              <w:rPr>
                <w:rFonts w:ascii="Arial" w:hAnsi="Arial" w:cs="Arial"/>
                <w:sz w:val="16"/>
                <w:szCs w:val="16"/>
              </w:rPr>
            </w:pPr>
            <w:r w:rsidRPr="00AD2B60">
              <w:rPr>
                <w:rFonts w:ascii="Arial" w:hAnsi="Arial" w:cs="Arial"/>
                <w:sz w:val="16"/>
                <w:szCs w:val="16"/>
              </w:rPr>
              <w:t>The intervention was created through participatory research involving FSWs, outreach workers, and local stakeholders. It included messages on cervical cancer, contraception, HIV/STI prevention, pregnancy, alcohol use at work, hygiene, and gender-based violence, delivered twice weekly for 60 weeks, with an option to connect with outreach workers.</w:t>
            </w:r>
          </w:p>
        </w:tc>
        <w:tc>
          <w:tcPr>
            <w:tcW w:w="426" w:type="pct"/>
            <w:vAlign w:val="center"/>
          </w:tcPr>
          <w:p w14:paraId="371503E9" w14:textId="77777777" w:rsidR="00C72191" w:rsidRPr="00AD2B60" w:rsidRDefault="00C72191" w:rsidP="00192B09">
            <w:pPr>
              <w:rPr>
                <w:rFonts w:ascii="Arial" w:hAnsi="Arial" w:cs="Arial"/>
                <w:sz w:val="16"/>
                <w:szCs w:val="16"/>
              </w:rPr>
            </w:pPr>
            <w:r w:rsidRPr="00AD2B60">
              <w:rPr>
                <w:rFonts w:ascii="Arial" w:hAnsi="Arial" w:cs="Arial"/>
                <w:sz w:val="16"/>
                <w:szCs w:val="16"/>
              </w:rPr>
              <w:t>The control group received standard care including face-to-face counseling, free HIV/STI testing, condoms, and access to hotline services but did not receive the SMS/VM.</w:t>
            </w:r>
          </w:p>
        </w:tc>
        <w:tc>
          <w:tcPr>
            <w:tcW w:w="1490" w:type="pct"/>
            <w:vAlign w:val="center"/>
          </w:tcPr>
          <w:p w14:paraId="3C43DB7C" w14:textId="77777777" w:rsidR="00C72191" w:rsidRPr="00AD2B60" w:rsidRDefault="00C72191" w:rsidP="00192B09">
            <w:pPr>
              <w:rPr>
                <w:rFonts w:ascii="Arial" w:hAnsi="Arial" w:cs="Arial"/>
                <w:sz w:val="16"/>
                <w:szCs w:val="16"/>
              </w:rPr>
            </w:pPr>
            <w:r w:rsidRPr="00AD2B60">
              <w:rPr>
                <w:rFonts w:ascii="Arial" w:hAnsi="Arial" w:cs="Arial"/>
                <w:sz w:val="16"/>
                <w:szCs w:val="16"/>
              </w:rPr>
              <w:t>Positive intervention effects were found for secondary outcomes: contacting an outreach worker at 30 weeks (AOR 3.29, 95% CI 1.28-8.47), receiving an escorted referral at 30 weeks (AOR 2.86, 95% CI 1.09-7.52) and 60 weeks (AOR 8.15, 95% CI 1.65-40.25), and never being forced to drink at work at 60 weeks (AOR 3.95, 95% CI 1.62-9.60). No significant differences were observed between intervention and control groups for primary outcomes over time.</w:t>
            </w:r>
          </w:p>
        </w:tc>
      </w:tr>
      <w:tr w:rsidR="00C72191" w:rsidRPr="00AD2B60" w14:paraId="15E08617" w14:textId="77777777" w:rsidTr="00192B09">
        <w:trPr>
          <w:cantSplit/>
          <w:jc w:val="center"/>
        </w:trPr>
        <w:tc>
          <w:tcPr>
            <w:tcW w:w="386" w:type="pct"/>
            <w:vAlign w:val="center"/>
          </w:tcPr>
          <w:p w14:paraId="6DAA6D3B" w14:textId="77777777" w:rsidR="00C72191" w:rsidRPr="00AD2B60" w:rsidRDefault="00C72191" w:rsidP="00192B09">
            <w:pPr>
              <w:rPr>
                <w:rFonts w:ascii="Arial" w:hAnsi="Arial" w:cs="Arial"/>
                <w:sz w:val="16"/>
                <w:szCs w:val="16"/>
              </w:rPr>
            </w:pPr>
            <w:r w:rsidRPr="00AD2B60">
              <w:rPr>
                <w:rFonts w:ascii="Arial" w:hAnsi="Arial" w:cs="Arial"/>
                <w:sz w:val="16"/>
                <w:szCs w:val="16"/>
              </w:rPr>
              <w:t>Chakrapani et al. (2023)</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{"citationID":"MKKTGv3r","properties":{"formattedCitation":"\\super 44\\nosupersub{}","plainCitation":"44","noteIndex":0},"citationItems":[{"id":1038,"uris":["http://zotero.org/users/1379219/items/EVDC4KG2"],"itemData":{"id":1038,"type":"article-journal","abstract":"Transgender women (TGW) in India, especially those who engage in sex work, are at high risk for HIV. Guided by the information-motivation-behavioral skills model and qualitative formative research findings, Sakhi (girlfriend), a 3-week smartphone-based pilot intervention consisting of short videos (one/week) and text messages (two/week), was implemented using a one-group pre- and post-test design to test its efficacy in promoting condom use and HIV testing among TGW (n = 50) who engage in sex work in Chennai. Changes in outcomes were assessed by conducting multivariable analyses using generalized estimating equations. Participants’ mean age was 26 years, and the mean monthly income was INR 21700 (USD 292). About one-third completed college, and 96% were HIV-negative. Significant changes in the desired direction were observed in the primary outcomes: condom use – decrease in the engagement of condomless anal sex with male partners (12% to 2%, p &lt; 0.05) and HIV testing – increase in intentions to undergo HIV testing every 6 months (34% to 86%, p &lt; 0.001); and in some of the secondary outcomes: decrease in alcohol use before sex, increase in intentions to use condoms consistently and increase in the well-being score. This study demonstrated the feasibility, acceptability, and preliminary efficacy of the Sakhi intervention and warrants a larger randomized trial among diverse subgroups in diverse settings.","container-title":"Venereology","DOI":"10.3390/venereology2010003","ISSN":"2674-0710","issue":"1","language":"en","license":"http://creativecommons.org/licenses/by/3.0/","note":"publisher: Multidisciplinary Digital Publishing Institute","page":"30-42","source":"www.mdpi.com","title":"A Smartphone-Based Pilot HIV Prevention Intervention (Sakhi) among Transgender Women Who Engage in Sex Work in India: Efficacy of a Pre- and Post-Test Quasi-Experimental Trial","title-short":"A Smartphone-Based Pilot HIV Prevention Intervention (Sakhi) among Transgender Women Who Engage in Sex Work in India","volume":"2","author":[{"family":"Chakrapani","given":"Venkatesan"},{"family":"Kumar","given":"Pushpesh"},{"family":"Kaur","given":"Jasvir"},{"family":"Shunmugam","given":"Murali"},{"family":"Mukherjee","given":"Debomita"}],"issued":{"date-parts":[["2023",3]]}}}],"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44</w:t>
            </w:r>
            <w:r w:rsidRPr="00AD2B60">
              <w:rPr>
                <w:rFonts w:asciiTheme="minorHAnsi" w:hAnsiTheme="minorHAnsi" w:cstheme="minorHAnsi"/>
                <w:sz w:val="16"/>
                <w:szCs w:val="16"/>
              </w:rPr>
              <w:fldChar w:fldCharType="end"/>
            </w:r>
          </w:p>
        </w:tc>
        <w:tc>
          <w:tcPr>
            <w:tcW w:w="471" w:type="pct"/>
            <w:vAlign w:val="center"/>
          </w:tcPr>
          <w:p w14:paraId="3E2D6506" w14:textId="77777777" w:rsidR="00C72191" w:rsidRPr="00AD2B60" w:rsidRDefault="00C72191" w:rsidP="00192B09">
            <w:pPr>
              <w:rPr>
                <w:rFonts w:ascii="Arial" w:hAnsi="Arial" w:cs="Arial"/>
                <w:sz w:val="16"/>
                <w:szCs w:val="16"/>
              </w:rPr>
            </w:pPr>
            <w:r w:rsidRPr="00AD2B60">
              <w:rPr>
                <w:rFonts w:ascii="Arial" w:hAnsi="Arial" w:cs="Arial"/>
                <w:sz w:val="16"/>
                <w:szCs w:val="16"/>
              </w:rPr>
              <w:t>India</w:t>
            </w:r>
          </w:p>
          <w:p w14:paraId="6E8962EE" w14:textId="77777777" w:rsidR="00C72191" w:rsidRPr="00AD2B60" w:rsidRDefault="00C72191" w:rsidP="00192B09">
            <w:pPr>
              <w:rPr>
                <w:rFonts w:ascii="Arial" w:hAnsi="Arial" w:cs="Arial"/>
                <w:sz w:val="16"/>
                <w:szCs w:val="16"/>
              </w:rPr>
            </w:pPr>
          </w:p>
          <w:p w14:paraId="27A536CE" w14:textId="77777777" w:rsidR="00C72191" w:rsidRPr="00AD2B60" w:rsidRDefault="00C72191" w:rsidP="00192B09">
            <w:pPr>
              <w:rPr>
                <w:rFonts w:ascii="Arial" w:hAnsi="Arial" w:cs="Arial"/>
                <w:sz w:val="16"/>
                <w:szCs w:val="16"/>
              </w:rPr>
            </w:pPr>
            <w:r w:rsidRPr="00AD2B60">
              <w:rPr>
                <w:rFonts w:ascii="Arial" w:hAnsi="Arial" w:cs="Arial"/>
                <w:sz w:val="16"/>
                <w:szCs w:val="16"/>
              </w:rPr>
              <w:t>50</w:t>
            </w:r>
          </w:p>
        </w:tc>
        <w:tc>
          <w:tcPr>
            <w:tcW w:w="567" w:type="pct"/>
            <w:vAlign w:val="center"/>
          </w:tcPr>
          <w:p w14:paraId="08343782" w14:textId="77777777" w:rsidR="00C72191" w:rsidRPr="00AD2B60" w:rsidRDefault="00C72191" w:rsidP="00192B09">
            <w:pPr>
              <w:rPr>
                <w:rFonts w:ascii="Arial" w:hAnsi="Arial" w:cs="Arial"/>
                <w:sz w:val="16"/>
                <w:szCs w:val="16"/>
              </w:rPr>
            </w:pPr>
            <w:r w:rsidRPr="00AD2B60">
              <w:rPr>
                <w:rFonts w:ascii="Arial" w:hAnsi="Arial" w:cs="Arial"/>
                <w:sz w:val="16"/>
                <w:szCs w:val="16"/>
              </w:rPr>
              <w:t>Transgender women or non-binary individuals aged 18 or older, engaged in sex work in the past 3 months, able to read and understand the local language, and had access to an Internet-enabled mobile phone.</w:t>
            </w:r>
          </w:p>
        </w:tc>
        <w:tc>
          <w:tcPr>
            <w:tcW w:w="370" w:type="pct"/>
            <w:vAlign w:val="center"/>
          </w:tcPr>
          <w:p w14:paraId="56423251" w14:textId="77777777" w:rsidR="00C72191" w:rsidRPr="00AD2B60" w:rsidRDefault="00C72191" w:rsidP="00192B09">
            <w:pPr>
              <w:rPr>
                <w:rFonts w:ascii="Arial" w:hAnsi="Arial" w:cs="Arial"/>
                <w:sz w:val="16"/>
                <w:szCs w:val="16"/>
              </w:rPr>
            </w:pPr>
            <w:r w:rsidRPr="00AD2B60">
              <w:rPr>
                <w:rFonts w:ascii="Arial" w:hAnsi="Arial" w:cs="Arial"/>
                <w:sz w:val="16"/>
                <w:szCs w:val="16"/>
              </w:rPr>
              <w:t>WhatsApp videos and messages</w:t>
            </w:r>
          </w:p>
        </w:tc>
        <w:tc>
          <w:tcPr>
            <w:tcW w:w="1290" w:type="pct"/>
            <w:vAlign w:val="center"/>
          </w:tcPr>
          <w:p w14:paraId="44914131" w14:textId="77777777" w:rsidR="00C72191" w:rsidRPr="00AD2B60" w:rsidRDefault="00C72191" w:rsidP="00192B09">
            <w:pPr>
              <w:rPr>
                <w:rFonts w:ascii="Arial" w:hAnsi="Arial" w:cs="Arial"/>
                <w:sz w:val="16"/>
                <w:szCs w:val="16"/>
              </w:rPr>
            </w:pPr>
            <w:r w:rsidRPr="00AD2B60">
              <w:rPr>
                <w:rFonts w:ascii="Arial" w:hAnsi="Arial" w:cs="Arial"/>
                <w:sz w:val="16"/>
                <w:szCs w:val="16"/>
              </w:rPr>
              <w:t>The intervention was developed using the information-motivation-behavioral skills (IMB) model, targeting specific deficits identified in formative research. It lasted three weeks and included 3 videos (one per week) and 6 messages (two per week) focused on HIV testing, condom use, and mental health.</w:t>
            </w:r>
          </w:p>
        </w:tc>
        <w:tc>
          <w:tcPr>
            <w:tcW w:w="426" w:type="pct"/>
            <w:vAlign w:val="center"/>
          </w:tcPr>
          <w:p w14:paraId="137EC0A2" w14:textId="77777777" w:rsidR="00C72191" w:rsidRPr="00AD2B60" w:rsidRDefault="00C72191" w:rsidP="00192B09">
            <w:pPr>
              <w:rPr>
                <w:rFonts w:ascii="Arial" w:hAnsi="Arial" w:cs="Arial"/>
                <w:sz w:val="16"/>
                <w:szCs w:val="16"/>
              </w:rPr>
            </w:pPr>
            <w:r w:rsidRPr="00AD2B60">
              <w:rPr>
                <w:rFonts w:ascii="Arial" w:hAnsi="Arial" w:cs="Arial"/>
                <w:sz w:val="16"/>
                <w:szCs w:val="16"/>
              </w:rPr>
              <w:t>Compared to baseline information.</w:t>
            </w:r>
          </w:p>
        </w:tc>
        <w:tc>
          <w:tcPr>
            <w:tcW w:w="1490" w:type="pct"/>
            <w:vAlign w:val="center"/>
          </w:tcPr>
          <w:p w14:paraId="00B0B370"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After the intervention, participants were less likely to engage in </w:t>
            </w:r>
            <w:proofErr w:type="spellStart"/>
            <w:r w:rsidRPr="00AD2B60">
              <w:rPr>
                <w:rFonts w:ascii="Arial" w:hAnsi="Arial" w:cs="Arial"/>
                <w:sz w:val="16"/>
                <w:szCs w:val="16"/>
              </w:rPr>
              <w:t>condomless</w:t>
            </w:r>
            <w:proofErr w:type="spellEnd"/>
            <w:r w:rsidRPr="00AD2B60">
              <w:rPr>
                <w:rFonts w:ascii="Arial" w:hAnsi="Arial" w:cs="Arial"/>
                <w:sz w:val="16"/>
                <w:szCs w:val="16"/>
              </w:rPr>
              <w:t xml:space="preserve"> anal sex and alcohol use before sex. They showed increased intentions for HIV testing every six months, consistent condom use, higher condom use self-efficacy, accurate knowledge of HIV testing frequency, and improved mental well-being. A one-unit increase in transgender identity stigma was linked to a 14-point decrease in well-being (b coefficient: 0.14, 95% CI 0.26-0.01).</w:t>
            </w:r>
          </w:p>
        </w:tc>
      </w:tr>
      <w:tr w:rsidR="00C72191" w:rsidRPr="00AD2B60" w14:paraId="082877D0" w14:textId="77777777" w:rsidTr="00192B09">
        <w:trPr>
          <w:cantSplit/>
          <w:jc w:val="center"/>
        </w:trPr>
        <w:tc>
          <w:tcPr>
            <w:tcW w:w="386" w:type="pct"/>
            <w:vAlign w:val="center"/>
          </w:tcPr>
          <w:p w14:paraId="6184CEE3" w14:textId="77777777" w:rsidR="00C72191" w:rsidRPr="00AD2B60" w:rsidRDefault="00C72191" w:rsidP="00192B09">
            <w:pPr>
              <w:rPr>
                <w:rFonts w:ascii="Arial" w:hAnsi="Arial" w:cs="Arial"/>
                <w:sz w:val="16"/>
                <w:szCs w:val="16"/>
              </w:rPr>
            </w:pPr>
            <w:r w:rsidRPr="00AD2B60">
              <w:rPr>
                <w:rFonts w:ascii="Arial" w:hAnsi="Arial" w:cs="Arial"/>
                <w:sz w:val="16"/>
                <w:szCs w:val="16"/>
              </w:rPr>
              <w:t>Cowan et al.(2018)</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{"citationID":"XfGjPVkA","properties":{"formattedCitation":"\\super 45\\nosupersub{}","plainCitation":"45","noteIndex":0},"citationItems":[{"id":1033,"uris":["http://zotero.org/users/1379219/items/C9E4BN25"],"itemData":{"id":1033,"type":"article-journal","abstract":"BACKGROUND: Strengthening engagement of female sex workers with health services is needed to eliminate HIV. We assessed the efficacy of a targeted combination intervention for female sex workers in Zimbabwe.\nMETHODS: We did a cluster-randomised trial from 2014 to 2016. Clusters were areas surrounding female sex worker clinics and were enrolled in matched pairs. Sites were randomly assigned (1:1) to receive usual care (free sexual-health services supported by peer educators, including HIV testing on demand, referral for antiretroviral therapy [ART], and health education) or an intervention that supported additional regular HIV testing, on-site initiation of ART, pre-exposure prophylaxis, adherence, and intensified community mobilisation. The primary outcome was the proportion of all female sex workers with HIV viral load 1000 copies per mL or greater, assessed through respondent-driven sampling surveys. We used an adapted cluster-summary approach to estimate risk differences. This trial is registered with Pan African Clinical Trials Registry, number PACTR201312000722390.\nRESULTS: We randomly assigned 14 clusters to usual care or the intervention (seven in each group). 3612 female sex workers attended clinics in the usual-care clusters and 4619 in the intervention clusters during the study. Half as many were tested (1151 vs 2606) and diagnosed as being HIV positive (546 vs 1052) in the usual-care clusters. The proportion of all female sex workers with viral loads of 1000 copies per mL or greater fell in both study groups (from 421 [30%] of 1363 to 279 [19%] of 1443 in the usual-care group and from 399 [30%] of 1303 to 240 [16%] of 1439 in the intervention group), but with a risk difference at the end of the assessment period of only -2·8% (95% CI -8·1 to 2·5, p=0·23). Among HIV-positive women, the proportions with viral loads less than 1000 copies per mL were 590 (68%) of 869 in the usual-care group and 588 (72%) of 828 in the intervention group at the end of the assessment period, adjusted risk difference of 5·3% (95% CI -4·0 to 14·6, p=0·20). There were no adverse events.\nINTERPRETATION: Our intervention of a dedicated programme for female sex workers led to high levels of HIV diagnosis and treatment. Further research is needed to optimise programme content and intensity for the broader population.\nFUNDING: UN Population Fund (through Zimbabwe's Integrated Support Fund funded by UK Department for International Development, Irish Aid, and Swedish International Development Cooperation Agency).","container-title":"The lancet. HIV","DOI":"10.1016/S2352-3018(18)30111-5","ISSN":"2352-3018","issue":"8","journalAbbreviation":"Lancet HIV","language":"eng","note":"PMID: 30030134","page":"e417-e426","source":"PubMed","title":"Targeted combination prevention to support female sex workers in Zimbabwe accessing and adhering to antiretrovirals for treatment and prevention of HIV (SAPPH-IRe): a cluster-randomised trial","title-short":"Targeted combination prevention to support female sex workers in Zimbabwe accessing and adhering to antiretrovirals for treatment and prevention of HIV (SAPPH-IRe)","volume":"5","author":[{"family":"Cowan","given":"Frances M."},{"family":"Davey","given":"Calum"},{"family":"Fearon","given":"Elizabeth"},{"family":"Mushati","given":"Phillis"},{"family":"Dirawo","given":"Jeffrey"},{"family":"Chabata","given":"Sungai"},{"family":"Cambiano","given":"Valentina"},{"family":"Napierala","given":"Sue"},{"family":"Hanisch","given":"Dagmar"},{"family":"Wong-Gruenwald","given":"Ramona"},{"family":"Masuka","given":"Nyasha"},{"family":"Mabugo","given":"Travor"},{"family":"Hatzold","given":"Karin"},{"family":"Mugurungi","given":"Owen"},{"family":"Busza","given":"Joanna"},{"family":"Phillips","given":"Andrew"},{"family":"Hargreaves","given":"James R."}],"issued":{"date-parts":[["2018",8]]}}}],"schema":"https://github.com/citation-style-language/schema/raw/master/csl-citation.json"}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45</w:t>
            </w:r>
            <w:r w:rsidRPr="00AD2B60">
              <w:rPr>
                <w:rFonts w:asciiTheme="minorHAnsi" w:hAnsiTheme="minorHAnsi" w:cstheme="minorHAnsi"/>
                <w:sz w:val="16"/>
                <w:szCs w:val="16"/>
              </w:rPr>
              <w:fldChar w:fldCharType="end"/>
            </w:r>
          </w:p>
        </w:tc>
        <w:tc>
          <w:tcPr>
            <w:tcW w:w="471" w:type="pct"/>
            <w:vAlign w:val="center"/>
          </w:tcPr>
          <w:p w14:paraId="3F01B817" w14:textId="77777777" w:rsidR="00C72191" w:rsidRPr="00AD2B60" w:rsidRDefault="00C72191" w:rsidP="00192B09">
            <w:pPr>
              <w:rPr>
                <w:rFonts w:ascii="Arial" w:hAnsi="Arial" w:cs="Arial"/>
                <w:sz w:val="16"/>
                <w:szCs w:val="16"/>
              </w:rPr>
            </w:pPr>
            <w:r w:rsidRPr="00AD2B60">
              <w:rPr>
                <w:rFonts w:ascii="Arial" w:hAnsi="Arial" w:cs="Arial"/>
                <w:sz w:val="16"/>
                <w:szCs w:val="16"/>
              </w:rPr>
              <w:t>Zimbabwe</w:t>
            </w:r>
          </w:p>
          <w:p w14:paraId="40000F71" w14:textId="77777777" w:rsidR="00C72191" w:rsidRPr="00AD2B60" w:rsidRDefault="00C72191" w:rsidP="00192B09">
            <w:pPr>
              <w:rPr>
                <w:rFonts w:ascii="Arial" w:hAnsi="Arial" w:cs="Arial"/>
                <w:sz w:val="16"/>
                <w:szCs w:val="16"/>
              </w:rPr>
            </w:pPr>
          </w:p>
          <w:p w14:paraId="5D5D27A8" w14:textId="77777777" w:rsidR="00C72191" w:rsidRPr="00AD2B60" w:rsidRDefault="00C72191" w:rsidP="00192B09">
            <w:pPr>
              <w:rPr>
                <w:rFonts w:ascii="Arial" w:hAnsi="Arial" w:cs="Arial"/>
                <w:sz w:val="16"/>
                <w:szCs w:val="16"/>
              </w:rPr>
            </w:pPr>
            <w:r w:rsidRPr="00AD2B60">
              <w:rPr>
                <w:rFonts w:ascii="Arial" w:hAnsi="Arial" w:cs="Arial"/>
                <w:sz w:val="16"/>
                <w:szCs w:val="16"/>
              </w:rPr>
              <w:t>8231</w:t>
            </w:r>
            <w:r w:rsidRPr="00AD2B60">
              <w:rPr>
                <w:rFonts w:ascii="Arial" w:hAnsi="Arial" w:cs="Arial"/>
                <w:sz w:val="16"/>
                <w:szCs w:val="16"/>
              </w:rPr>
              <w:br/>
              <w:t xml:space="preserve">Intervention: 4619 </w:t>
            </w:r>
            <w:r w:rsidRPr="00AD2B60">
              <w:rPr>
                <w:rFonts w:ascii="Arial" w:hAnsi="Arial" w:cs="Arial"/>
                <w:sz w:val="16"/>
                <w:szCs w:val="16"/>
              </w:rPr>
              <w:br/>
              <w:t>Control: 3612</w:t>
            </w:r>
          </w:p>
        </w:tc>
        <w:tc>
          <w:tcPr>
            <w:tcW w:w="567" w:type="pct"/>
            <w:vAlign w:val="center"/>
          </w:tcPr>
          <w:p w14:paraId="59C74E6B" w14:textId="77777777" w:rsidR="00C72191" w:rsidRPr="00AD2B60" w:rsidRDefault="00C72191" w:rsidP="00192B09">
            <w:pPr>
              <w:rPr>
                <w:rFonts w:ascii="Arial" w:hAnsi="Arial" w:cs="Arial"/>
                <w:sz w:val="16"/>
                <w:szCs w:val="16"/>
              </w:rPr>
            </w:pPr>
            <w:r w:rsidRPr="00AD2B60">
              <w:rPr>
                <w:rFonts w:ascii="Arial" w:hAnsi="Arial" w:cs="Arial"/>
                <w:sz w:val="16"/>
                <w:szCs w:val="16"/>
              </w:rPr>
              <w:t>Women 18 and over who exchanged sex for money in the previous 30 days and lived or worked for at least 6 months in the cluster where they were interviewed.</w:t>
            </w:r>
          </w:p>
        </w:tc>
        <w:tc>
          <w:tcPr>
            <w:tcW w:w="370" w:type="pct"/>
            <w:vAlign w:val="center"/>
          </w:tcPr>
          <w:p w14:paraId="4E183869"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centers based in primary care clinics.</w:t>
            </w:r>
          </w:p>
        </w:tc>
        <w:tc>
          <w:tcPr>
            <w:tcW w:w="1290" w:type="pct"/>
            <w:vAlign w:val="center"/>
          </w:tcPr>
          <w:p w14:paraId="1238F04F"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Usual care consisted of free condoms and contraception, HIV testing on demand, counseling, ART referral, STI management, health education, community mobilization, and legal advice. The intervention enhanced this with regular HIV testing, on-site ART initiation, pre-exposure prophylaxis, adherence support, increased community mobilization to promote ART and </w:t>
            </w:r>
            <w:proofErr w:type="spellStart"/>
            <w:r w:rsidRPr="00AD2B60">
              <w:rPr>
                <w:rFonts w:ascii="Arial" w:hAnsi="Arial" w:cs="Arial"/>
                <w:sz w:val="16"/>
                <w:szCs w:val="16"/>
              </w:rPr>
              <w:t>PrEP</w:t>
            </w:r>
            <w:proofErr w:type="spellEnd"/>
            <w:r w:rsidRPr="00AD2B60">
              <w:rPr>
                <w:rFonts w:ascii="Arial" w:hAnsi="Arial" w:cs="Arial"/>
                <w:sz w:val="16"/>
                <w:szCs w:val="16"/>
              </w:rPr>
              <w:t>, stronger support networks, and leadership development.</w:t>
            </w:r>
          </w:p>
        </w:tc>
        <w:tc>
          <w:tcPr>
            <w:tcW w:w="426" w:type="pct"/>
            <w:vAlign w:val="center"/>
          </w:tcPr>
          <w:p w14:paraId="2D67CA36" w14:textId="77777777" w:rsidR="00C72191" w:rsidRPr="00AD2B60" w:rsidRDefault="00C72191" w:rsidP="00192B09">
            <w:pPr>
              <w:rPr>
                <w:rFonts w:ascii="Arial" w:hAnsi="Arial" w:cs="Arial"/>
                <w:sz w:val="16"/>
                <w:szCs w:val="16"/>
              </w:rPr>
            </w:pPr>
            <w:r w:rsidRPr="00AD2B60">
              <w:rPr>
                <w:rFonts w:ascii="Arial" w:hAnsi="Arial" w:cs="Arial"/>
                <w:sz w:val="16"/>
                <w:szCs w:val="16"/>
              </w:rPr>
              <w:t>Control group received standard HIV care without the intensified intervention components.</w:t>
            </w:r>
          </w:p>
        </w:tc>
        <w:tc>
          <w:tcPr>
            <w:tcW w:w="1490" w:type="pct"/>
            <w:vAlign w:val="center"/>
          </w:tcPr>
          <w:p w14:paraId="01C54659" w14:textId="77777777" w:rsidR="00C72191" w:rsidRPr="00AD2B60" w:rsidRDefault="00C72191" w:rsidP="00192B09">
            <w:pPr>
              <w:rPr>
                <w:rFonts w:ascii="Arial" w:hAnsi="Arial" w:cs="Arial"/>
                <w:sz w:val="16"/>
                <w:szCs w:val="16"/>
              </w:rPr>
            </w:pPr>
            <w:r w:rsidRPr="00AD2B60">
              <w:rPr>
                <w:rFonts w:ascii="Arial" w:hAnsi="Arial" w:cs="Arial"/>
                <w:sz w:val="16"/>
                <w:szCs w:val="16"/>
              </w:rPr>
              <w:t>Half as many female sex workers were tested and diagnosed as HIV positive in the usual-care clusters. Viral loads ≥1000 copies/mL decreased from 30% to 19% in the usual-care group and from 30% to 16% in the intervention group, with a risk difference of –2.8% (95% CI –8.1 to 2.5). Among HIV-positive women, 68% in usual care and 72% in the intervention group had viral loads &lt;1000 copies/mL, with an adjusted risk difference of 5.3% (95% CI –4.0 to 14.6).</w:t>
            </w:r>
          </w:p>
        </w:tc>
      </w:tr>
      <w:tr w:rsidR="00C72191" w:rsidRPr="00AD2B60" w14:paraId="0A4200AB" w14:textId="77777777" w:rsidTr="00192B09">
        <w:trPr>
          <w:cantSplit/>
          <w:jc w:val="center"/>
        </w:trPr>
        <w:tc>
          <w:tcPr>
            <w:tcW w:w="386" w:type="pct"/>
            <w:vAlign w:val="center"/>
          </w:tcPr>
          <w:p w14:paraId="138911E0"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Dugas et al.(2015)</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{"citationID":"gJRfK1v2","properties":{"formattedCitation":"\\super 46\\nosupersub{}","plainCitation":"46","noteIndex":0},"citationItems":[{"id":1013,"uris":["http://zotero.org/users/1379219/items/9HYLU4PR"],"itemData":{"id":1013,"type":"article-journal","abstract":"Background: \n          Regular voluntary counseling and testing is a key component of the fight against HIV/AIDS. In Benin, the project SIDA-1/2/3 established to decrease HIV/sexually transmitted infection (STIs) among female sex workers (FSWs), implemented a multifaceted intervention, including outreach activities. The objective of this article was to present potential advantages and limitations of 3 categories of outreach interventions designed to increase the use of testing services among FSWs in Benin.\n          Methods: \n          This analysis is based on ethnographic fieldwork conducted in Benin from June to December 2012.\n          Results: \n          Sixty-six FSWs and 24 health care workers were interviewed. Their narratives revealed 3 main factors impeding the development of appropriate HIV testing behavior. These negative elements can be positioned along a continuum of health care behaviors, with each stage of this continuum presenting its own challenges: fear or lack of motivation to use testing services, inaccessibility of care when the decision to go has been made, and a perceived lack of quality in the care offered at the health care center. Many of these needs seem to be addressed in the outreach strategies tested. However, the study also exposed some potential barriers or limitations to the success of these strategies when applied in this specific context, due to social disruption, mobility, access to care, and hard to reach population.\n          Conclusions: \n          To increase the use of testing services, an outreach strategy based on community workers or peer educators, along with improved access to testing services, would be well adapted to this context and appreciated by both FSWs and health care workers.","container-title":"JAIDS Journal of Acquired Immune Deficiency Syndromes","DOI":"10.1097/QAI.0000000000000463","ISSN":"1525-4135","language":"en-US","page":"S198","source":"journals.lww.com","title":"Outreach Strategies for the Promotion of HIV Testing and Care: Closing the Gap Between Health Services and Female Sex Workers in Benin","title-short":"Outreach Strategies for the Promotion of HIV Testing and Care","volume":"68","author":[{"family":"Dugas","given":"Marylène"},{"family":"Bédard","given":"Emmanuelle"},{"family":"Batona","given":"Georges"},{"family":"Kpatchavi","given":"Adolphe C."},{"family":"Guédou","given":"Fernand A."},{"family":"Dubé","given":"Eric"},{"family":"Alary","given":"Michel"}],"issued":{"date-parts":[["2015",3,1]]}}}],"schema":"https://github.com/citation-style-language/schema/raw/master/csl-citation.json"}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46</w:t>
            </w:r>
            <w:r w:rsidRPr="00AD2B60">
              <w:rPr>
                <w:rFonts w:asciiTheme="minorHAnsi" w:hAnsiTheme="minorHAnsi" w:cstheme="minorHAnsi"/>
                <w:sz w:val="16"/>
                <w:szCs w:val="16"/>
              </w:rPr>
              <w:fldChar w:fldCharType="end"/>
            </w:r>
          </w:p>
        </w:tc>
        <w:tc>
          <w:tcPr>
            <w:tcW w:w="471" w:type="pct"/>
            <w:vAlign w:val="center"/>
          </w:tcPr>
          <w:p w14:paraId="0C7F8866" w14:textId="77777777" w:rsidR="00C72191" w:rsidRPr="00AD2B60" w:rsidRDefault="00C72191" w:rsidP="00192B09">
            <w:pPr>
              <w:rPr>
                <w:rFonts w:ascii="Arial" w:hAnsi="Arial" w:cs="Arial"/>
                <w:sz w:val="16"/>
                <w:szCs w:val="16"/>
              </w:rPr>
            </w:pPr>
            <w:r w:rsidRPr="00AD2B60">
              <w:rPr>
                <w:rFonts w:ascii="Arial" w:hAnsi="Arial" w:cs="Arial"/>
                <w:sz w:val="16"/>
                <w:szCs w:val="16"/>
              </w:rPr>
              <w:t>Benin</w:t>
            </w:r>
          </w:p>
          <w:p w14:paraId="13A066F8" w14:textId="77777777" w:rsidR="00C72191" w:rsidRPr="00AD2B60" w:rsidRDefault="00C72191" w:rsidP="00192B09">
            <w:pPr>
              <w:rPr>
                <w:rFonts w:ascii="Arial" w:hAnsi="Arial" w:cs="Arial"/>
                <w:sz w:val="16"/>
                <w:szCs w:val="16"/>
              </w:rPr>
            </w:pPr>
          </w:p>
          <w:p w14:paraId="0B9AF2E1" w14:textId="77777777" w:rsidR="00C72191" w:rsidRPr="00AD2B60" w:rsidRDefault="00C72191" w:rsidP="00192B09">
            <w:pPr>
              <w:rPr>
                <w:rFonts w:ascii="Arial" w:hAnsi="Arial" w:cs="Arial"/>
                <w:sz w:val="16"/>
                <w:szCs w:val="16"/>
              </w:rPr>
            </w:pPr>
            <w:r w:rsidRPr="00AD2B60">
              <w:rPr>
                <w:rFonts w:ascii="Arial" w:hAnsi="Arial" w:cs="Arial"/>
                <w:sz w:val="16"/>
                <w:szCs w:val="16"/>
              </w:rPr>
              <w:t>FSW: 42 in intervention areas</w:t>
            </w:r>
            <w:r w:rsidRPr="00AD2B60">
              <w:rPr>
                <w:rFonts w:ascii="Arial" w:hAnsi="Arial" w:cs="Arial"/>
                <w:sz w:val="16"/>
                <w:szCs w:val="16"/>
              </w:rPr>
              <w:br/>
              <w:t>23 in other areas.</w:t>
            </w:r>
            <w:r w:rsidRPr="00AD2B60">
              <w:rPr>
                <w:rFonts w:ascii="Arial" w:hAnsi="Arial" w:cs="Arial"/>
                <w:sz w:val="16"/>
                <w:szCs w:val="16"/>
              </w:rPr>
              <w:br/>
              <w:t>community health workers: 24</w:t>
            </w:r>
          </w:p>
        </w:tc>
        <w:tc>
          <w:tcPr>
            <w:tcW w:w="567" w:type="pct"/>
            <w:vAlign w:val="center"/>
          </w:tcPr>
          <w:p w14:paraId="5264551A" w14:textId="77777777" w:rsidR="00C72191" w:rsidRPr="00AD2B60" w:rsidRDefault="00C72191" w:rsidP="00192B09">
            <w:pPr>
              <w:rPr>
                <w:rFonts w:ascii="Arial" w:hAnsi="Arial" w:cs="Arial"/>
                <w:sz w:val="16"/>
                <w:szCs w:val="16"/>
              </w:rPr>
            </w:pPr>
            <w:r w:rsidRPr="00AD2B60">
              <w:rPr>
                <w:rFonts w:ascii="Arial" w:hAnsi="Arial" w:cs="Arial"/>
                <w:sz w:val="16"/>
                <w:szCs w:val="16"/>
              </w:rPr>
              <w:t>Sex workers identified by peer educators and community health workers.</w:t>
            </w:r>
          </w:p>
        </w:tc>
        <w:tc>
          <w:tcPr>
            <w:tcW w:w="370" w:type="pct"/>
            <w:vAlign w:val="center"/>
          </w:tcPr>
          <w:p w14:paraId="6E21A0D8" w14:textId="77777777" w:rsidR="00C72191" w:rsidRPr="00AD2B60" w:rsidRDefault="00C72191" w:rsidP="00192B09">
            <w:pPr>
              <w:rPr>
                <w:rFonts w:ascii="Arial" w:hAnsi="Arial" w:cs="Arial"/>
                <w:sz w:val="16"/>
                <w:szCs w:val="16"/>
              </w:rPr>
            </w:pPr>
            <w:r w:rsidRPr="00AD2B60">
              <w:rPr>
                <w:rFonts w:ascii="Arial" w:hAnsi="Arial" w:cs="Arial"/>
                <w:sz w:val="16"/>
                <w:szCs w:val="16"/>
              </w:rPr>
              <w:t>Sex work venues and community health centers.</w:t>
            </w:r>
          </w:p>
        </w:tc>
        <w:tc>
          <w:tcPr>
            <w:tcW w:w="1290" w:type="pct"/>
            <w:vAlign w:val="center"/>
          </w:tcPr>
          <w:p w14:paraId="1B247143" w14:textId="77777777" w:rsidR="00C72191" w:rsidRPr="00AD2B60" w:rsidRDefault="00C72191" w:rsidP="00192B09">
            <w:pPr>
              <w:rPr>
                <w:rFonts w:ascii="Arial" w:hAnsi="Arial" w:cs="Arial"/>
                <w:sz w:val="16"/>
                <w:szCs w:val="16"/>
              </w:rPr>
            </w:pPr>
            <w:r w:rsidRPr="00AD2B60">
              <w:rPr>
                <w:rFonts w:ascii="Arial" w:hAnsi="Arial" w:cs="Arial"/>
                <w:sz w:val="16"/>
                <w:szCs w:val="16"/>
              </w:rPr>
              <w:t>The intervention combined community mobilization via peer-led education and behavior change groups, personalized outreach by peer educators and community workers to promote testing and distribute condoms, and advanced strategies such as mobile testing and home visits. It was implemented by local health workers and peer educators, with active involvement of sex workers as peer educators.</w:t>
            </w:r>
          </w:p>
        </w:tc>
        <w:tc>
          <w:tcPr>
            <w:tcW w:w="426" w:type="pct"/>
            <w:vAlign w:val="center"/>
          </w:tcPr>
          <w:p w14:paraId="6019D54E" w14:textId="77777777" w:rsidR="00C72191" w:rsidRPr="00AD2B60" w:rsidRDefault="00C72191" w:rsidP="00192B09">
            <w:pPr>
              <w:rPr>
                <w:rFonts w:ascii="Arial" w:hAnsi="Arial" w:cs="Arial"/>
                <w:sz w:val="16"/>
                <w:szCs w:val="16"/>
              </w:rPr>
            </w:pPr>
            <w:r w:rsidRPr="00AD2B60">
              <w:rPr>
                <w:rFonts w:ascii="Arial" w:hAnsi="Arial" w:cs="Arial"/>
                <w:sz w:val="16"/>
                <w:szCs w:val="16"/>
              </w:rPr>
              <w:t>HIV testing behavior was compared between women in intervention areas versus those outside them.</w:t>
            </w:r>
          </w:p>
        </w:tc>
        <w:tc>
          <w:tcPr>
            <w:tcW w:w="1490" w:type="pct"/>
            <w:vAlign w:val="center"/>
          </w:tcPr>
          <w:p w14:paraId="5A18F37E" w14:textId="77777777" w:rsidR="00C72191" w:rsidRPr="00AD2B60" w:rsidRDefault="00C72191" w:rsidP="00192B09">
            <w:pPr>
              <w:rPr>
                <w:rFonts w:ascii="Arial" w:hAnsi="Arial" w:cs="Arial"/>
                <w:sz w:val="16"/>
                <w:szCs w:val="16"/>
              </w:rPr>
            </w:pPr>
            <w:r w:rsidRPr="00AD2B60">
              <w:rPr>
                <w:rFonts w:ascii="Arial" w:hAnsi="Arial" w:cs="Arial"/>
                <w:sz w:val="16"/>
                <w:szCs w:val="16"/>
              </w:rPr>
              <w:t>In intervention areas, 56% of participants underwent regular HIV testing compared to 26% in non-intervention areas. Lack of awareness about serological status was 23% in intervention areas versus 30% elsewhere. Participants engaging with peer educators reported greater support and empowerment. Forty-seven percent credited outreach strategies for motivating their testing. Barriers to proper HIV testing behavior included fear or low motivation, limited care access, and perceived poor care quality.</w:t>
            </w:r>
          </w:p>
        </w:tc>
      </w:tr>
      <w:tr w:rsidR="00C72191" w:rsidRPr="00AD2B60" w14:paraId="70E655D0" w14:textId="77777777" w:rsidTr="00192B09">
        <w:trPr>
          <w:cantSplit/>
          <w:trHeight w:val="70"/>
          <w:jc w:val="center"/>
        </w:trPr>
        <w:tc>
          <w:tcPr>
            <w:tcW w:w="386" w:type="pct"/>
            <w:vAlign w:val="center"/>
          </w:tcPr>
          <w:p w14:paraId="21205612" w14:textId="77777777" w:rsidR="00C72191" w:rsidRPr="00AD2B60" w:rsidRDefault="00C72191" w:rsidP="00192B09">
            <w:pPr>
              <w:rPr>
                <w:rFonts w:ascii="Arial" w:hAnsi="Arial" w:cs="Arial"/>
                <w:sz w:val="16"/>
                <w:szCs w:val="16"/>
              </w:rPr>
            </w:pPr>
            <w:r w:rsidRPr="00AD2B60">
              <w:rPr>
                <w:rFonts w:ascii="Arial" w:hAnsi="Arial" w:cs="Arial"/>
                <w:sz w:val="16"/>
                <w:szCs w:val="16"/>
              </w:rPr>
              <w:t>Kerrigan et al. (2019)</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{"citationID":"k22vaSOt","properties":{"formattedCitation":"\\super 47\\nosupersub{}","plainCitation":"47","noteIndex":0},"citationItems":[{"id":1029,"uris":["http://zotero.org/users/1379219/items/5ZEAJH97"],"itemData":{"id":1029,"type":"article-journal","abstract":"OBJECTIVE: To determine the impact of a community empowerment model of combination HIV prevention (Project Shikamana) among female sex workers (FSW) in Iringa, Tanzania.\nMETHODS: We conducted a 2-community randomized trial. Intervention elements included the following: (1) Community-led drop-in center and mobilization activities; (2) venue-based peer education, condom distribution, and HIV testing; (3) peer service navigation; (4) provider sensitivity trainings; and (5) SMS reminders. We used time-location sampling to enroll 496 FSW and conducted a survey and blood draws to screen for HIV and assess viral load at 0 and 18 months. We conducted an intent-to-treat analysis using logistic and Poisson regression and inverse probability weighting for primary outcomes.\nRESULTS: The analysis included 171 HIV-positive and 216 HIV-negative FSW who completed baseline and 18-month study visits. Participants in the intervention were significantly less likely to become infected with HIV at 18-month follow-up (RR 0.38; P = 0.047), with an HIV incidence of 5.0% in the intervention vs. 10.4% control. Decreases in inconsistent condom use over time were significantly greater in the intervention (72.0%-43.6%) vs. control (68.8%-54.0%; RR 0.81, P = 0.042). At follow-up, we observed significant differences in behavioral HIV care continuum outcomes, and positive, but nonsignificant, increases in viral suppression (40.0%-50.6%) in the intervention vs. control (35.9%-47.4%). There was a strong association of between higher intervention exposure and HIV outcomes including viral suppression.\nCONCLUSIONS: Project Shikamana is the first trial of community empowerment-based combination prevention among FSW in Africa to show a significant reduction in HIV incidence warranting its broader implementation and evaluation.","container-title":"Journal of Acquired Immune Deficiency Syndromes (1999)","DOI":"10.1097/QAI.0000000000002123","ISSN":"1944-7884","issue":"2","journalAbbreviation":"J Acquir Immune Defic Syndr","language":"eng","note":"PMID: 31513552\nPMCID: PMC7393302","page":"141-148","source":"PubMed","title":"Project Shikamana: Community Empowerment-Based Combination HIV Prevention Significantly Impacts HIV Incidence and Care Continuum Outcomes Among Female Sex Workers in Iringa, Tanzania","title-short":"Project Shikamana","volume":"82","author":[{"family":"Kerrigan","given":"Deanna"},{"family":"Mbwambo","given":"Jessie"},{"family":"Likindikoki","given":"Samuel"},{"family":"Davis","given":"Wendy"},{"family":"Mantsios","given":"Andrea"},{"family":"Beckham","given":"S. Wilson"},{"family":"Leddy","given":"Anna"},{"family":"Shembilu","given":"Catherine"},{"family":"Mwampashi","given":"Ard"},{"family":"Aboud","given":"Said"},{"family":"Galai","given":"Noya"}],"issued":{"date-parts":[["2019",10,1]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47</w:t>
            </w:r>
            <w:r w:rsidRPr="00AD2B60">
              <w:rPr>
                <w:rFonts w:asciiTheme="minorHAnsi" w:hAnsiTheme="minorHAnsi" w:cstheme="minorHAnsi"/>
                <w:sz w:val="16"/>
                <w:szCs w:val="16"/>
              </w:rPr>
              <w:fldChar w:fldCharType="end"/>
            </w:r>
          </w:p>
        </w:tc>
        <w:tc>
          <w:tcPr>
            <w:tcW w:w="471" w:type="pct"/>
            <w:vAlign w:val="center"/>
          </w:tcPr>
          <w:p w14:paraId="7092C1FC" w14:textId="77777777" w:rsidR="00C72191" w:rsidRPr="00AD2B60" w:rsidRDefault="00C72191" w:rsidP="00192B09">
            <w:pPr>
              <w:rPr>
                <w:rFonts w:ascii="Arial" w:hAnsi="Arial" w:cs="Arial"/>
                <w:sz w:val="16"/>
                <w:szCs w:val="16"/>
              </w:rPr>
            </w:pPr>
            <w:r w:rsidRPr="00AD2B60">
              <w:rPr>
                <w:rFonts w:ascii="Arial" w:hAnsi="Arial" w:cs="Arial"/>
                <w:sz w:val="16"/>
                <w:szCs w:val="16"/>
              </w:rPr>
              <w:t>Tanzania</w:t>
            </w:r>
          </w:p>
          <w:p w14:paraId="4928CB65" w14:textId="77777777" w:rsidR="00C72191" w:rsidRPr="00AD2B60" w:rsidRDefault="00C72191" w:rsidP="00192B09">
            <w:pPr>
              <w:rPr>
                <w:rFonts w:ascii="Arial" w:hAnsi="Arial" w:cs="Arial"/>
                <w:sz w:val="16"/>
                <w:szCs w:val="16"/>
              </w:rPr>
            </w:pPr>
          </w:p>
          <w:p w14:paraId="3D0FBC6E" w14:textId="77777777" w:rsidR="00C72191" w:rsidRPr="00AD2B60" w:rsidRDefault="00C72191" w:rsidP="00192B09">
            <w:pPr>
              <w:rPr>
                <w:rFonts w:ascii="Arial" w:hAnsi="Arial" w:cs="Arial"/>
                <w:sz w:val="16"/>
                <w:szCs w:val="16"/>
              </w:rPr>
            </w:pPr>
            <w:r w:rsidRPr="00AD2B60">
              <w:rPr>
                <w:rFonts w:ascii="Arial" w:hAnsi="Arial" w:cs="Arial"/>
                <w:sz w:val="16"/>
                <w:szCs w:val="16"/>
              </w:rPr>
              <w:t>496</w:t>
            </w:r>
          </w:p>
        </w:tc>
        <w:tc>
          <w:tcPr>
            <w:tcW w:w="567" w:type="pct"/>
            <w:vAlign w:val="center"/>
          </w:tcPr>
          <w:p w14:paraId="1FBCA087" w14:textId="77777777" w:rsidR="00C72191" w:rsidRPr="00AD2B60" w:rsidRDefault="00C72191" w:rsidP="00192B09">
            <w:pPr>
              <w:rPr>
                <w:rFonts w:ascii="Arial" w:hAnsi="Arial" w:cs="Arial"/>
                <w:sz w:val="16"/>
                <w:szCs w:val="16"/>
              </w:rPr>
            </w:pPr>
            <w:r w:rsidRPr="00AD2B60">
              <w:rPr>
                <w:rFonts w:ascii="Arial" w:hAnsi="Arial" w:cs="Arial"/>
                <w:sz w:val="16"/>
                <w:szCs w:val="16"/>
              </w:rPr>
              <w:t>Women 18 years or over who reported exchanging sex for money in the last month.</w:t>
            </w:r>
          </w:p>
        </w:tc>
        <w:tc>
          <w:tcPr>
            <w:tcW w:w="370" w:type="pct"/>
            <w:vAlign w:val="center"/>
          </w:tcPr>
          <w:p w14:paraId="22672958"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w:t>
            </w:r>
          </w:p>
        </w:tc>
        <w:tc>
          <w:tcPr>
            <w:tcW w:w="1290" w:type="pct"/>
            <w:vAlign w:val="center"/>
          </w:tcPr>
          <w:p w14:paraId="6AA9E7B0" w14:textId="77777777" w:rsidR="00C72191" w:rsidRPr="00AD2B60" w:rsidRDefault="00C72191" w:rsidP="00192B09">
            <w:pPr>
              <w:rPr>
                <w:rFonts w:ascii="Arial" w:hAnsi="Arial" w:cs="Arial"/>
                <w:sz w:val="16"/>
                <w:szCs w:val="16"/>
              </w:rPr>
            </w:pPr>
            <w:r w:rsidRPr="00AD2B60">
              <w:rPr>
                <w:rFonts w:ascii="Arial" w:hAnsi="Arial" w:cs="Arial"/>
                <w:sz w:val="16"/>
                <w:szCs w:val="16"/>
              </w:rPr>
              <w:t>The intervention included:</w:t>
            </w:r>
          </w:p>
          <w:p w14:paraId="132A3929" w14:textId="77777777" w:rsidR="00C72191" w:rsidRPr="00AD2B60" w:rsidRDefault="00C72191" w:rsidP="00192B09">
            <w:pPr>
              <w:rPr>
                <w:rFonts w:ascii="Arial" w:hAnsi="Arial" w:cs="Arial"/>
                <w:sz w:val="16"/>
                <w:szCs w:val="16"/>
              </w:rPr>
            </w:pPr>
            <w:r w:rsidRPr="00AD2B60">
              <w:rPr>
                <w:rFonts w:ascii="Arial" w:hAnsi="Arial" w:cs="Arial"/>
                <w:sz w:val="16"/>
                <w:szCs w:val="16"/>
              </w:rPr>
              <w:t>A community-led drop-in center promoting social cohesion and mobilization with workshops on stigma, discrimination, GBV, family planning, HIV/STI prevention, condom negotiation, ART adherence, financial security, sex worker rights, and community mobilization strategies.</w:t>
            </w:r>
          </w:p>
          <w:p w14:paraId="55DF94CA" w14:textId="77777777" w:rsidR="00C72191" w:rsidRPr="00AD2B60" w:rsidRDefault="00C72191" w:rsidP="00192B09">
            <w:pPr>
              <w:rPr>
                <w:rFonts w:ascii="Arial" w:hAnsi="Arial" w:cs="Arial"/>
                <w:sz w:val="16"/>
                <w:szCs w:val="16"/>
              </w:rPr>
            </w:pPr>
            <w:r w:rsidRPr="00AD2B60">
              <w:rPr>
                <w:rFonts w:ascii="Arial" w:hAnsi="Arial" w:cs="Arial"/>
                <w:sz w:val="16"/>
                <w:szCs w:val="16"/>
              </w:rPr>
              <w:t>Venue-based peer education, condom distribution, and HIV counseling and testing.</w:t>
            </w:r>
          </w:p>
          <w:p w14:paraId="7D5BDA60" w14:textId="77777777" w:rsidR="00C72191" w:rsidRPr="00AD2B60" w:rsidRDefault="00C72191" w:rsidP="00192B09">
            <w:pPr>
              <w:rPr>
                <w:rFonts w:ascii="Arial" w:hAnsi="Arial" w:cs="Arial"/>
                <w:sz w:val="16"/>
                <w:szCs w:val="16"/>
              </w:rPr>
            </w:pPr>
            <w:r w:rsidRPr="00AD2B60">
              <w:rPr>
                <w:rFonts w:ascii="Arial" w:hAnsi="Arial" w:cs="Arial"/>
                <w:sz w:val="16"/>
                <w:szCs w:val="16"/>
              </w:rPr>
              <w:t>Peer service navigation and social support to enhance HIV treatment access and adherence.</w:t>
            </w:r>
          </w:p>
          <w:p w14:paraId="47D5A2A4" w14:textId="77777777" w:rsidR="00C72191" w:rsidRPr="00AD2B60" w:rsidRDefault="00C72191" w:rsidP="00192B09">
            <w:pPr>
              <w:rPr>
                <w:rFonts w:ascii="Arial" w:hAnsi="Arial" w:cs="Arial"/>
                <w:sz w:val="16"/>
                <w:szCs w:val="16"/>
              </w:rPr>
            </w:pPr>
            <w:r w:rsidRPr="00AD2B60">
              <w:rPr>
                <w:rFonts w:ascii="Arial" w:hAnsi="Arial" w:cs="Arial"/>
                <w:sz w:val="16"/>
                <w:szCs w:val="16"/>
              </w:rPr>
              <w:t>Sensitivity training for HIV clinical care providers and police.</w:t>
            </w:r>
          </w:p>
          <w:p w14:paraId="69CD3A87" w14:textId="77777777" w:rsidR="00C72191" w:rsidRPr="00AD2B60" w:rsidRDefault="00C72191" w:rsidP="00192B09">
            <w:pPr>
              <w:rPr>
                <w:rFonts w:ascii="Arial" w:hAnsi="Arial" w:cs="Arial"/>
                <w:sz w:val="16"/>
                <w:szCs w:val="16"/>
              </w:rPr>
            </w:pPr>
            <w:r w:rsidRPr="00AD2B60">
              <w:rPr>
                <w:rFonts w:ascii="Arial" w:hAnsi="Arial" w:cs="Arial"/>
                <w:sz w:val="16"/>
                <w:szCs w:val="16"/>
              </w:rPr>
              <w:t>Text messages promoting solidarity and engagement with the intervention.</w:t>
            </w:r>
          </w:p>
        </w:tc>
        <w:tc>
          <w:tcPr>
            <w:tcW w:w="426" w:type="pct"/>
            <w:vAlign w:val="center"/>
          </w:tcPr>
          <w:p w14:paraId="014B3BCB" w14:textId="77777777" w:rsidR="00C72191" w:rsidRPr="00AD2B60" w:rsidRDefault="00C72191" w:rsidP="00192B09">
            <w:pPr>
              <w:rPr>
                <w:rFonts w:ascii="Arial" w:hAnsi="Arial" w:cs="Arial"/>
                <w:sz w:val="16"/>
                <w:szCs w:val="16"/>
              </w:rPr>
            </w:pPr>
            <w:r w:rsidRPr="00AD2B60">
              <w:rPr>
                <w:rFonts w:ascii="Arial" w:hAnsi="Arial" w:cs="Arial"/>
                <w:sz w:val="16"/>
                <w:szCs w:val="16"/>
              </w:rPr>
              <w:t>The control community received standard of care HIV services which included access to HIV testing and treatment, HIV-related health education and condom promotion.</w:t>
            </w:r>
          </w:p>
        </w:tc>
        <w:tc>
          <w:tcPr>
            <w:tcW w:w="1490" w:type="pct"/>
            <w:vAlign w:val="center"/>
          </w:tcPr>
          <w:p w14:paraId="3E4179B1" w14:textId="77777777" w:rsidR="00C72191" w:rsidRPr="00AD2B60" w:rsidRDefault="00C72191" w:rsidP="00192B09">
            <w:pPr>
              <w:rPr>
                <w:rFonts w:ascii="Arial" w:hAnsi="Arial" w:cs="Arial"/>
                <w:sz w:val="16"/>
                <w:szCs w:val="16"/>
              </w:rPr>
            </w:pPr>
            <w:r w:rsidRPr="00AD2B60">
              <w:rPr>
                <w:rFonts w:ascii="Arial" w:hAnsi="Arial" w:cs="Arial"/>
                <w:sz w:val="16"/>
                <w:szCs w:val="16"/>
              </w:rPr>
              <w:t>Participants in the intervention community were significantly less likely to become infected with HIV at the 18-month follow-up study visit (OR 0.38; p=0.047). Lower rates of inconsistent condom use in the last month in the intervention arm vs. the control arm at follow-up with an RR of 0.81, p=0.042.</w:t>
            </w:r>
            <w:r w:rsidRPr="00AD2B60">
              <w:rPr>
                <w:rFonts w:ascii="Arial" w:hAnsi="Arial" w:cs="Arial"/>
                <w:sz w:val="16"/>
                <w:szCs w:val="16"/>
              </w:rPr>
              <w:br/>
              <w:t xml:space="preserve">At follow-up, 79.1% of participants in the intervention arm were linked to care versus 55.0% in the control arm (RR 1.44; p=0.002) and 81.3% were on ART at follow-up in the intervention arm vs. 63.8% in the control arm (RR 1.27; p=0.013). Reported adherence to ART in the last 4 days was also significantly higher at follow-up in the intervention vs. the control arm (RR 1.54; p=0.002). </w:t>
            </w:r>
          </w:p>
        </w:tc>
      </w:tr>
      <w:tr w:rsidR="00C72191" w:rsidRPr="00AD2B60" w14:paraId="6678B865" w14:textId="77777777" w:rsidTr="00192B09">
        <w:trPr>
          <w:cantSplit/>
          <w:jc w:val="center"/>
        </w:trPr>
        <w:tc>
          <w:tcPr>
            <w:tcW w:w="386" w:type="pct"/>
            <w:vAlign w:val="center"/>
          </w:tcPr>
          <w:p w14:paraId="4F77020D"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Lafort</w:t>
            </w:r>
            <w:proofErr w:type="spellEnd"/>
            <w:r w:rsidRPr="00AD2B60">
              <w:rPr>
                <w:rFonts w:ascii="Arial" w:hAnsi="Arial" w:cs="Arial"/>
                <w:sz w:val="16"/>
                <w:szCs w:val="16"/>
              </w:rPr>
              <w:t xml:space="preserve"> et al.(2018)</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{"citationID":"g6NfKsSK","properties":{"formattedCitation":"\\super 48\\nosupersub{}","plainCitation":"48","noteIndex":0},"citationItems":[{"id":1069,"uris":["http://zotero.org/users/1379219/items/JGAXEYN6"],"itemData":{"id":1069,"type":"article-journal","abstract":"OBJECTIVES: To enhance uptake of sexual and reproductive health (SRH) services by female sex workers (FSWs), we conducted an implementation study in which we piloted and tested context-specific 'diagonal' interventions, combining vertical, targeted interventions with horizontally improved access to the general health services, in three cities in sub-Saharan Africa.\nMETHODS: We collected indicators of SRH service uptake through face-to-face interviews with approximately 400 FSWs, pre- and post-intervention, in Durban, South Africa; Tete, Mozambique; and Mombasa, Kenya, recruited by respondent-driven sampling. Changes in uptake were tested for their statistical significance using multivariate logistic regression models.\nRESULTS: In all cities, overall uptake of services increased. Having used all services for contraception, STI care, HIV testing, HIV care, cervical cancer screening and sexual violence, if needed, increased from 12.5% to 41.5% in Durban, 25.0% to 40.1% in Tete and 44.9% to 69.1% in Mombasa. Across cities, the effect was greatest in having been tested for HIV in the past six months which increased from 40.9% to 83.2% in Durban, 56.0% to 76.6% in Tete and 70.9% to 87.6% in Mombasa. In Tete and Mombasa, rise in SRH service use was almost entirely due to a greater uptake of targeted services. Only in Durban was there additionally an increase in the utilisation of general health services.\nCONCLUSION: SRH service utilisation improved in the short-term in three different sub-Saharan African contexts, primarily through vertical, targeted components. The long-term effectiveness of diagonal approaches, in particular on the use of general, horizontal health services, needs further investigation.","container-title":"Tropical medicine &amp; international health: TM &amp; IH","DOI":"10.1111/tmi.13072","ISSN":"1365-3156","issue":"7","journalAbbreviation":"Trop Med Int Health","language":"eng","note":"PMID: 29752836","page":"774-784","source":"PubMed","title":"Effect of a 'diagonal' intervention on uptake of HIV and reproductive health services by female sex workers in three sub-Saharan African cities","volume":"23","author":[{"family":"Lafort","given":"Yves"},{"family":"Greener","given":"Letitia"},{"family":"Lessitala","given":"Faustino"},{"family":"Chabeda","given":"Sophie"},{"family":"Greener","given":"Ross"},{"family":"Beksinska","given":"Mags"},{"family":"Gichangi","given":"Peter"},{"family":"Griffin","given":"Sally"},{"family":"Smit","given":"Jenni A."},{"family":"Chersich","given":"Matthew"},{"family":"Delva","given":"Wim"}],"issued":{"date-parts":[["2018",7]]}}}],"schema":"https://github.com/citation-style-language/schema/raw/master/csl-citation.json"}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48</w:t>
            </w:r>
            <w:r w:rsidRPr="00AD2B60">
              <w:rPr>
                <w:rFonts w:asciiTheme="minorHAnsi" w:hAnsiTheme="minorHAnsi" w:cstheme="minorHAnsi"/>
                <w:sz w:val="16"/>
                <w:szCs w:val="16"/>
              </w:rPr>
              <w:fldChar w:fldCharType="end"/>
            </w:r>
          </w:p>
        </w:tc>
        <w:tc>
          <w:tcPr>
            <w:tcW w:w="471" w:type="pct"/>
            <w:vAlign w:val="center"/>
          </w:tcPr>
          <w:p w14:paraId="23967F5F" w14:textId="77777777" w:rsidR="00C72191" w:rsidRPr="00AD2B60" w:rsidRDefault="00C72191" w:rsidP="00192B09">
            <w:pPr>
              <w:rPr>
                <w:rFonts w:ascii="Arial" w:hAnsi="Arial" w:cs="Arial"/>
                <w:color w:val="1F1F1F"/>
                <w:sz w:val="16"/>
                <w:szCs w:val="16"/>
              </w:rPr>
            </w:pPr>
            <w:r w:rsidRPr="00AD2B60">
              <w:rPr>
                <w:rFonts w:ascii="Arial" w:hAnsi="Arial" w:cs="Arial"/>
                <w:color w:val="1F1F1F"/>
                <w:sz w:val="16"/>
                <w:szCs w:val="16"/>
              </w:rPr>
              <w:t xml:space="preserve">South Africa, </w:t>
            </w:r>
            <w:proofErr w:type="spellStart"/>
            <w:r w:rsidRPr="00AD2B60">
              <w:rPr>
                <w:rFonts w:ascii="Arial" w:hAnsi="Arial" w:cs="Arial"/>
                <w:color w:val="1F1F1F"/>
                <w:sz w:val="16"/>
                <w:szCs w:val="16"/>
              </w:rPr>
              <w:t>Mozambique,Kenya</w:t>
            </w:r>
            <w:proofErr w:type="spellEnd"/>
          </w:p>
          <w:p w14:paraId="5FA12066" w14:textId="77777777" w:rsidR="00C72191" w:rsidRPr="00AD2B60" w:rsidRDefault="00C72191" w:rsidP="00192B09">
            <w:pPr>
              <w:rPr>
                <w:rFonts w:ascii="Arial" w:hAnsi="Arial" w:cs="Arial"/>
                <w:color w:val="1F1F1F"/>
                <w:sz w:val="16"/>
                <w:szCs w:val="16"/>
              </w:rPr>
            </w:pPr>
          </w:p>
          <w:p w14:paraId="4364CE6F" w14:textId="77777777" w:rsidR="00C72191" w:rsidRPr="00AD2B60" w:rsidRDefault="00C72191" w:rsidP="00192B09">
            <w:pPr>
              <w:rPr>
                <w:rFonts w:ascii="Arial" w:hAnsi="Arial" w:cs="Arial"/>
                <w:sz w:val="16"/>
                <w:szCs w:val="16"/>
              </w:rPr>
            </w:pPr>
            <w:r w:rsidRPr="00AD2B60">
              <w:rPr>
                <w:rFonts w:ascii="Arial" w:hAnsi="Arial" w:cs="Arial"/>
                <w:color w:val="1F1F1F"/>
                <w:sz w:val="16"/>
                <w:szCs w:val="16"/>
              </w:rPr>
              <w:t>Baseline: 1111</w:t>
            </w:r>
            <w:r w:rsidRPr="00AD2B60">
              <w:rPr>
                <w:rFonts w:ascii="Arial" w:hAnsi="Arial" w:cs="Arial"/>
                <w:color w:val="1F1F1F"/>
                <w:sz w:val="16"/>
                <w:szCs w:val="16"/>
              </w:rPr>
              <w:br/>
              <w:t>Follow-up: 1207</w:t>
            </w:r>
          </w:p>
        </w:tc>
        <w:tc>
          <w:tcPr>
            <w:tcW w:w="567" w:type="pct"/>
            <w:vAlign w:val="center"/>
          </w:tcPr>
          <w:p w14:paraId="0D5048F3" w14:textId="77777777" w:rsidR="00C72191" w:rsidRPr="00AD2B60" w:rsidRDefault="00C72191" w:rsidP="00192B09">
            <w:pPr>
              <w:rPr>
                <w:rFonts w:ascii="Arial" w:hAnsi="Arial" w:cs="Arial"/>
                <w:sz w:val="16"/>
                <w:szCs w:val="16"/>
              </w:rPr>
            </w:pPr>
            <w:r w:rsidRPr="00AD2B60">
              <w:rPr>
                <w:rFonts w:ascii="Arial" w:hAnsi="Arial" w:cs="Arial"/>
                <w:sz w:val="16"/>
                <w:szCs w:val="16"/>
              </w:rPr>
              <w:t>Women aged 18 or older who had sex in exchange for money or goods at least three times in the past six months. In Mozambique, FSWs aged 15–17 are considered emancipated minors and were also eligible.</w:t>
            </w:r>
          </w:p>
        </w:tc>
        <w:tc>
          <w:tcPr>
            <w:tcW w:w="370" w:type="pct"/>
            <w:vAlign w:val="center"/>
          </w:tcPr>
          <w:p w14:paraId="5C0B56D6" w14:textId="77777777" w:rsidR="00C72191" w:rsidRPr="00AD2B60" w:rsidRDefault="00C72191" w:rsidP="00192B09">
            <w:pPr>
              <w:rPr>
                <w:rFonts w:ascii="Arial" w:hAnsi="Arial" w:cs="Arial"/>
                <w:sz w:val="16"/>
                <w:szCs w:val="16"/>
              </w:rPr>
            </w:pPr>
            <w:r w:rsidRPr="00AD2B60">
              <w:rPr>
                <w:rFonts w:ascii="Arial" w:hAnsi="Arial" w:cs="Arial"/>
                <w:sz w:val="16"/>
                <w:szCs w:val="16"/>
              </w:rPr>
              <w:t>Public health facility specializing in sexual and reproductive health services, night clinic, mobile clinical services, drop-in centers.</w:t>
            </w:r>
          </w:p>
        </w:tc>
        <w:tc>
          <w:tcPr>
            <w:tcW w:w="1290" w:type="pct"/>
            <w:vAlign w:val="center"/>
          </w:tcPr>
          <w:p w14:paraId="3A0F314D" w14:textId="77777777" w:rsidR="00C72191" w:rsidRPr="00AD2B60" w:rsidRDefault="00C72191" w:rsidP="00192B09">
            <w:pPr>
              <w:rPr>
                <w:rFonts w:ascii="Arial" w:hAnsi="Arial" w:cs="Arial"/>
                <w:sz w:val="16"/>
                <w:szCs w:val="16"/>
              </w:rPr>
            </w:pPr>
            <w:r w:rsidRPr="00AD2B60">
              <w:rPr>
                <w:rFonts w:ascii="Arial" w:hAnsi="Arial" w:cs="Arial"/>
                <w:sz w:val="16"/>
                <w:szCs w:val="16"/>
              </w:rPr>
              <w:t>The study used a "diagonal" approach combining sex worker–targeted services with efforts to make public health services more inclusive. This included targeted peer outreach and community mobilization, specialized clinical services, improved access to general health services, FSW empowerment, peer health system navigators at some sites, referral mechanisms to public facilities, and training healthcare providers in FSW-friendly methods.</w:t>
            </w:r>
          </w:p>
        </w:tc>
        <w:tc>
          <w:tcPr>
            <w:tcW w:w="426" w:type="pct"/>
            <w:vAlign w:val="center"/>
          </w:tcPr>
          <w:p w14:paraId="73E31D7A" w14:textId="77777777" w:rsidR="00C72191" w:rsidRPr="00AD2B60" w:rsidRDefault="00C72191" w:rsidP="00192B09">
            <w:pPr>
              <w:rPr>
                <w:rFonts w:ascii="Arial" w:hAnsi="Arial" w:cs="Arial"/>
                <w:sz w:val="16"/>
                <w:szCs w:val="16"/>
              </w:rPr>
            </w:pPr>
            <w:r w:rsidRPr="00AD2B60">
              <w:rPr>
                <w:rFonts w:ascii="Arial" w:hAnsi="Arial" w:cs="Arial"/>
                <w:sz w:val="16"/>
                <w:szCs w:val="16"/>
              </w:rPr>
              <w:t>Comparison with data taken one and a half years earlier.</w:t>
            </w:r>
          </w:p>
        </w:tc>
        <w:tc>
          <w:tcPr>
            <w:tcW w:w="1490" w:type="pct"/>
            <w:vAlign w:val="center"/>
          </w:tcPr>
          <w:p w14:paraId="6AEECE99"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Having used all services for contraception, STI care, HIV testing, HIV care, cervical cancer screening and sexual violence, if needed, increased from 12.5% to 41.5% in Durban, 25.0% to 40.1% in </w:t>
            </w:r>
            <w:proofErr w:type="spellStart"/>
            <w:r w:rsidRPr="00AD2B60">
              <w:rPr>
                <w:rFonts w:ascii="Arial" w:hAnsi="Arial" w:cs="Arial"/>
                <w:sz w:val="16"/>
                <w:szCs w:val="16"/>
              </w:rPr>
              <w:t>Tete</w:t>
            </w:r>
            <w:proofErr w:type="spellEnd"/>
            <w:r w:rsidRPr="00AD2B60">
              <w:rPr>
                <w:rFonts w:ascii="Arial" w:hAnsi="Arial" w:cs="Arial"/>
                <w:sz w:val="16"/>
                <w:szCs w:val="16"/>
              </w:rPr>
              <w:t xml:space="preserve"> and 44.9% to 69.1% in Mombasa. Across cities, the effect was greatest in having been tested for HIV in the past six months which increased from 40.9% to 83.2% in Durban, 56.0% to 76.6% in </w:t>
            </w:r>
            <w:proofErr w:type="spellStart"/>
            <w:r w:rsidRPr="00AD2B60">
              <w:rPr>
                <w:rFonts w:ascii="Arial" w:hAnsi="Arial" w:cs="Arial"/>
                <w:sz w:val="16"/>
                <w:szCs w:val="16"/>
              </w:rPr>
              <w:t>Tete</w:t>
            </w:r>
            <w:proofErr w:type="spellEnd"/>
            <w:r w:rsidRPr="00AD2B60">
              <w:rPr>
                <w:rFonts w:ascii="Arial" w:hAnsi="Arial" w:cs="Arial"/>
                <w:sz w:val="16"/>
                <w:szCs w:val="16"/>
              </w:rPr>
              <w:t xml:space="preserve"> and 70.9% to 87.6% in Mombasa. </w:t>
            </w:r>
          </w:p>
        </w:tc>
      </w:tr>
      <w:tr w:rsidR="00C72191" w:rsidRPr="00AD2B60" w14:paraId="5E6A8F52" w14:textId="77777777" w:rsidTr="00192B09">
        <w:trPr>
          <w:cantSplit/>
          <w:jc w:val="center"/>
        </w:trPr>
        <w:tc>
          <w:tcPr>
            <w:tcW w:w="386" w:type="pct"/>
            <w:vAlign w:val="center"/>
          </w:tcPr>
          <w:p w14:paraId="4046DB6D"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lastRenderedPageBreak/>
              <w:t>Lafort</w:t>
            </w:r>
            <w:proofErr w:type="spellEnd"/>
            <w:r w:rsidRPr="00AD2B60">
              <w:rPr>
                <w:rFonts w:ascii="Arial" w:hAnsi="Arial" w:cs="Arial"/>
                <w:sz w:val="16"/>
                <w:szCs w:val="16"/>
              </w:rPr>
              <w:t xml:space="preserve"> et al.(2018)</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{"citationID":"559aPHKR","properties":{"formattedCitation":"\\super 49\\nosupersub{}","plainCitation":"49","noteIndex":0},"citationItems":[{"id":1058,"uris":["http://zotero.org/users/1379219/items/FMM75XYL"],"itemData":{"id":1058,"type":"article-journal","abstract":"Female sex workers (FSWs) in many settings have restricted access to sexual and reproductive health (SRH) services. We therefore conducted an implementation study to test a ‘diagonal’ intervention which combined strengthening of FSW-targeted services (vertical) with making public health facilities more FSW-friendly (horizontal). We piloted it over 18 months and then assessed its performance.","container-title":"BMC Health Services Research","DOI":"10.1186/s12913-018-3555-2","ISSN":"1472-6963","issue":"1","journalAbbreviation":"BMC Health Services Research","page":"752","source":"BioMed Central","title":"Feasibility, acceptability and potential sustainability of a ‘diagonal’ approach to health services for female sex workers in Mozambique","volume":"18","author":[{"family":"Lafort","given":"Yves"},{"family":"Ismael de Melo","given":"Malica Sofia"},{"family":"Lessitala","given":"Faustino"},{"family":"Griffin","given":"Sally"},{"family":"Chersich","given":"Matthew"},{"family":"Delva","given":"Wim"}],"issued":{"date-parts":[["2018",10,3]]}}}],"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49</w:t>
            </w:r>
            <w:r w:rsidRPr="00AD2B60">
              <w:rPr>
                <w:rFonts w:asciiTheme="minorHAnsi" w:hAnsiTheme="minorHAnsi" w:cstheme="minorHAnsi"/>
                <w:sz w:val="16"/>
                <w:szCs w:val="16"/>
              </w:rPr>
              <w:fldChar w:fldCharType="end"/>
            </w:r>
          </w:p>
        </w:tc>
        <w:tc>
          <w:tcPr>
            <w:tcW w:w="471" w:type="pct"/>
            <w:vAlign w:val="center"/>
          </w:tcPr>
          <w:p w14:paraId="795CAB2D" w14:textId="77777777" w:rsidR="00C72191" w:rsidRPr="00AD2B60" w:rsidRDefault="00C72191" w:rsidP="00192B09">
            <w:pPr>
              <w:rPr>
                <w:rFonts w:ascii="Arial" w:hAnsi="Arial" w:cs="Arial"/>
                <w:sz w:val="16"/>
                <w:szCs w:val="16"/>
              </w:rPr>
            </w:pPr>
            <w:r w:rsidRPr="00AD2B60">
              <w:rPr>
                <w:rFonts w:ascii="Arial" w:hAnsi="Arial" w:cs="Arial"/>
                <w:sz w:val="16"/>
                <w:szCs w:val="16"/>
              </w:rPr>
              <w:t>Mozambique</w:t>
            </w:r>
          </w:p>
          <w:p w14:paraId="731FE198" w14:textId="77777777" w:rsidR="00C72191" w:rsidRPr="00AD2B60" w:rsidRDefault="00C72191" w:rsidP="00192B09">
            <w:pPr>
              <w:rPr>
                <w:rFonts w:ascii="Arial" w:hAnsi="Arial" w:cs="Arial"/>
                <w:sz w:val="16"/>
                <w:szCs w:val="16"/>
              </w:rPr>
            </w:pPr>
          </w:p>
          <w:p w14:paraId="291E74FD"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key informants:14 </w:t>
            </w:r>
          </w:p>
          <w:p w14:paraId="107ACFA0" w14:textId="77777777" w:rsidR="00C72191" w:rsidRPr="00AD2B60" w:rsidRDefault="00C72191" w:rsidP="00192B09">
            <w:pPr>
              <w:rPr>
                <w:rFonts w:ascii="Arial" w:hAnsi="Arial" w:cs="Arial"/>
                <w:sz w:val="16"/>
                <w:szCs w:val="16"/>
              </w:rPr>
            </w:pPr>
            <w:r w:rsidRPr="00AD2B60">
              <w:rPr>
                <w:rFonts w:ascii="Arial" w:hAnsi="Arial" w:cs="Arial"/>
                <w:sz w:val="16"/>
                <w:szCs w:val="16"/>
              </w:rPr>
              <w:t>FSW at the public health facilities :4.</w:t>
            </w:r>
          </w:p>
          <w:p w14:paraId="527BEC10" w14:textId="77777777" w:rsidR="00C72191" w:rsidRPr="00AD2B60" w:rsidRDefault="00C72191" w:rsidP="00192B09">
            <w:pPr>
              <w:rPr>
                <w:rFonts w:ascii="Arial" w:hAnsi="Arial" w:cs="Arial"/>
                <w:sz w:val="16"/>
                <w:szCs w:val="16"/>
              </w:rPr>
            </w:pPr>
            <w:r w:rsidRPr="00AD2B60">
              <w:rPr>
                <w:rFonts w:ascii="Arial" w:hAnsi="Arial" w:cs="Arial"/>
                <w:sz w:val="16"/>
                <w:szCs w:val="16"/>
              </w:rPr>
              <w:t>Peer outreach workers: 16</w:t>
            </w:r>
          </w:p>
        </w:tc>
        <w:tc>
          <w:tcPr>
            <w:tcW w:w="567" w:type="pct"/>
            <w:vAlign w:val="center"/>
          </w:tcPr>
          <w:p w14:paraId="771C11D4" w14:textId="77777777" w:rsidR="00C72191" w:rsidRPr="00AD2B60" w:rsidRDefault="00C72191" w:rsidP="00192B09">
            <w:pPr>
              <w:rPr>
                <w:rFonts w:ascii="Arial" w:hAnsi="Arial" w:cs="Arial"/>
                <w:sz w:val="16"/>
                <w:szCs w:val="16"/>
              </w:rPr>
            </w:pPr>
            <w:r w:rsidRPr="00AD2B60">
              <w:rPr>
                <w:rFonts w:ascii="Arial" w:hAnsi="Arial" w:cs="Arial"/>
                <w:sz w:val="16"/>
                <w:szCs w:val="16"/>
              </w:rPr>
              <w:t>Participants who played an important role in defining or influencing sexual and reproductive health policies for key populations at the national level, or who had a relevant role in managing programs at the provincial or district level.</w:t>
            </w:r>
          </w:p>
        </w:tc>
        <w:tc>
          <w:tcPr>
            <w:tcW w:w="370" w:type="pct"/>
            <w:vAlign w:val="center"/>
          </w:tcPr>
          <w:p w14:paraId="0AE4E110" w14:textId="77777777" w:rsidR="00C72191" w:rsidRPr="00AD2B60" w:rsidRDefault="00C72191" w:rsidP="00192B09">
            <w:pPr>
              <w:rPr>
                <w:rFonts w:ascii="Arial" w:hAnsi="Arial" w:cs="Arial"/>
                <w:sz w:val="16"/>
                <w:szCs w:val="16"/>
              </w:rPr>
            </w:pPr>
            <w:r w:rsidRPr="00AD2B60">
              <w:rPr>
                <w:rFonts w:ascii="Arial" w:hAnsi="Arial" w:cs="Arial"/>
                <w:sz w:val="16"/>
                <w:szCs w:val="16"/>
              </w:rPr>
              <w:t>Night clinic, mobile clinical services.</w:t>
            </w:r>
          </w:p>
        </w:tc>
        <w:tc>
          <w:tcPr>
            <w:tcW w:w="1290" w:type="pct"/>
            <w:vAlign w:val="center"/>
          </w:tcPr>
          <w:p w14:paraId="099ADDC9" w14:textId="77777777" w:rsidR="00C72191" w:rsidRPr="00AD2B60" w:rsidRDefault="00C72191" w:rsidP="00192B09">
            <w:pPr>
              <w:rPr>
                <w:rFonts w:ascii="Arial" w:hAnsi="Arial" w:cs="Arial"/>
                <w:sz w:val="16"/>
                <w:szCs w:val="16"/>
              </w:rPr>
            </w:pPr>
            <w:r w:rsidRPr="00AD2B60">
              <w:rPr>
                <w:rFonts w:ascii="Arial" w:hAnsi="Arial" w:cs="Arial"/>
                <w:sz w:val="16"/>
                <w:szCs w:val="16"/>
              </w:rPr>
              <w:t>The study implemented a "diagonal" approach that combined services specifically targeted at sex workers with actions to make public health services more inclusive: targeted peer outreach and community mobilization, targeted clinical services, improve access to the general health services, linkages and referral systems and monitoring systems.</w:t>
            </w:r>
          </w:p>
        </w:tc>
        <w:tc>
          <w:tcPr>
            <w:tcW w:w="426" w:type="pct"/>
            <w:vAlign w:val="center"/>
          </w:tcPr>
          <w:p w14:paraId="153B19A0"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1752CC0B" w14:textId="77777777" w:rsidR="00C72191" w:rsidRPr="00AD2B60" w:rsidRDefault="00C72191" w:rsidP="00192B09">
            <w:pPr>
              <w:rPr>
                <w:rFonts w:ascii="Arial" w:hAnsi="Arial" w:cs="Arial"/>
                <w:sz w:val="16"/>
                <w:szCs w:val="16"/>
              </w:rPr>
            </w:pPr>
            <w:r w:rsidRPr="00AD2B60">
              <w:rPr>
                <w:rFonts w:ascii="Arial" w:hAnsi="Arial" w:cs="Arial"/>
                <w:sz w:val="16"/>
                <w:szCs w:val="16"/>
              </w:rPr>
              <w:t>The expansion of targeted services was limited by insufficient funding, institutional capacity, and lack of support from local government and private partners. While there was broad agreement on the need for FSWs to access SRH services, there was no consensus on how to achieve this. Stakeholders felt the piloted model was neither fully sustainable nor replicable nationwide due to reliance on short-term project funding, absence of government endorsement for targeted clinical services, and the perception that community activities are civil society’s responsibility.</w:t>
            </w:r>
          </w:p>
        </w:tc>
      </w:tr>
      <w:tr w:rsidR="00C72191" w:rsidRPr="00AD2B60" w14:paraId="36DA47A9" w14:textId="77777777" w:rsidTr="00192B09">
        <w:trPr>
          <w:cantSplit/>
          <w:jc w:val="center"/>
        </w:trPr>
        <w:tc>
          <w:tcPr>
            <w:tcW w:w="386" w:type="pct"/>
            <w:vAlign w:val="center"/>
          </w:tcPr>
          <w:p w14:paraId="39092803"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Lafort</w:t>
            </w:r>
            <w:proofErr w:type="spellEnd"/>
            <w:r w:rsidRPr="00AD2B60">
              <w:rPr>
                <w:rFonts w:ascii="Arial" w:hAnsi="Arial" w:cs="Arial"/>
                <w:sz w:val="16"/>
                <w:szCs w:val="16"/>
              </w:rPr>
              <w:t xml:space="preserve"> et al.(2018) </w:t>
            </w:r>
            <w:r w:rsidRPr="00AD2B60">
              <w:rPr>
                <w:rFonts w:ascii="Arial" w:hAnsi="Arial" w:cs="Arial"/>
                <w:sz w:val="16"/>
                <w:szCs w:val="16"/>
              </w:rPr>
              <w:fldChar w:fldCharType="begin"/>
            </w:r>
            <w:r w:rsidRPr="00AD2B60">
              <w:rPr>
                <w:rFonts w:ascii="Arial" w:hAnsi="Arial" w:cs="Arial"/>
                <w:sz w:val="16"/>
                <w:szCs w:val="16"/>
              </w:rPr>
              <w:instrText xml:space="preserve"> ADDIN ZOTERO_ITEM CSL_CITATION {"citationID":"ntoUhoeD","properties":{"formattedCitation":"\\super 50\\nosupersub{}","plainCitation":"50","noteIndex":0},"citationItems":[{"id":1061,"uris":["http://zotero.org/users/1379219/items/3NDHFFXH"],"itemData":{"id":1061,"type":"article-journal","abstract":"Background Female sex workers (FSWs) have high risks for adverse sexual and reproductive health (SRH) outcomes, yet low access to services. Within an implementation research project enhancing uptake of SRH services by FSWs, we piloted a ‘diagonal’ intervention, which combined strengthening of FSW-targeted services (vertical) with making public health facilities more FSW-friendly (horizontal), and tested its effect.Methods The study applied a convergent parallel mixed-methods design to assess changes in access to SRH services. Results of structured interviews with FSWs pre-intervention (N=311) and thereafter (N=404) were compared with the findings of eight post-intervention focus group discussions (FGD) with FSWs and two with FSW-peer educators. Results Marked and statistically significant rises occurred in consistent condom use with all partners (from 55.3% to 67.7%), ever use of female condoms (37.9% to 54.5%), being tested for HIV in the past six months (56.0% to 76.6%), using contraception (84.5% to 95.4%), ever screened for cervical cancer (0.0% to 16.9%) and having ≥10 contacts with a peer educator in the past year (0.5% to 24.45%). Increases mostly resulted from FSW-targeted outreach, with no rise detected in utilization of public health facilities. FGD participants reported that some facilities had become more FSW-friendly, but barriers such as stock-outs, being asked for bribes and disrespectful treatment persisted.Conclusion The combination of expanding FSW-targeted SRH services with improving access to the public health services, resulted in an overall increased uptake of services, but almost exclusively because of the strengthened targeted (vertical) outreach services. Utilization of public SRH services had not yet increased and many barriers to access remained. Our diagonal approach was thus only successful in its vertical component. Improving access to the general health services remains nevertheless important and further research is needed how to reduce barriers. Ideally, the combination approach should be maintained and more successful approaches to increase utilization of public services should be explored.","container-title":"Frontiers in Public Health","DOI":"10.3389/fpubh.2018.00109","ISSN":"2296-2565","journalAbbreviation":"Front. Public Health","language":"English","note":"publisher: Frontiers","source":"Frontiers","title":"Impact of a “Diagonal” Intervention on Uptake of Sexual and Reproductive Health Services by Female Sex Workers in Mozambique: A Mixed-Methods Implementation Study","title-short":"Impact of a “Diagonal” Intervention on Uptake of Sexual and Reproductive Health Services by Female Sex Workers in Mozambique","URL":"https://www.frontiersin.org/journals/public-health/articles/10.3389/fpubh.2018.00109/full","volume":"6","author":[{"family":"Lafort","given":"Yves"},{"family":"Lessitala","given":"Faustino"},{"family":"Ismael de Melo","given":"Malica Sofia"},{"family":"Griffin","given":"Sally"},{"family":"Chersich","given":"Matthew"},{"family":"Delva","given":"Wim"}],"accessed":{"date-parts":[["2025",10,15]]},"issued":{"date-parts":[["2018",4,18]]}}}],"schema":"https://github.com/citation-style-language/schema/raw/master/csl-citation.json"} </w:instrText>
            </w:r>
            <w:r w:rsidRPr="00AD2B60">
              <w:rPr>
                <w:rFonts w:ascii="Arial" w:hAnsi="Arial" w:cs="Arial"/>
                <w:sz w:val="16"/>
                <w:szCs w:val="16"/>
              </w:rPr>
              <w:fldChar w:fldCharType="separate"/>
            </w:r>
            <w:r w:rsidRPr="00AD2B60">
              <w:rPr>
                <w:rFonts w:ascii="Arial" w:hAnsi="Arial" w:cs="Arial"/>
                <w:sz w:val="16"/>
                <w:vertAlign w:val="superscript"/>
              </w:rPr>
              <w:t>50</w:t>
            </w:r>
            <w:r w:rsidRPr="00AD2B60">
              <w:rPr>
                <w:rFonts w:ascii="Arial" w:hAnsi="Arial" w:cs="Arial"/>
                <w:sz w:val="16"/>
                <w:szCs w:val="16"/>
              </w:rPr>
              <w:fldChar w:fldCharType="end"/>
            </w:r>
          </w:p>
        </w:tc>
        <w:tc>
          <w:tcPr>
            <w:tcW w:w="471" w:type="pct"/>
            <w:vAlign w:val="center"/>
          </w:tcPr>
          <w:p w14:paraId="2F50D228" w14:textId="77777777" w:rsidR="00C72191" w:rsidRPr="00AD2B60" w:rsidRDefault="00C72191" w:rsidP="00192B09">
            <w:pPr>
              <w:rPr>
                <w:rFonts w:ascii="Arial" w:hAnsi="Arial" w:cs="Arial"/>
                <w:sz w:val="16"/>
                <w:szCs w:val="16"/>
              </w:rPr>
            </w:pPr>
            <w:r w:rsidRPr="00AD2B60">
              <w:rPr>
                <w:rFonts w:ascii="Arial" w:hAnsi="Arial" w:cs="Arial"/>
                <w:sz w:val="16"/>
                <w:szCs w:val="16"/>
              </w:rPr>
              <w:t>India, Kenya, Mozambique, and South Africa</w:t>
            </w:r>
          </w:p>
          <w:p w14:paraId="4A9B24EB" w14:textId="77777777" w:rsidR="00C72191" w:rsidRPr="00AD2B60" w:rsidRDefault="00C72191" w:rsidP="00192B09">
            <w:pPr>
              <w:rPr>
                <w:rFonts w:ascii="Arial" w:hAnsi="Arial" w:cs="Arial"/>
                <w:sz w:val="16"/>
                <w:szCs w:val="16"/>
              </w:rPr>
            </w:pPr>
          </w:p>
          <w:p w14:paraId="3CE423C9"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Surveys 404 </w:t>
            </w:r>
            <w:r w:rsidRPr="00AD2B60">
              <w:rPr>
                <w:rFonts w:ascii="Arial" w:hAnsi="Arial" w:cs="Arial"/>
                <w:sz w:val="16"/>
                <w:szCs w:val="16"/>
              </w:rPr>
              <w:br/>
              <w:t>Individuals in focus groups: 46</w:t>
            </w:r>
          </w:p>
        </w:tc>
        <w:tc>
          <w:tcPr>
            <w:tcW w:w="567" w:type="pct"/>
            <w:vAlign w:val="center"/>
          </w:tcPr>
          <w:p w14:paraId="173DBCC0"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FSWs 18 and over living or working in </w:t>
            </w:r>
            <w:proofErr w:type="spellStart"/>
            <w:r w:rsidRPr="00AD2B60">
              <w:rPr>
                <w:rFonts w:ascii="Arial" w:hAnsi="Arial" w:cs="Arial"/>
                <w:sz w:val="16"/>
                <w:szCs w:val="16"/>
              </w:rPr>
              <w:t>Tete</w:t>
            </w:r>
            <w:proofErr w:type="spellEnd"/>
            <w:r w:rsidRPr="00AD2B60">
              <w:rPr>
                <w:rFonts w:ascii="Arial" w:hAnsi="Arial" w:cs="Arial"/>
                <w:sz w:val="16"/>
                <w:szCs w:val="16"/>
              </w:rPr>
              <w:t>-Moatize, Mozambique</w:t>
            </w:r>
          </w:p>
        </w:tc>
        <w:tc>
          <w:tcPr>
            <w:tcW w:w="370" w:type="pct"/>
            <w:vAlign w:val="center"/>
          </w:tcPr>
          <w:p w14:paraId="367EC65A" w14:textId="77777777" w:rsidR="00C72191" w:rsidRPr="00AD2B60" w:rsidRDefault="00C72191" w:rsidP="00192B09">
            <w:pPr>
              <w:rPr>
                <w:rFonts w:ascii="Arial" w:hAnsi="Arial" w:cs="Arial"/>
                <w:sz w:val="16"/>
                <w:szCs w:val="16"/>
              </w:rPr>
            </w:pPr>
            <w:r w:rsidRPr="00AD2B60">
              <w:rPr>
                <w:rFonts w:ascii="Arial" w:hAnsi="Arial" w:cs="Arial"/>
                <w:sz w:val="16"/>
                <w:szCs w:val="16"/>
              </w:rPr>
              <w:t>Public health centers, Night Clinic, outreach/mobile clinical services</w:t>
            </w:r>
          </w:p>
        </w:tc>
        <w:tc>
          <w:tcPr>
            <w:tcW w:w="1290" w:type="pct"/>
            <w:vAlign w:val="center"/>
          </w:tcPr>
          <w:p w14:paraId="388C31CE" w14:textId="77777777" w:rsidR="00C72191" w:rsidRPr="00AD2B60" w:rsidRDefault="00C72191" w:rsidP="00192B09">
            <w:pPr>
              <w:rPr>
                <w:rFonts w:ascii="Arial" w:hAnsi="Arial" w:cs="Arial"/>
                <w:sz w:val="16"/>
                <w:szCs w:val="16"/>
              </w:rPr>
            </w:pPr>
            <w:r w:rsidRPr="00AD2B60">
              <w:rPr>
                <w:rFonts w:ascii="Arial" w:hAnsi="Arial" w:cs="Arial"/>
                <w:sz w:val="16"/>
                <w:szCs w:val="16"/>
              </w:rPr>
              <w:t>The intervention used a "diagonal" strategy combining targeted activities for FSWs with enhanced access to general health services. Vertical activities included an exclusive health center (Night Clinic) and community outreach for education, condom distribution, and HIV testing. Horizontal activities focused on improving public health service access through provider training and designating “focal points” to ensure FSW-friendly care.</w:t>
            </w:r>
          </w:p>
        </w:tc>
        <w:tc>
          <w:tcPr>
            <w:tcW w:w="426" w:type="pct"/>
            <w:vAlign w:val="center"/>
          </w:tcPr>
          <w:p w14:paraId="755F6DC5" w14:textId="77777777" w:rsidR="00C72191" w:rsidRPr="00AD2B60" w:rsidRDefault="00C72191" w:rsidP="00192B09">
            <w:pPr>
              <w:rPr>
                <w:rFonts w:ascii="Arial" w:hAnsi="Arial" w:cs="Arial"/>
                <w:sz w:val="16"/>
                <w:szCs w:val="16"/>
              </w:rPr>
            </w:pPr>
            <w:r w:rsidRPr="00AD2B60">
              <w:rPr>
                <w:rFonts w:ascii="Arial" w:hAnsi="Arial" w:cs="Arial"/>
                <w:sz w:val="16"/>
                <w:szCs w:val="16"/>
              </w:rPr>
              <w:t>Comparison with data taken two years earlier.</w:t>
            </w:r>
          </w:p>
        </w:tc>
        <w:tc>
          <w:tcPr>
            <w:tcW w:w="1490" w:type="pct"/>
            <w:vAlign w:val="center"/>
          </w:tcPr>
          <w:p w14:paraId="690318C6" w14:textId="77777777" w:rsidR="00C72191" w:rsidRPr="00AD2B60" w:rsidRDefault="00C72191" w:rsidP="00192B09">
            <w:pPr>
              <w:rPr>
                <w:rFonts w:ascii="Arial" w:hAnsi="Arial" w:cs="Arial"/>
                <w:sz w:val="16"/>
                <w:szCs w:val="16"/>
              </w:rPr>
            </w:pPr>
            <w:r w:rsidRPr="00AD2B60">
              <w:rPr>
                <w:rFonts w:ascii="Arial" w:hAnsi="Arial" w:cs="Arial"/>
                <w:sz w:val="16"/>
                <w:szCs w:val="16"/>
              </w:rPr>
              <w:t>Significant improvements included consistent condom use rising from 55.3% to 67.7%, HIV testing in the past 6 months increasing from 56.0% to 76.6%, modern contraceptive use going from 84.5% to 95.4%, and cervical cancer screening rising from 0% to 16.9%. Contact with peer educators also increased notably. However, use of public health services did not significantly improve. Barriers like supply stock-outs, informal charges, stigma, and disrespectful treatment—particularly toward foreign sex workers—persisted.</w:t>
            </w:r>
          </w:p>
        </w:tc>
      </w:tr>
      <w:tr w:rsidR="00C72191" w:rsidRPr="00AD2B60" w14:paraId="064A3160" w14:textId="77777777" w:rsidTr="00192B09">
        <w:trPr>
          <w:cantSplit/>
          <w:jc w:val="center"/>
        </w:trPr>
        <w:tc>
          <w:tcPr>
            <w:tcW w:w="386" w:type="pct"/>
            <w:vAlign w:val="center"/>
          </w:tcPr>
          <w:p w14:paraId="6EFBEF2A"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Lazarus et al. (2012)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{"citationID":"b9f043qj","properties":{"formattedCitation":"\\super 51\\nosupersub{}","plainCitation":"51","noteIndex":0},"citationItems":[{"id":1017,"uris":["http://zotero.org/users/1379219/items/FTXV5ENV"],"itemData":{"id":1017,"type":"article-journal","abstract":"To meet the HIV prevention needs of sex workers in India, some community-based organizations have begun integrating peer education and community mobilization into community-led structural interventions. As the role of community-based organizations continues to expand into new service areas, it is important to understand how these new interventions are received. This agency assessment was done in collaboration with Ashodaya Samithi in 2009. Ashodaya Samithi is a community-based organization led by female, male, and transgendered sex workers. In the past year, HIV-positive sex workers of Ashodaya have registered their own organization, known as Ashraya. Based on qualitative findings, this study describes how community-based organizations can play an important role in improving access to care and antiretroviral treatment for sex workers. The rapid growth of Ashraya and its success at fostering social solidarity and large-scale structural interventions hold valuable lessons for community-based organizations and public health practitioners working in the field of HIV/AIDS.","container-title":"Journal of HIV/AIDS &amp; Social Services","DOI":"10.1080/15381501.2012.678132","ISSN":"1538-1501","issue":"2","note":"publisher: Taylor &amp; Francis\n_eprint: https://doi.org/10.1080/15381501.2012.678132","page":"152-168","source":"Taylor and Francis+NEJM","title":"Exploring the Role of Community-Based Peer Support in Improving Access to Care and Antiretroviral Treatment for Sex Workers in Mysore, India","volume":"11","author":[{"family":"Lazarus","given":"Lisa"},{"family":"Reza-Paul","given":"Sushena"},{"family":"Pasha","given":"Akram"},{"family":"Jairam","given":"Seema"},{"family":"Hafeez Ur Rahman","given":"Syed"},{"family":"O'Neil","given":"John"},{"family":"Lorway","given":"Robert"}],"issued":{"date-parts":[["2012",4,1]]}}}],"schema":"https://github.com/citation-style-language/schema/raw/master/csl-citation.json"}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51</w:t>
            </w:r>
            <w:r w:rsidRPr="00AD2B60">
              <w:rPr>
                <w:rFonts w:asciiTheme="minorHAnsi" w:hAnsiTheme="minorHAnsi" w:cstheme="minorHAnsi"/>
                <w:sz w:val="16"/>
                <w:szCs w:val="16"/>
              </w:rPr>
              <w:fldChar w:fldCharType="end"/>
            </w:r>
          </w:p>
        </w:tc>
        <w:tc>
          <w:tcPr>
            <w:tcW w:w="471" w:type="pct"/>
            <w:vAlign w:val="center"/>
          </w:tcPr>
          <w:p w14:paraId="5213171E"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India </w:t>
            </w:r>
          </w:p>
          <w:p w14:paraId="416AB34A" w14:textId="77777777" w:rsidR="00C72191" w:rsidRPr="00AD2B60" w:rsidRDefault="00C72191" w:rsidP="00192B09">
            <w:pPr>
              <w:rPr>
                <w:rFonts w:ascii="Arial" w:hAnsi="Arial" w:cs="Arial"/>
                <w:sz w:val="16"/>
                <w:szCs w:val="16"/>
              </w:rPr>
            </w:pPr>
          </w:p>
          <w:p w14:paraId="356CEC1C" w14:textId="77777777" w:rsidR="00C72191" w:rsidRPr="00AD2B60" w:rsidRDefault="00C72191" w:rsidP="00192B09">
            <w:pPr>
              <w:rPr>
                <w:rFonts w:ascii="Arial" w:hAnsi="Arial" w:cs="Arial"/>
                <w:sz w:val="16"/>
                <w:szCs w:val="16"/>
              </w:rPr>
            </w:pPr>
            <w:r w:rsidRPr="00AD2B60">
              <w:rPr>
                <w:rFonts w:ascii="Arial" w:hAnsi="Arial" w:cs="Arial"/>
                <w:sz w:val="16"/>
                <w:szCs w:val="16"/>
              </w:rPr>
              <w:t>20</w:t>
            </w:r>
          </w:p>
        </w:tc>
        <w:tc>
          <w:tcPr>
            <w:tcW w:w="567" w:type="pct"/>
            <w:vAlign w:val="center"/>
          </w:tcPr>
          <w:p w14:paraId="2EAAB9ED" w14:textId="77777777" w:rsidR="00C72191" w:rsidRPr="00AD2B60" w:rsidRDefault="00C72191" w:rsidP="00192B09">
            <w:pPr>
              <w:rPr>
                <w:rFonts w:ascii="Arial" w:hAnsi="Arial" w:cs="Arial"/>
                <w:sz w:val="16"/>
                <w:szCs w:val="16"/>
              </w:rPr>
            </w:pPr>
            <w:r w:rsidRPr="00AD2B60">
              <w:rPr>
                <w:rFonts w:ascii="Arial" w:hAnsi="Arial" w:cs="Arial"/>
                <w:sz w:val="16"/>
                <w:szCs w:val="16"/>
              </w:rPr>
              <w:t>People living with HIV, members of Ashraya, and active participants in the community.</w:t>
            </w:r>
          </w:p>
        </w:tc>
        <w:tc>
          <w:tcPr>
            <w:tcW w:w="370" w:type="pct"/>
            <w:vAlign w:val="center"/>
          </w:tcPr>
          <w:p w14:paraId="66AB8513"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Community-based organization </w:t>
            </w:r>
            <w:proofErr w:type="spellStart"/>
            <w:r w:rsidRPr="00AD2B60">
              <w:rPr>
                <w:rFonts w:ascii="Arial" w:hAnsi="Arial" w:cs="Arial"/>
                <w:sz w:val="16"/>
                <w:szCs w:val="16"/>
              </w:rPr>
              <w:t>Ashodaya</w:t>
            </w:r>
            <w:proofErr w:type="spellEnd"/>
            <w:r w:rsidRPr="00AD2B60">
              <w:rPr>
                <w:rFonts w:ascii="Arial" w:hAnsi="Arial" w:cs="Arial"/>
                <w:sz w:val="16"/>
                <w:szCs w:val="16"/>
              </w:rPr>
              <w:t xml:space="preserve"> and public hospitals</w:t>
            </w:r>
          </w:p>
        </w:tc>
        <w:tc>
          <w:tcPr>
            <w:tcW w:w="1290" w:type="pct"/>
            <w:vAlign w:val="center"/>
          </w:tcPr>
          <w:p w14:paraId="5D1D0AC8" w14:textId="77777777" w:rsidR="00C72191" w:rsidRPr="00AD2B60" w:rsidRDefault="00C72191" w:rsidP="00192B09">
            <w:pPr>
              <w:rPr>
                <w:rFonts w:ascii="Arial" w:hAnsi="Arial" w:cs="Arial"/>
                <w:sz w:val="16"/>
                <w:szCs w:val="16"/>
              </w:rPr>
            </w:pPr>
            <w:r w:rsidRPr="00AD2B60">
              <w:rPr>
                <w:rFonts w:ascii="Arial" w:hAnsi="Arial" w:cs="Arial"/>
                <w:sz w:val="16"/>
                <w:szCs w:val="16"/>
              </w:rPr>
              <w:t>The community-based peer support intervention, led by Ashraya—a collective of HIV-positive FSWs—involved twelve trained HIV-positive FSW volunteers placed in eight government HIV testing and treatment centers. They provided peer counseling, ART adherence support, accompaniment to referrals, home visits, and organized support groups. The volunteers also sensitized healthcare providers to reduce stigma and discrimination. The intervention aimed to improve care access, treatment adherence, and solidarity among HIV-positive FSWs.</w:t>
            </w:r>
          </w:p>
        </w:tc>
        <w:tc>
          <w:tcPr>
            <w:tcW w:w="426" w:type="pct"/>
            <w:vAlign w:val="center"/>
          </w:tcPr>
          <w:p w14:paraId="3E33958A"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5BFCA4C6" w14:textId="77777777" w:rsidR="00C72191" w:rsidRPr="00AD2B60" w:rsidRDefault="00C72191" w:rsidP="00192B09">
            <w:pPr>
              <w:rPr>
                <w:rFonts w:ascii="Arial" w:hAnsi="Arial" w:cs="Arial"/>
                <w:sz w:val="16"/>
                <w:szCs w:val="16"/>
              </w:rPr>
            </w:pPr>
            <w:r w:rsidRPr="00AD2B60">
              <w:rPr>
                <w:rFonts w:ascii="Arial" w:hAnsi="Arial" w:cs="Arial"/>
                <w:sz w:val="16"/>
                <w:szCs w:val="16"/>
              </w:rPr>
              <w:t>FSW participants found the intervention highly relevant and impactful. Peer support from HIV-positive FSW volunteers was essential for increasing comfort and confidence in accessing healthcare. Peer accompaniment reduced stigma and discrimination in healthcare settings and supported ART initiation and adherence. This emotional and practical support fostered solidarity and empowerment among HIV-positive FSWs. Remaining barriers included poverty, transportation difficulties, and deep-rooted social stigma.</w:t>
            </w:r>
          </w:p>
        </w:tc>
      </w:tr>
      <w:tr w:rsidR="00C72191" w:rsidRPr="00AD2B60" w14:paraId="23A46093" w14:textId="77777777" w:rsidTr="00192B09">
        <w:trPr>
          <w:cantSplit/>
          <w:jc w:val="center"/>
        </w:trPr>
        <w:tc>
          <w:tcPr>
            <w:tcW w:w="386" w:type="pct"/>
            <w:vAlign w:val="center"/>
          </w:tcPr>
          <w:p w14:paraId="6754E380"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 xml:space="preserve">Leyva-Flores et al. (2013)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{"citationID":"IdpKBS5T","properties":{"formattedCitation":"\\super 52\\nosupersub{}","plainCitation":"52","noteIndex":0},"citationItems":[{"id":1042,"uris":["http://zotero.org/users/1379219/items/44HSJ8YB"],"itemData":{"id":1042,"type":"article-journal","container-title":"Salud Pública de México","ISSN":"0036-3634","language":"es","note":"publisher: Instituto Nacional de Salud Pública","page":"S31-S38","source":"SciELO","title":"Acceso a servicios de prevención de its y vih en trabajadoras sexuales en zonas fronterizas de Centroamérica","volume":"55","author":[{"family":"Leyva-Flores","given":"René"},{"family":"Quintino-Pérez","given":"Frida"},{"family":"Figueroa-Lara","given":"Alejandro"},{"family":"Cuadra","given":"Magali"},{"family":"Smith","given":"Dee"},{"family":"García","given":"Carmen"}],"issued":{"date-parts":[["2013",7]]}}}],"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52</w:t>
            </w:r>
            <w:r w:rsidRPr="00AD2B60">
              <w:rPr>
                <w:rFonts w:asciiTheme="minorHAnsi" w:hAnsiTheme="minorHAnsi" w:cstheme="minorHAnsi"/>
                <w:sz w:val="16"/>
                <w:szCs w:val="16"/>
              </w:rPr>
              <w:fldChar w:fldCharType="end"/>
            </w:r>
          </w:p>
        </w:tc>
        <w:tc>
          <w:tcPr>
            <w:tcW w:w="471" w:type="pct"/>
            <w:vAlign w:val="center"/>
          </w:tcPr>
          <w:p w14:paraId="3EA8851C" w14:textId="77777777" w:rsidR="00C72191" w:rsidRPr="00AD2B60" w:rsidRDefault="00C72191" w:rsidP="00192B09">
            <w:pPr>
              <w:rPr>
                <w:rFonts w:ascii="Arial" w:hAnsi="Arial" w:cs="Arial"/>
                <w:sz w:val="16"/>
                <w:szCs w:val="16"/>
                <w:lang w:val="es-CO"/>
              </w:rPr>
            </w:pPr>
            <w:r w:rsidRPr="00AD2B60">
              <w:rPr>
                <w:rFonts w:ascii="Arial" w:hAnsi="Arial" w:cs="Arial"/>
                <w:sz w:val="16"/>
                <w:szCs w:val="16"/>
                <w:lang w:val="es-CO"/>
              </w:rPr>
              <w:t>Costa Rica–</w:t>
            </w:r>
            <w:proofErr w:type="spellStart"/>
            <w:r w:rsidRPr="00AD2B60">
              <w:rPr>
                <w:rFonts w:ascii="Arial" w:hAnsi="Arial" w:cs="Arial"/>
                <w:sz w:val="16"/>
                <w:szCs w:val="16"/>
                <w:lang w:val="es-CO"/>
              </w:rPr>
              <w:t>Panama</w:t>
            </w:r>
            <w:proofErr w:type="spellEnd"/>
            <w:r w:rsidRPr="00AD2B60">
              <w:rPr>
                <w:rFonts w:ascii="Arial" w:hAnsi="Arial" w:cs="Arial"/>
                <w:sz w:val="16"/>
                <w:szCs w:val="16"/>
                <w:lang w:val="es-CO"/>
              </w:rPr>
              <w:t>, Nicaragua–El Salvador–Honduras–Guatemala–</w:t>
            </w:r>
            <w:proofErr w:type="spellStart"/>
            <w:r w:rsidRPr="00AD2B60">
              <w:rPr>
                <w:rFonts w:ascii="Arial" w:hAnsi="Arial" w:cs="Arial"/>
                <w:sz w:val="16"/>
                <w:szCs w:val="16"/>
                <w:lang w:val="es-CO"/>
              </w:rPr>
              <w:t>Mexico</w:t>
            </w:r>
            <w:proofErr w:type="spellEnd"/>
          </w:p>
          <w:p w14:paraId="62075451" w14:textId="77777777" w:rsidR="00C72191" w:rsidRPr="00AD2B60" w:rsidRDefault="00C72191" w:rsidP="00192B09">
            <w:pPr>
              <w:rPr>
                <w:rFonts w:ascii="Arial" w:hAnsi="Arial" w:cs="Arial"/>
                <w:sz w:val="16"/>
                <w:szCs w:val="16"/>
                <w:lang w:val="es-CO"/>
              </w:rPr>
            </w:pPr>
          </w:p>
          <w:p w14:paraId="4E3A9CC3" w14:textId="77777777" w:rsidR="00C72191" w:rsidRPr="00AD2B60" w:rsidRDefault="00C72191" w:rsidP="00192B09">
            <w:pPr>
              <w:rPr>
                <w:rFonts w:ascii="Arial" w:hAnsi="Arial" w:cs="Arial"/>
                <w:sz w:val="16"/>
                <w:szCs w:val="16"/>
              </w:rPr>
            </w:pPr>
            <w:r w:rsidRPr="00AD2B60">
              <w:rPr>
                <w:rFonts w:ascii="Arial" w:hAnsi="Arial" w:cs="Arial"/>
                <w:sz w:val="16"/>
                <w:szCs w:val="16"/>
              </w:rPr>
              <w:t>558</w:t>
            </w:r>
          </w:p>
        </w:tc>
        <w:tc>
          <w:tcPr>
            <w:tcW w:w="567" w:type="pct"/>
            <w:vAlign w:val="center"/>
          </w:tcPr>
          <w:p w14:paraId="399CCFEA" w14:textId="77777777" w:rsidR="00C72191" w:rsidRPr="00AD2B60" w:rsidRDefault="00C72191" w:rsidP="00192B09">
            <w:pPr>
              <w:rPr>
                <w:rFonts w:ascii="Arial" w:hAnsi="Arial" w:cs="Arial"/>
                <w:sz w:val="16"/>
                <w:szCs w:val="16"/>
              </w:rPr>
            </w:pPr>
            <w:r w:rsidRPr="00AD2B60">
              <w:rPr>
                <w:rFonts w:ascii="Arial" w:hAnsi="Arial" w:cs="Arial"/>
                <w:sz w:val="16"/>
                <w:szCs w:val="16"/>
              </w:rPr>
              <w:t>Sex workers operating in selected transit-border communities.</w:t>
            </w:r>
          </w:p>
        </w:tc>
        <w:tc>
          <w:tcPr>
            <w:tcW w:w="370" w:type="pct"/>
            <w:vAlign w:val="center"/>
          </w:tcPr>
          <w:p w14:paraId="4FE10D23" w14:textId="77777777" w:rsidR="00C72191" w:rsidRPr="00AD2B60" w:rsidRDefault="00C72191" w:rsidP="00192B09">
            <w:pPr>
              <w:rPr>
                <w:rFonts w:ascii="Arial" w:hAnsi="Arial" w:cs="Arial"/>
                <w:sz w:val="16"/>
                <w:szCs w:val="16"/>
              </w:rPr>
            </w:pPr>
            <w:r w:rsidRPr="00AD2B60">
              <w:rPr>
                <w:rFonts w:ascii="Arial" w:hAnsi="Arial" w:cs="Arial"/>
                <w:sz w:val="16"/>
                <w:szCs w:val="16"/>
              </w:rPr>
              <w:t>Transit stations and border communities</w:t>
            </w:r>
          </w:p>
        </w:tc>
        <w:tc>
          <w:tcPr>
            <w:tcW w:w="1290" w:type="pct"/>
            <w:vAlign w:val="center"/>
          </w:tcPr>
          <w:p w14:paraId="07C1DC59" w14:textId="77777777" w:rsidR="00C72191" w:rsidRPr="00AD2B60" w:rsidRDefault="00C72191" w:rsidP="00192B09">
            <w:pPr>
              <w:rPr>
                <w:rFonts w:ascii="Arial" w:hAnsi="Arial" w:cs="Arial"/>
                <w:sz w:val="16"/>
                <w:szCs w:val="16"/>
              </w:rPr>
            </w:pPr>
            <w:r w:rsidRPr="00AD2B60">
              <w:rPr>
                <w:rFonts w:ascii="Arial" w:hAnsi="Arial" w:cs="Arial"/>
                <w:sz w:val="16"/>
                <w:szCs w:val="16"/>
              </w:rPr>
              <w:t>The multi-component community intervention in transit stations and border communities targeted FSWs with activities including STI/HIV prevention information and human rights promotion, condom promotion and distribution with correct use demonstrations, counseling and facilitation of rapid HIV testing, promotion of gynecological care, healthcare provider training on STI/HIV diagnosis and treatment, and provision of free condoms, HIV tests, and STI treatment. HIV-positive individuals were linked to antiretroviral therapy regardless of migration status.</w:t>
            </w:r>
          </w:p>
        </w:tc>
        <w:tc>
          <w:tcPr>
            <w:tcW w:w="426" w:type="pct"/>
            <w:vAlign w:val="center"/>
          </w:tcPr>
          <w:p w14:paraId="332EF3A3" w14:textId="77777777" w:rsidR="00C72191" w:rsidRPr="00AD2B60" w:rsidRDefault="00C72191" w:rsidP="00192B09">
            <w:pPr>
              <w:rPr>
                <w:rFonts w:ascii="Arial" w:hAnsi="Arial" w:cs="Arial"/>
                <w:sz w:val="16"/>
                <w:szCs w:val="16"/>
              </w:rPr>
            </w:pPr>
            <w:r w:rsidRPr="00AD2B60">
              <w:rPr>
                <w:rFonts w:ascii="Arial" w:hAnsi="Arial" w:cs="Arial"/>
                <w:sz w:val="16"/>
                <w:szCs w:val="16"/>
              </w:rPr>
              <w:t>Communities without intervention but with similar sociodemographic and mobility characteristics, receiving no project-specific activities or enhanced services.</w:t>
            </w:r>
          </w:p>
        </w:tc>
        <w:tc>
          <w:tcPr>
            <w:tcW w:w="1490" w:type="pct"/>
            <w:vAlign w:val="center"/>
          </w:tcPr>
          <w:p w14:paraId="2B457BA0" w14:textId="77777777" w:rsidR="00C72191" w:rsidRPr="00AD2B60" w:rsidRDefault="00C72191" w:rsidP="00192B09">
            <w:pPr>
              <w:rPr>
                <w:rFonts w:ascii="Arial" w:hAnsi="Arial" w:cs="Arial"/>
                <w:sz w:val="16"/>
                <w:szCs w:val="16"/>
              </w:rPr>
            </w:pPr>
            <w:r w:rsidRPr="00AD2B60">
              <w:rPr>
                <w:rFonts w:ascii="Arial" w:hAnsi="Arial" w:cs="Arial"/>
                <w:sz w:val="16"/>
                <w:szCs w:val="16"/>
              </w:rPr>
              <w:t>FSWs in intervention communities reported higher access to preventive STI/HIV information (99% vs. 87%), free condoms (98% vs. 75%), HIV testing (89% vs. 61%), contraceptive use (74% vs. 65%), and gynecological care (83% vs. 57%) than those in non-intervention areas. Condom use with the last client was significantly higher in intervention areas (OR 3.96, 95% CI 1.23–12.77). HIV testing was also positively associated with condom use (OR 4.61, 95% CI 1.41–15.07).</w:t>
            </w:r>
          </w:p>
        </w:tc>
      </w:tr>
      <w:tr w:rsidR="00C72191" w:rsidRPr="00AD2B60" w14:paraId="44243B3F" w14:textId="77777777" w:rsidTr="00192B09">
        <w:trPr>
          <w:cantSplit/>
          <w:jc w:val="center"/>
        </w:trPr>
        <w:tc>
          <w:tcPr>
            <w:tcW w:w="386" w:type="pct"/>
            <w:vAlign w:val="center"/>
          </w:tcPr>
          <w:p w14:paraId="7419AAC3"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MagalhãesI</w:t>
            </w:r>
            <w:proofErr w:type="spellEnd"/>
            <w:r w:rsidRPr="00AD2B60">
              <w:rPr>
                <w:rFonts w:ascii="Arial" w:hAnsi="Arial" w:cs="Arial"/>
                <w:sz w:val="16"/>
                <w:szCs w:val="16"/>
              </w:rPr>
              <w:t xml:space="preserve"> et al. (2017)</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{"citationID":"qhyz0pib","properties":{"formattedCitation":"\\super 53\\nosupersub{}","plainCitation":"53","noteIndex":0},"citationItems":[{"id":1052,"uris":["http://zotero.org/users/1379219/items/VEXY656Q"],"itemData":{"id":1052,"type":"article-journal","abstract":"OBJECTIVE:: to assess predictive factors for noncompletion of the hepatitis B vaccination schedule in female sex workers in the city of Teresina, Northeastern Brazil.\nMETHOD:: 402 women were interviewed and, for those who did not wish to visit specialized sites, or did not know their hepatitis B vaccination status, the vaccine was offered at their workplaces. Bi- and multivariate analyses were performed to identify potential predictors for noncompletion of the vaccination schedule.\nRESULTS:: of the 284 women eligible for vaccination, 258 (90.8%) received the second dose, 157/258 (60.8%) and 68/258 (26.3%) received the second and third doses, respectively. Working at clubs and consuming illicit drugs were predictors for noncompletion of the vaccination schedule.\nCONCLUSION:: the high acceptability of the vaccine's first dose, associated with low completion rates of the vaccination schedule in sex workers, shows the need for more persuasive strategies that go beyond offering the vaccine at their workplaces.\nOBJETIVO:: avaliar fatores preditores de não completude do esquema vacinal contra hepatite B em mulheres que se prostituem em Teresina, Nordeste do Brasil.\nMÉTODO:: Um total de 402 mulheres foi entrevistado e, para as que se negaram a irem a lugares especializados, ou desconheciam sua situação vacinal contra hepatite B, a vacina foi oferecida no local do trabalho. Análises bi e multivariadas foram realizadas para identificar potenciais preditores de não completude do esquema vacinal.\nRESULTADOS:: Das 284 mulheres elegíveis para vacinação, 258 (90,8%) receberam a primeira dose, 157/258 (60,8%) e 68/258 (26,3%) receberam a segunda e terceira doses. Trabalhar em boates e consumir drogas ilícitas foram preditores de não completude do esquema vacinal (p&lt;0,05).\nCONCLUSÃO:: A elevada aceitabilidade da primeira dose da vacina, associada à baixa completude do esquema vacinal em profissionais do sexo, evidencia a necessidade de estratégia mais persuasiva que vá além da oferta da vacina no local de trabalho.","container-title":"Revista Brasileira De Enfermagem","DOI":"10.1590/0034-7167-2016-0567","ISSN":"1984-0446","issue":"3","journalAbbreviation":"Rev Bras Enferm","language":"eng, por","note":"PMID: 28562795","page":"489-494","source":"PubMed","title":"Low completion rate of hepatitis B vaccination in female sex workers","volume":"70","author":[{"family":"Magalhães","given":"Rosilane de Lima Brito"},{"family":"Teles","given":"Sheila Araújo"},{"family":"Reis","given":"Renata Karina"},{"family":"Galvão","given":"Marli Teresinha Gimeniz"},{"family":"Gir","given":"Elucir"}],"issued":{"date-parts":[["2017"]]}}}],"schema":"https://github.com/citation-style-language/schema/raw/master/csl-citation.json"}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53</w:t>
            </w:r>
            <w:r w:rsidRPr="00AD2B60">
              <w:rPr>
                <w:rFonts w:asciiTheme="minorHAnsi" w:hAnsiTheme="minorHAnsi" w:cstheme="minorHAnsi"/>
                <w:sz w:val="16"/>
                <w:szCs w:val="16"/>
              </w:rPr>
              <w:fldChar w:fldCharType="end"/>
            </w:r>
          </w:p>
        </w:tc>
        <w:tc>
          <w:tcPr>
            <w:tcW w:w="471" w:type="pct"/>
            <w:vAlign w:val="center"/>
          </w:tcPr>
          <w:p w14:paraId="17B8DFFF" w14:textId="77777777" w:rsidR="00C72191" w:rsidRPr="00AD2B60" w:rsidRDefault="00C72191" w:rsidP="00192B09">
            <w:pPr>
              <w:rPr>
                <w:rFonts w:ascii="Arial" w:hAnsi="Arial" w:cs="Arial"/>
                <w:sz w:val="16"/>
                <w:szCs w:val="16"/>
              </w:rPr>
            </w:pPr>
            <w:r w:rsidRPr="00AD2B60">
              <w:rPr>
                <w:rFonts w:ascii="Arial" w:hAnsi="Arial" w:cs="Arial"/>
                <w:sz w:val="16"/>
                <w:szCs w:val="16"/>
              </w:rPr>
              <w:t>Brazil</w:t>
            </w:r>
          </w:p>
          <w:p w14:paraId="2A75F582" w14:textId="77777777" w:rsidR="00C72191" w:rsidRPr="00AD2B60" w:rsidRDefault="00C72191" w:rsidP="00192B09">
            <w:pPr>
              <w:rPr>
                <w:rFonts w:ascii="Arial" w:hAnsi="Arial" w:cs="Arial"/>
                <w:sz w:val="16"/>
                <w:szCs w:val="16"/>
              </w:rPr>
            </w:pPr>
          </w:p>
          <w:p w14:paraId="0A5834BA" w14:textId="77777777" w:rsidR="00C72191" w:rsidRPr="00AD2B60" w:rsidRDefault="00C72191" w:rsidP="00192B09">
            <w:pPr>
              <w:rPr>
                <w:rFonts w:ascii="Arial" w:hAnsi="Arial" w:cs="Arial"/>
                <w:sz w:val="16"/>
                <w:szCs w:val="16"/>
              </w:rPr>
            </w:pPr>
            <w:r w:rsidRPr="00AD2B60">
              <w:rPr>
                <w:rFonts w:ascii="Arial" w:hAnsi="Arial" w:cs="Arial"/>
                <w:sz w:val="16"/>
                <w:szCs w:val="16"/>
              </w:rPr>
              <w:t>Interviewed: 402 Eligible for vaccination: 284</w:t>
            </w:r>
          </w:p>
        </w:tc>
        <w:tc>
          <w:tcPr>
            <w:tcW w:w="567" w:type="pct"/>
            <w:vAlign w:val="center"/>
          </w:tcPr>
          <w:p w14:paraId="74EB7565" w14:textId="77777777" w:rsidR="00C72191" w:rsidRPr="00AD2B60" w:rsidRDefault="00C72191" w:rsidP="00192B09">
            <w:pPr>
              <w:rPr>
                <w:rFonts w:ascii="Arial" w:hAnsi="Arial" w:cs="Arial"/>
                <w:sz w:val="16"/>
                <w:szCs w:val="16"/>
              </w:rPr>
            </w:pPr>
            <w:r w:rsidRPr="00AD2B60">
              <w:rPr>
                <w:rFonts w:ascii="Arial" w:hAnsi="Arial" w:cs="Arial"/>
                <w:sz w:val="16"/>
                <w:szCs w:val="16"/>
              </w:rPr>
              <w:t>FSW 18 and over with no prior hepatitis B vaccination or be unaware of vaccination status living in Teresina, Brazil</w:t>
            </w:r>
          </w:p>
        </w:tc>
        <w:tc>
          <w:tcPr>
            <w:tcW w:w="370" w:type="pct"/>
            <w:vAlign w:val="center"/>
          </w:tcPr>
          <w:p w14:paraId="08039BE1" w14:textId="77777777" w:rsidR="00C72191" w:rsidRPr="00AD2B60" w:rsidRDefault="00C72191" w:rsidP="00192B09">
            <w:pPr>
              <w:rPr>
                <w:rFonts w:ascii="Arial" w:hAnsi="Arial" w:cs="Arial"/>
                <w:sz w:val="16"/>
                <w:szCs w:val="16"/>
              </w:rPr>
            </w:pPr>
            <w:r w:rsidRPr="00AD2B60">
              <w:rPr>
                <w:rFonts w:ascii="Arial" w:hAnsi="Arial" w:cs="Arial"/>
                <w:sz w:val="16"/>
                <w:szCs w:val="16"/>
              </w:rPr>
              <w:t>Community-based, vaccination at workplaces</w:t>
            </w:r>
          </w:p>
        </w:tc>
        <w:tc>
          <w:tcPr>
            <w:tcW w:w="1290" w:type="pct"/>
            <w:vAlign w:val="center"/>
          </w:tcPr>
          <w:p w14:paraId="0D7FC7B4" w14:textId="77777777" w:rsidR="00C72191" w:rsidRPr="00AD2B60" w:rsidRDefault="00C72191" w:rsidP="00192B09">
            <w:pPr>
              <w:rPr>
                <w:rFonts w:ascii="Arial" w:hAnsi="Arial" w:cs="Arial"/>
                <w:sz w:val="16"/>
                <w:szCs w:val="16"/>
              </w:rPr>
            </w:pPr>
            <w:r w:rsidRPr="00AD2B60">
              <w:rPr>
                <w:rFonts w:ascii="Arial" w:hAnsi="Arial" w:cs="Arial"/>
                <w:sz w:val="16"/>
                <w:szCs w:val="16"/>
              </w:rPr>
              <w:t>The Hepatitis B vaccination program targeted FSWs who were unvaccinated or unaware of their vaccination status. The first dose was offered at their workplaces to improve accessibility, with follow-up doses scheduled according to participant preference. Educational counseling emphasized the importance of completing the vaccine series, focusing especially on high-risk groups like illicit drug users and women working in clubs.</w:t>
            </w:r>
          </w:p>
        </w:tc>
        <w:tc>
          <w:tcPr>
            <w:tcW w:w="426" w:type="pct"/>
            <w:vAlign w:val="center"/>
          </w:tcPr>
          <w:p w14:paraId="7A1D0A5F"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4723D160" w14:textId="77777777" w:rsidR="00C72191" w:rsidRPr="00AD2B60" w:rsidRDefault="00C72191" w:rsidP="00192B09">
            <w:pPr>
              <w:rPr>
                <w:rFonts w:ascii="Arial" w:hAnsi="Arial" w:cs="Arial"/>
                <w:sz w:val="16"/>
                <w:szCs w:val="16"/>
              </w:rPr>
            </w:pPr>
            <w:r w:rsidRPr="00AD2B60">
              <w:rPr>
                <w:rFonts w:ascii="Arial" w:hAnsi="Arial" w:cs="Arial"/>
                <w:sz w:val="16"/>
                <w:szCs w:val="16"/>
              </w:rPr>
              <w:t>Of 284 eligible FSWs, 90.8% (95% CI: 86.9%–93.7%) received the first hepatitis B vaccine dose. Among these, 60.8% (95% CI: 57.8%–66.6%) completed the second dose, and 26.3% (95% CI: 21.4%–32.1%) completed the full three-dose series. Working at clubs (OR 23.21, 95% CI: 3.08–175.39) and illicit drug use (OR 2.19, 95% CI: 1.11–4.31) were significant predictors of noncompletion.</w:t>
            </w:r>
          </w:p>
        </w:tc>
      </w:tr>
      <w:tr w:rsidR="00C72191" w:rsidRPr="00AD2B60" w14:paraId="4277E257" w14:textId="77777777" w:rsidTr="00192B09">
        <w:trPr>
          <w:cantSplit/>
          <w:jc w:val="center"/>
        </w:trPr>
        <w:tc>
          <w:tcPr>
            <w:tcW w:w="386" w:type="pct"/>
            <w:vAlign w:val="center"/>
          </w:tcPr>
          <w:p w14:paraId="3D01C4E4" w14:textId="77777777" w:rsidR="00C72191" w:rsidRPr="00AD2B60" w:rsidRDefault="00C72191" w:rsidP="00192B09">
            <w:pPr>
              <w:rPr>
                <w:rFonts w:ascii="Arial" w:hAnsi="Arial" w:cs="Arial"/>
                <w:sz w:val="16"/>
                <w:szCs w:val="16"/>
              </w:rPr>
            </w:pPr>
            <w:r w:rsidRPr="00AD2B60">
              <w:rPr>
                <w:rFonts w:ascii="Arial" w:hAnsi="Arial" w:cs="Arial"/>
                <w:sz w:val="16"/>
                <w:szCs w:val="16"/>
              </w:rPr>
              <w:t>Marin et al. (2015)</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{"citationID":"kAjfRugM","properties":{"formattedCitation":"\\super 54\\nosupersub{}","plainCitation":"54","noteIndex":0},"citationItems":[{"id":1074,"uris":["http://zotero.org/users/1379219/items/5XG4T82T"],"itemData":{"id":1074,"type":"article-journal","abstract":"OBJECTIVE: The objective of this study was to propose a model of health care for sexual workers (SWs) and transvestites (Ts) groups who were historically excluded from health services.\nMATERIALS AND METHODS: A prospective descriptive/analytical study with an intervention stage was performed, focusing on the health status of SWs and Ts. Access to health system, inclusion into social programs, beneficiaries' participation, and rate of risk behaviors were variables measured before and after intervention that consist in a program based on promotion/prevention activities and complete health care service suitable to SW-T needs.\nRESULTS: Nine hundred and fifty SW-Ts were included. At baseline, 99.7% lacked health insurance and 90.1% had no access to the health care. These data were compared with those obtained after attention quadruplicated among SW because of the implementation of the program. Risky sexual behaviors were reduced by 25 times. SWs have their own leader of health institutions and coordinate themselves with the program's activities.\nCONCLUSION: Responsibility of the state's authorities on vulnerable groups must focus on their inclusion. To this end, health services must adapt themselves in order to attend those community groups with special needs. Active participation of the target population contributes to viability of this type of proposals, and it is essential for the project's success.","container-title":"The International Journal of Health Planning and Management","DOI":"10.1002/hpm.2234","ISSN":"1099-1751","issue":"3","journalAbbreviation":"Int J Health Plann Manage","language":"eng","note":"PMID: 24375746","page":"276-284","source":"PubMed","title":"Healthcare program for sex workers: a public health priority","title-short":"Healthcare program for sex workers","volume":"30","author":[{"family":"Marin","given":"Gustavo"},{"family":"Silberman","given":"Martin"},{"family":"Martinez","given":"Susana"},{"family":"Sanguinetti","given":"Carlos"}],"issued":{"date-parts":[["2015"]]}}}],"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54</w:t>
            </w:r>
            <w:r w:rsidRPr="00AD2B60">
              <w:rPr>
                <w:rFonts w:asciiTheme="minorHAnsi" w:hAnsiTheme="minorHAnsi" w:cstheme="minorHAnsi"/>
                <w:sz w:val="16"/>
                <w:szCs w:val="16"/>
              </w:rPr>
              <w:fldChar w:fldCharType="end"/>
            </w:r>
          </w:p>
        </w:tc>
        <w:tc>
          <w:tcPr>
            <w:tcW w:w="471" w:type="pct"/>
            <w:vAlign w:val="center"/>
          </w:tcPr>
          <w:p w14:paraId="07EB32FA" w14:textId="77777777" w:rsidR="00C72191" w:rsidRPr="00AD2B60" w:rsidRDefault="00C72191" w:rsidP="00192B09">
            <w:pPr>
              <w:rPr>
                <w:rFonts w:ascii="Arial" w:hAnsi="Arial" w:cs="Arial"/>
                <w:sz w:val="16"/>
                <w:szCs w:val="16"/>
              </w:rPr>
            </w:pPr>
            <w:r w:rsidRPr="00AD2B60">
              <w:rPr>
                <w:rFonts w:ascii="Arial" w:hAnsi="Arial" w:cs="Arial"/>
                <w:sz w:val="16"/>
                <w:szCs w:val="16"/>
              </w:rPr>
              <w:t>Argentina</w:t>
            </w:r>
          </w:p>
          <w:p w14:paraId="650F539F" w14:textId="77777777" w:rsidR="00C72191" w:rsidRPr="00AD2B60" w:rsidRDefault="00C72191" w:rsidP="00192B09">
            <w:pPr>
              <w:rPr>
                <w:rFonts w:ascii="Arial" w:hAnsi="Arial" w:cs="Arial"/>
                <w:sz w:val="16"/>
                <w:szCs w:val="16"/>
              </w:rPr>
            </w:pPr>
          </w:p>
          <w:p w14:paraId="1807DA73" w14:textId="77777777" w:rsidR="00C72191" w:rsidRPr="00AD2B60" w:rsidRDefault="00C72191" w:rsidP="00192B09">
            <w:pPr>
              <w:rPr>
                <w:rFonts w:ascii="Arial" w:hAnsi="Arial" w:cs="Arial"/>
                <w:sz w:val="16"/>
                <w:szCs w:val="16"/>
              </w:rPr>
            </w:pPr>
            <w:r w:rsidRPr="00AD2B60">
              <w:rPr>
                <w:rFonts w:ascii="Arial" w:hAnsi="Arial" w:cs="Arial"/>
                <w:sz w:val="16"/>
                <w:szCs w:val="16"/>
              </w:rPr>
              <w:t>950</w:t>
            </w:r>
          </w:p>
        </w:tc>
        <w:tc>
          <w:tcPr>
            <w:tcW w:w="567" w:type="pct"/>
            <w:vAlign w:val="center"/>
          </w:tcPr>
          <w:p w14:paraId="00541F89" w14:textId="77777777" w:rsidR="00C72191" w:rsidRPr="00AD2B60" w:rsidRDefault="00C72191" w:rsidP="00192B09">
            <w:pPr>
              <w:rPr>
                <w:rFonts w:ascii="Arial" w:hAnsi="Arial" w:cs="Arial"/>
                <w:sz w:val="16"/>
                <w:szCs w:val="16"/>
              </w:rPr>
            </w:pPr>
            <w:r w:rsidRPr="00AD2B60">
              <w:rPr>
                <w:rFonts w:ascii="Arial" w:hAnsi="Arial" w:cs="Arial"/>
                <w:sz w:val="16"/>
                <w:szCs w:val="16"/>
              </w:rPr>
              <w:t>Women and transgender individuals engaged in sex work registered in Argentine Sex Workers' Union AMMAR.</w:t>
            </w:r>
          </w:p>
        </w:tc>
        <w:tc>
          <w:tcPr>
            <w:tcW w:w="370" w:type="pct"/>
            <w:vAlign w:val="center"/>
          </w:tcPr>
          <w:p w14:paraId="364A6F43" w14:textId="77777777" w:rsidR="00C72191" w:rsidRPr="00AD2B60" w:rsidRDefault="00C72191" w:rsidP="00192B09">
            <w:pPr>
              <w:rPr>
                <w:rFonts w:ascii="Arial" w:hAnsi="Arial" w:cs="Arial"/>
                <w:sz w:val="16"/>
                <w:szCs w:val="16"/>
              </w:rPr>
            </w:pPr>
            <w:r w:rsidRPr="00AD2B60">
              <w:rPr>
                <w:rFonts w:ascii="Arial" w:hAnsi="Arial" w:cs="Arial"/>
                <w:sz w:val="16"/>
                <w:szCs w:val="16"/>
              </w:rPr>
              <w:t>Community Night Health Center and Workplace</w:t>
            </w:r>
          </w:p>
        </w:tc>
        <w:tc>
          <w:tcPr>
            <w:tcW w:w="1290" w:type="pct"/>
            <w:vAlign w:val="center"/>
          </w:tcPr>
          <w:p w14:paraId="609B226C" w14:textId="77777777" w:rsidR="00C72191" w:rsidRPr="00AD2B60" w:rsidRDefault="00C72191" w:rsidP="00192B09">
            <w:pPr>
              <w:rPr>
                <w:rFonts w:ascii="Arial" w:hAnsi="Arial" w:cs="Arial"/>
                <w:sz w:val="16"/>
                <w:szCs w:val="16"/>
              </w:rPr>
            </w:pPr>
            <w:r w:rsidRPr="00AD2B60">
              <w:rPr>
                <w:rFonts w:ascii="Arial" w:hAnsi="Arial" w:cs="Arial"/>
                <w:sz w:val="16"/>
                <w:szCs w:val="16"/>
              </w:rPr>
              <w:t>The comprehensive healthcare program, co-managed by the SWs union (AMMAR) and local health authorities, included in-situ health promotion, mobile medical consultations, HIV testing, gynecological care, STI treatment, psychological support, legal assistance, a specialized health center managed by SWs representatives, and (re)training programs for labor reintegration.</w:t>
            </w:r>
          </w:p>
        </w:tc>
        <w:tc>
          <w:tcPr>
            <w:tcW w:w="426" w:type="pct"/>
            <w:vAlign w:val="center"/>
          </w:tcPr>
          <w:p w14:paraId="3A848398" w14:textId="77777777" w:rsidR="00C72191" w:rsidRPr="00AD2B60" w:rsidRDefault="00C72191" w:rsidP="00192B09">
            <w:pPr>
              <w:rPr>
                <w:rFonts w:ascii="Arial" w:hAnsi="Arial" w:cs="Arial"/>
                <w:sz w:val="16"/>
                <w:szCs w:val="16"/>
              </w:rPr>
            </w:pPr>
            <w:r w:rsidRPr="00AD2B60">
              <w:rPr>
                <w:rFonts w:ascii="Arial" w:hAnsi="Arial" w:cs="Arial"/>
                <w:sz w:val="16"/>
                <w:szCs w:val="16"/>
              </w:rPr>
              <w:t>Pre-post intervention comparison</w:t>
            </w:r>
          </w:p>
        </w:tc>
        <w:tc>
          <w:tcPr>
            <w:tcW w:w="1490" w:type="pct"/>
            <w:vAlign w:val="center"/>
          </w:tcPr>
          <w:p w14:paraId="08B92973" w14:textId="77777777" w:rsidR="00C72191" w:rsidRPr="00AD2B60" w:rsidRDefault="00C72191" w:rsidP="00192B09">
            <w:pPr>
              <w:rPr>
                <w:rFonts w:ascii="Arial" w:hAnsi="Arial" w:cs="Arial"/>
                <w:sz w:val="16"/>
                <w:szCs w:val="16"/>
              </w:rPr>
            </w:pPr>
            <w:r w:rsidRPr="00AD2B60">
              <w:rPr>
                <w:rFonts w:ascii="Arial" w:hAnsi="Arial" w:cs="Arial"/>
                <w:sz w:val="16"/>
                <w:szCs w:val="16"/>
              </w:rPr>
              <w:t>Healthcare access increased significantly from 21.81% to 94.11% (p &lt; 0.001). Risky sexual behavior declined 25-fold, changing from 1 in 4.89 contacts without condom use to 1 in 126 contacts (p &lt; 0.001). HIV testing rose from 23.36% to 79.79% (p = 0.003). The program achieved broad coverage, with over 90% of SWs in the region participating. Community leadership and active involvement of SWs in managing the health center fostered trust and sustained engagement.</w:t>
            </w:r>
          </w:p>
        </w:tc>
      </w:tr>
      <w:tr w:rsidR="00C72191" w:rsidRPr="00AD2B60" w14:paraId="25934986" w14:textId="77777777" w:rsidTr="00192B09">
        <w:trPr>
          <w:cantSplit/>
          <w:jc w:val="center"/>
        </w:trPr>
        <w:tc>
          <w:tcPr>
            <w:tcW w:w="386" w:type="pct"/>
            <w:vAlign w:val="center"/>
          </w:tcPr>
          <w:p w14:paraId="0C32FAFA"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Mujugira</w:t>
            </w:r>
            <w:proofErr w:type="spellEnd"/>
            <w:r w:rsidRPr="00AD2B60">
              <w:rPr>
                <w:rFonts w:ascii="Arial" w:hAnsi="Arial" w:cs="Arial"/>
                <w:sz w:val="16"/>
                <w:szCs w:val="16"/>
              </w:rPr>
              <w:t xml:space="preserve"> et al. (2021)</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{"citationID":"R1utEJJu","properties":{"formattedCitation":"\\super 55\\nosupersub{}","plainCitation":"55","noteIndex":0},"citationItems":[{"id":1021,"uris":["http://zotero.org/users/1379219/items/7RW72T95"],"itemData":{"id":1021,"type":"article-journal","abstract":"INTRODUCTION: HIV self-testing (HIVST) and oral pre-exposure prophylaxis (PrEP) are complementary, evidence-based, self-controlled HIV prevention tools that may be particularly appealing to sex workers. Understanding how HIVST and PrEP are perceived and used by sex workers and their intimate partners could inform prevention delivery for this population. We conducted qualitative interviews to examine ways in which HIVST and PrEP use influence prevention choices among sex workers in Uganda.\nMETHODS: Within a randomized trial of HIVST and PrEP among 110 HIV-negative cisgender women, cisgender men and transgender women sex workers (NCT03426670), we conducted 40 qualitative interviews with 30 sex workers and 10 intimate partners (June 2018 to January 2020). Sex worker interviews explored (a) experiences of using HIVST kits; (b) how HIVST was performed with sexual partners; (c) impact of HIVST on PrEP pill taking; and (d) sexual risk behaviours after HIVST. Partner interviews covered (i) introduction of HIVST; (ii) experiences of using HIVST; (iii) HIV status disclosure; and (iv) HIVST's effect on sexual behaviours. Data were analysed using an inductive content analytic approach centering on descriptive category development. Together, these categories detail the meaning of HIVST and PrEP for these qualitative participants.\nRESULTS: Using HIVST and PrEP was empowering for this group of sex workers and their partners. Three types of empowerment were observed: (a) economic; (b) relational; and (c) sexual health. (i) Using HIVST and PrEP made sex without condoms safer. Sex workers could charge more for condomless sex, which was empowering economically. (ii) Self-testing restored trust in partners' fidelity upon being reunited after a separation. This trust, in combination with condomless sex made possible by PrEP use, restored intimacy, empowering partnered relationships. (iii) HIVST and PrEP enabled sex workers to take control of their HIV prevention efforts and avoid the stigma of public clinic visits. In this way they were empowered to protect their sexual health.\nCONCLUSIONS: In this sample, sex workers' use of HIVST and PrEP benefitted not only prevention efforts, but also economic and relational empowerment. Understanding these larger benefits and communicating them to stakeholders could strengthen uptake and use of combination prevention interventions in this marginalized population.","container-title":"Journal of the International AIDS Society","DOI":"10.1002/jia2.25782","ISSN":"1758-2652","issue":"9","journalAbbreviation":"J Int AIDS Soc","language":"eng","note":"PMID: 34473405\nPMCID: PMC8412089","page":"e25782","source":"PubMed","title":"HIV self-testing and oral pre-exposure prophylaxis are empowering for sex workers and their intimate partners: a qualitative study in Uganda","title-short":"HIV self-testing and oral pre-exposure prophylaxis are empowering for sex workers and their intimate partners","volume":"24","author":[{"family":"Mujugira","given":"Andrew"},{"family":"Nakyanzi","given":"Agnes"},{"family":"Kasiita","given":"Vicent"},{"family":"Kamusiime","given":"Brenda"},{"family":"Nalukwago","given":"Grace K."},{"family":"Nalumansi","given":"Alisaati"},{"family":"Twesigye","given":"Chris C."},{"family":"Muwonge","given":"Timothy R."},{"family":"Baeten","given":"Jared M."},{"family":"Wyatt","given":"Monique A."},{"family":"Haberer","given":"Jessica E."},{"family":"Ware","given":"Norma C."}],"issued":{"date-parts":[["2021",9]]}}}],"schema":"https://github.com/citation-style-language/schema/raw/master/csl-citation.json"}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55</w:t>
            </w:r>
            <w:r w:rsidRPr="00AD2B60">
              <w:rPr>
                <w:rFonts w:asciiTheme="minorHAnsi" w:hAnsiTheme="minorHAnsi" w:cstheme="minorHAnsi"/>
                <w:sz w:val="16"/>
                <w:szCs w:val="16"/>
              </w:rPr>
              <w:fldChar w:fldCharType="end"/>
            </w:r>
          </w:p>
        </w:tc>
        <w:tc>
          <w:tcPr>
            <w:tcW w:w="471" w:type="pct"/>
            <w:vAlign w:val="center"/>
          </w:tcPr>
          <w:p w14:paraId="1AD2F45B" w14:textId="77777777" w:rsidR="00C72191" w:rsidRPr="00AD2B60" w:rsidRDefault="00C72191" w:rsidP="00192B09">
            <w:pPr>
              <w:rPr>
                <w:rFonts w:ascii="Arial" w:hAnsi="Arial" w:cs="Arial"/>
                <w:sz w:val="16"/>
                <w:szCs w:val="16"/>
              </w:rPr>
            </w:pPr>
            <w:r w:rsidRPr="00AD2B60">
              <w:rPr>
                <w:rFonts w:ascii="Arial" w:hAnsi="Arial" w:cs="Arial"/>
                <w:sz w:val="16"/>
                <w:szCs w:val="16"/>
              </w:rPr>
              <w:t>Uganda</w:t>
            </w:r>
          </w:p>
          <w:p w14:paraId="29F50EFE" w14:textId="77777777" w:rsidR="00C72191" w:rsidRPr="00AD2B60" w:rsidRDefault="00C72191" w:rsidP="00192B09">
            <w:pPr>
              <w:rPr>
                <w:rFonts w:ascii="Arial" w:hAnsi="Arial" w:cs="Arial"/>
                <w:sz w:val="16"/>
                <w:szCs w:val="16"/>
              </w:rPr>
            </w:pPr>
          </w:p>
          <w:p w14:paraId="394CE823" w14:textId="77777777" w:rsidR="00C72191" w:rsidRPr="00AD2B60" w:rsidRDefault="00C72191" w:rsidP="00192B09">
            <w:pPr>
              <w:rPr>
                <w:rFonts w:ascii="Arial" w:hAnsi="Arial" w:cs="Arial"/>
                <w:sz w:val="16"/>
                <w:szCs w:val="16"/>
              </w:rPr>
            </w:pPr>
            <w:r w:rsidRPr="00AD2B60">
              <w:rPr>
                <w:rFonts w:ascii="Arial" w:hAnsi="Arial" w:cs="Arial"/>
                <w:sz w:val="16"/>
                <w:szCs w:val="16"/>
              </w:rPr>
              <w:t>40</w:t>
            </w:r>
          </w:p>
        </w:tc>
        <w:tc>
          <w:tcPr>
            <w:tcW w:w="567" w:type="pct"/>
            <w:vAlign w:val="center"/>
          </w:tcPr>
          <w:p w14:paraId="56725397"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Cisgender women, cisgender men and trans-gender women SW </w:t>
            </w:r>
          </w:p>
        </w:tc>
        <w:tc>
          <w:tcPr>
            <w:tcW w:w="370" w:type="pct"/>
            <w:vAlign w:val="center"/>
          </w:tcPr>
          <w:p w14:paraId="7AFDAFA1" w14:textId="77777777" w:rsidR="00C72191" w:rsidRPr="00AD2B60" w:rsidRDefault="00C72191" w:rsidP="00192B09">
            <w:pPr>
              <w:rPr>
                <w:rFonts w:ascii="Arial" w:hAnsi="Arial" w:cs="Arial"/>
                <w:sz w:val="16"/>
                <w:szCs w:val="16"/>
              </w:rPr>
            </w:pPr>
            <w:r w:rsidRPr="00AD2B60">
              <w:rPr>
                <w:rFonts w:ascii="Arial" w:hAnsi="Arial" w:cs="Arial"/>
                <w:sz w:val="16"/>
                <w:szCs w:val="16"/>
              </w:rPr>
              <w:t>Community-based and study clinics</w:t>
            </w:r>
          </w:p>
        </w:tc>
        <w:tc>
          <w:tcPr>
            <w:tcW w:w="1290" w:type="pct"/>
            <w:vAlign w:val="center"/>
          </w:tcPr>
          <w:p w14:paraId="7147A347"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Participants received HIV self-testing (HIVST) kits for personal use and partner testing, with instructions to self-test monthly between quarterly </w:t>
            </w:r>
            <w:proofErr w:type="spellStart"/>
            <w:r w:rsidRPr="00AD2B60">
              <w:rPr>
                <w:rFonts w:ascii="Arial" w:hAnsi="Arial" w:cs="Arial"/>
                <w:sz w:val="16"/>
                <w:szCs w:val="16"/>
              </w:rPr>
              <w:t>PrEP</w:t>
            </w:r>
            <w:proofErr w:type="spellEnd"/>
            <w:r w:rsidRPr="00AD2B60">
              <w:rPr>
                <w:rFonts w:ascii="Arial" w:hAnsi="Arial" w:cs="Arial"/>
                <w:sz w:val="16"/>
                <w:szCs w:val="16"/>
              </w:rPr>
              <w:t xml:space="preserve"> clinic visits. A one-month supply of </w:t>
            </w:r>
            <w:proofErr w:type="spellStart"/>
            <w:r w:rsidRPr="00AD2B60">
              <w:rPr>
                <w:rFonts w:ascii="Arial" w:hAnsi="Arial" w:cs="Arial"/>
                <w:sz w:val="16"/>
                <w:szCs w:val="16"/>
              </w:rPr>
              <w:t>PrEP</w:t>
            </w:r>
            <w:proofErr w:type="spellEnd"/>
            <w:r w:rsidRPr="00AD2B60">
              <w:rPr>
                <w:rFonts w:ascii="Arial" w:hAnsi="Arial" w:cs="Arial"/>
                <w:sz w:val="16"/>
                <w:szCs w:val="16"/>
              </w:rPr>
              <w:t xml:space="preserve"> was dispensed every three months. The intervention also provided individualized HIV risk-reduction counseling, free condoms, and STI screening and treatment. HIVST use and </w:t>
            </w:r>
            <w:proofErr w:type="spellStart"/>
            <w:r w:rsidRPr="00AD2B60">
              <w:rPr>
                <w:rFonts w:ascii="Arial" w:hAnsi="Arial" w:cs="Arial"/>
                <w:sz w:val="16"/>
                <w:szCs w:val="16"/>
              </w:rPr>
              <w:t>PrEP</w:t>
            </w:r>
            <w:proofErr w:type="spellEnd"/>
            <w:r w:rsidRPr="00AD2B60">
              <w:rPr>
                <w:rFonts w:ascii="Arial" w:hAnsi="Arial" w:cs="Arial"/>
                <w:sz w:val="16"/>
                <w:szCs w:val="16"/>
              </w:rPr>
              <w:t xml:space="preserve"> adherence were monitored via electronic devices, blood tests, and structured interviews. Participants were encouraged to use HIVST mainly with intimate partners or clients at their discretion.</w:t>
            </w:r>
          </w:p>
        </w:tc>
        <w:tc>
          <w:tcPr>
            <w:tcW w:w="426" w:type="pct"/>
            <w:vAlign w:val="center"/>
          </w:tcPr>
          <w:p w14:paraId="644FDB4B" w14:textId="77777777" w:rsidR="00C72191" w:rsidRPr="00AD2B60" w:rsidRDefault="00C72191" w:rsidP="00192B09">
            <w:pPr>
              <w:rPr>
                <w:rFonts w:ascii="Arial" w:hAnsi="Arial" w:cs="Arial"/>
                <w:sz w:val="16"/>
                <w:szCs w:val="16"/>
              </w:rPr>
            </w:pPr>
            <w:r w:rsidRPr="00AD2B60">
              <w:rPr>
                <w:rFonts w:ascii="Arial" w:hAnsi="Arial" w:cs="Arial"/>
                <w:sz w:val="16"/>
                <w:szCs w:val="16"/>
              </w:rPr>
              <w:t>Control group received quarterly clinic-based HIV testing without self-test kits.</w:t>
            </w:r>
          </w:p>
        </w:tc>
        <w:tc>
          <w:tcPr>
            <w:tcW w:w="1490" w:type="pct"/>
            <w:vAlign w:val="center"/>
          </w:tcPr>
          <w:p w14:paraId="669CB9DD"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Ninety-seven percent of participants were willing to use HIVST, 80% were concerned about acquiring HIV, and 77% believed </w:t>
            </w:r>
            <w:proofErr w:type="spellStart"/>
            <w:r w:rsidRPr="00AD2B60">
              <w:rPr>
                <w:rFonts w:ascii="Arial" w:hAnsi="Arial" w:cs="Arial"/>
                <w:sz w:val="16"/>
                <w:szCs w:val="16"/>
              </w:rPr>
              <w:t>PrEP</w:t>
            </w:r>
            <w:proofErr w:type="spellEnd"/>
            <w:r w:rsidRPr="00AD2B60">
              <w:rPr>
                <w:rFonts w:ascii="Arial" w:hAnsi="Arial" w:cs="Arial"/>
                <w:sz w:val="16"/>
                <w:szCs w:val="16"/>
              </w:rPr>
              <w:t xml:space="preserve"> could protect them. All self-reported using HIVST at each quarterly visit. Disclosure of sex work to intimate partners was low but increased slightly from 18% at baseline to 26% at 12 months, while 71% reported nondisclosure to anyone during the study. Self-reported good or excellent </w:t>
            </w:r>
            <w:proofErr w:type="spellStart"/>
            <w:r w:rsidRPr="00AD2B60">
              <w:rPr>
                <w:rFonts w:ascii="Arial" w:hAnsi="Arial" w:cs="Arial"/>
                <w:sz w:val="16"/>
                <w:szCs w:val="16"/>
              </w:rPr>
              <w:t>PrEP</w:t>
            </w:r>
            <w:proofErr w:type="spellEnd"/>
            <w:r w:rsidRPr="00AD2B60">
              <w:rPr>
                <w:rFonts w:ascii="Arial" w:hAnsi="Arial" w:cs="Arial"/>
                <w:sz w:val="16"/>
                <w:szCs w:val="16"/>
              </w:rPr>
              <w:t xml:space="preserve"> adherence was 65% across visits. Participants described HIVST and </w:t>
            </w:r>
            <w:proofErr w:type="spellStart"/>
            <w:r w:rsidRPr="00AD2B60">
              <w:rPr>
                <w:rFonts w:ascii="Arial" w:hAnsi="Arial" w:cs="Arial"/>
                <w:sz w:val="16"/>
                <w:szCs w:val="16"/>
              </w:rPr>
              <w:t>PrEP</w:t>
            </w:r>
            <w:proofErr w:type="spellEnd"/>
            <w:r w:rsidRPr="00AD2B60">
              <w:rPr>
                <w:rFonts w:ascii="Arial" w:hAnsi="Arial" w:cs="Arial"/>
                <w:sz w:val="16"/>
                <w:szCs w:val="16"/>
              </w:rPr>
              <w:t xml:space="preserve"> use as empowering economically, relationally, and for sexual health.</w:t>
            </w:r>
          </w:p>
        </w:tc>
      </w:tr>
      <w:tr w:rsidR="00C72191" w:rsidRPr="00AD2B60" w14:paraId="2DDAF24A" w14:textId="77777777" w:rsidTr="00192B09">
        <w:trPr>
          <w:cantSplit/>
          <w:jc w:val="center"/>
        </w:trPr>
        <w:tc>
          <w:tcPr>
            <w:tcW w:w="386" w:type="pct"/>
            <w:vAlign w:val="center"/>
          </w:tcPr>
          <w:p w14:paraId="1E786549"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Ngo et al. (2023)</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{"citationID":"mZBzxVqF","properties":{"formattedCitation":"\\super 56\\nosupersub{}","plainCitation":"56","noteIndex":0},"citationItems":[{"id":1040,"uris":["http://zotero.org/users/1379219/items/YVF5GWT2"],"itemData":{"id":1040,"type":"article-journal","abstract":"BACKGROUND: Mobile health (mHealth) has been used to promote sexual and reproductive health (SRH) education and services; however, little is known about the use of mHealth to improve safe abortion knowledge and access to safe abortion services among female sex workers (FSWs). This study evaluated the feasibility and effectiveness of iConnect intervention through changes in knowledge on safe abortion and changes in perceived barriers to safe abortion services among FSWs in Vietnam.\nMETHODS: iConnect mobile app was developed as an interactive platform to deliver safe abortion education and referral to safe abortion services through short messaging services (SMS) enhanced by tele-counseling for 512 FSWs in Hanoi, Vietnam. A pretest-posttest evaluation was conducted using questionnaire-based phone interviews administered to 251 participants at baseline and 3 months following the intervention. Non-parametric tests evaluated the change in abortion knowledge, behaviors, and perceived barriers to safe abortion.\nRESULTS: There were significant improvements in the knowledge on safe abortion among the study participants. Specifically, FSWs' knowledge of correct gestational ages (≤22 weeks) for medical abortion increased from 78.9% at baseline to 96.8% (P=0.001). Knowledge of correct gestational ages for medical abortion at the private clinic increased from 45.3% to 63.1% (P=0.001). Knowledge on the consequences of unsafe abortion increased from 75.2% to 92.1% (P=0.001). In addition, perceived stigma and discrimination when seeking safe abortion decreased from 36.5% to 27.8% (P=0.036) and worry about the lack of confidentiality decreased from 23.3% to 15.5% (P=0.035).\nCONCLUSIONS: The evaluation results showed the initial effectiveness of a mobile app-based intervention in improving access to safe abortion information and services among FSWs. A future study is needed to establish the efficacy of the intervention for scaling up in Vietnam and elsewhere.","container-title":"mHealth","DOI":"10.21037/mhealth-22-41","ISSN":"2306-9740","journalAbbreviation":"Mhealth","language":"eng","note":"PMID: 36760784\nPMCID: PMC9902234","page":"3","source":"PubMed","title":"Effectiveness of mHealth intervention on safe abortion knowledge and perceived barriers to safe abortion services among female sex workers in Vietnam","volume":"9","author":[{"family":"Ngo","given":"Anh"},{"family":"Nguyen","given":"Van Thi"},{"family":"Phan","given":"Ha"},{"family":"Pham","given":"Van"},{"family":"Ngo","given":"Cuong"},{"family":"Nguyen","given":"Linh"},{"family":"Ha","given":"Toan"}],"issued":{"date-parts":[["2023"]]}}}],"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56</w:t>
            </w:r>
            <w:r w:rsidRPr="00AD2B60">
              <w:rPr>
                <w:rFonts w:asciiTheme="minorHAnsi" w:hAnsiTheme="minorHAnsi" w:cstheme="minorHAnsi"/>
                <w:sz w:val="16"/>
                <w:szCs w:val="16"/>
              </w:rPr>
              <w:fldChar w:fldCharType="end"/>
            </w:r>
          </w:p>
        </w:tc>
        <w:tc>
          <w:tcPr>
            <w:tcW w:w="471" w:type="pct"/>
            <w:vAlign w:val="center"/>
          </w:tcPr>
          <w:p w14:paraId="0BD25F90" w14:textId="77777777" w:rsidR="00C72191" w:rsidRPr="00AD2B60" w:rsidRDefault="00C72191" w:rsidP="00192B09">
            <w:pPr>
              <w:rPr>
                <w:rFonts w:ascii="Arial" w:hAnsi="Arial" w:cs="Arial"/>
                <w:sz w:val="16"/>
                <w:szCs w:val="16"/>
              </w:rPr>
            </w:pPr>
            <w:r w:rsidRPr="00AD2B60">
              <w:rPr>
                <w:rFonts w:ascii="Arial" w:hAnsi="Arial" w:cs="Arial"/>
                <w:sz w:val="16"/>
                <w:szCs w:val="16"/>
              </w:rPr>
              <w:t>Vietnam</w:t>
            </w:r>
          </w:p>
          <w:p w14:paraId="20A8DA13" w14:textId="77777777" w:rsidR="00C72191" w:rsidRPr="00AD2B60" w:rsidRDefault="00C72191" w:rsidP="00192B09">
            <w:pPr>
              <w:rPr>
                <w:rFonts w:ascii="Arial" w:hAnsi="Arial" w:cs="Arial"/>
                <w:sz w:val="16"/>
                <w:szCs w:val="16"/>
              </w:rPr>
            </w:pPr>
          </w:p>
          <w:p w14:paraId="08C2DEAD" w14:textId="77777777" w:rsidR="00C72191" w:rsidRPr="00AD2B60" w:rsidRDefault="00C72191" w:rsidP="00192B09">
            <w:pPr>
              <w:rPr>
                <w:rFonts w:ascii="Arial" w:hAnsi="Arial" w:cs="Arial"/>
                <w:sz w:val="16"/>
                <w:szCs w:val="16"/>
              </w:rPr>
            </w:pPr>
            <w:r w:rsidRPr="00AD2B60">
              <w:rPr>
                <w:rFonts w:ascii="Arial" w:hAnsi="Arial" w:cs="Arial"/>
                <w:sz w:val="16"/>
                <w:szCs w:val="16"/>
              </w:rPr>
              <w:t>251</w:t>
            </w:r>
          </w:p>
        </w:tc>
        <w:tc>
          <w:tcPr>
            <w:tcW w:w="567" w:type="pct"/>
            <w:vAlign w:val="center"/>
          </w:tcPr>
          <w:p w14:paraId="36E5492C" w14:textId="77777777" w:rsidR="00C72191" w:rsidRPr="00AD2B60" w:rsidRDefault="00C72191" w:rsidP="00192B09">
            <w:pPr>
              <w:rPr>
                <w:rFonts w:ascii="Arial" w:hAnsi="Arial" w:cs="Arial"/>
                <w:sz w:val="16"/>
                <w:szCs w:val="16"/>
              </w:rPr>
            </w:pPr>
            <w:r w:rsidRPr="00AD2B60">
              <w:rPr>
                <w:rFonts w:ascii="Arial" w:hAnsi="Arial" w:cs="Arial"/>
                <w:sz w:val="16"/>
                <w:szCs w:val="16"/>
              </w:rPr>
              <w:t>Women 18 and over reporting having unprotected vaginal or anal sex with a male client in the previous month; being able to read text messages in Vietnamese; and possessing a personal smart mobile phone with access to internet.</w:t>
            </w:r>
          </w:p>
        </w:tc>
        <w:tc>
          <w:tcPr>
            <w:tcW w:w="370" w:type="pct"/>
            <w:vAlign w:val="center"/>
          </w:tcPr>
          <w:p w14:paraId="1534EAEA"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Mobile health (mHealth) platform, </w:t>
            </w:r>
            <w:proofErr w:type="spellStart"/>
            <w:r w:rsidRPr="00AD2B60">
              <w:rPr>
                <w:rFonts w:ascii="Arial" w:hAnsi="Arial" w:cs="Arial"/>
                <w:sz w:val="16"/>
                <w:szCs w:val="16"/>
              </w:rPr>
              <w:t>iConnect</w:t>
            </w:r>
            <w:proofErr w:type="spellEnd"/>
          </w:p>
        </w:tc>
        <w:tc>
          <w:tcPr>
            <w:tcW w:w="1290" w:type="pct"/>
            <w:vAlign w:val="center"/>
          </w:tcPr>
          <w:p w14:paraId="2A24C2E3"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iConnect</w:t>
            </w:r>
            <w:proofErr w:type="spellEnd"/>
            <w:r w:rsidRPr="00AD2B60">
              <w:rPr>
                <w:rFonts w:ascii="Arial" w:hAnsi="Arial" w:cs="Arial"/>
                <w:sz w:val="16"/>
                <w:szCs w:val="16"/>
              </w:rPr>
              <w:t xml:space="preserve"> employed an integrated mobile health (mHealth) intervention to address unsafe abortion among FSWs. The app featured three interconnected systems: (1) a communication system offering access to peer educators, reminders, chat, and appointment scheduling; (2) a digital toolkit with interactive decision aids and manuals on pregnancy, safe abortion, and post-abortion care; and (3) a client record system to track service use. Three tailored app versions were developed for FSWs, peer educators, and healthcare providers. The intervention also included automated educational SMS, virtual peer counseling, and referrals to safe abortion services.</w:t>
            </w:r>
          </w:p>
        </w:tc>
        <w:tc>
          <w:tcPr>
            <w:tcW w:w="426" w:type="pct"/>
            <w:vAlign w:val="center"/>
          </w:tcPr>
          <w:p w14:paraId="5F555AED"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688E157B" w14:textId="77777777" w:rsidR="00C72191" w:rsidRPr="00AD2B60" w:rsidRDefault="00C72191" w:rsidP="00192B09">
            <w:pPr>
              <w:rPr>
                <w:rFonts w:ascii="Arial" w:hAnsi="Arial" w:cs="Arial"/>
                <w:sz w:val="16"/>
                <w:szCs w:val="16"/>
              </w:rPr>
            </w:pPr>
            <w:r w:rsidRPr="00AD2B60">
              <w:rPr>
                <w:rFonts w:ascii="Arial" w:hAnsi="Arial" w:cs="Arial"/>
                <w:sz w:val="16"/>
                <w:szCs w:val="16"/>
              </w:rPr>
              <w:t>Knowledge of the correct gestational age (≤22 weeks) for medical abortion increased from 78.9% to 96.8% (p=0.001), and knowledge of appropriate gestational ages for medical abortion at private clinics rose from 45.3% to 63.1% (p =0.001). Awareness of the consequences of unsafe abortion improved from 75.2% to 92.1% (p =0.001). Perceived stigma when seeking abortion services decreased from 36.5% to 27.8% (p =0.036), and concerns about confidentiality dropped from 23.3% to 15.5% (p =0.035).</w:t>
            </w:r>
          </w:p>
        </w:tc>
      </w:tr>
      <w:tr w:rsidR="00C72191" w:rsidRPr="00AD2B60" w14:paraId="531EF284" w14:textId="77777777" w:rsidTr="00192B09">
        <w:trPr>
          <w:cantSplit/>
          <w:jc w:val="center"/>
        </w:trPr>
        <w:tc>
          <w:tcPr>
            <w:tcW w:w="386" w:type="pct"/>
            <w:vAlign w:val="center"/>
          </w:tcPr>
          <w:p w14:paraId="438DDC38"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O’Farrell et al. (2008)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{"citationID":"I7SDWLiE","properties":{"formattedCitation":"\\super 57\\nosupersub{}","plainCitation":"57","noteIndex":0},"citationItems":[{"id":1050,"uris":["http://zotero.org/users/1379219/items/5IFGZWL7"],"itemData":{"id":1050,"type":"article-journal","abstract":"The aim of this study was to assess changes in sexually transmitted infections (STI) related care following a STI project with a particular focus on registered brothel-based (direct) female sex workers (DFSWs) in four border provinces of Cambodia. A survey of health care facilities providing STI care was undertaken and the results compared with a baseline survey done two years previously. The main components of the project were: renovation of the STI clinics, STI training, formation of mobile teams, provision of STI drugs, and the introduction of basic laboratory tests at STI clinics. Interviews were held with health care providers and STI patients and a manual check was made of the STI register and special forms for DFSWs. Clinical management of STI cases was assessed for DFSWs, women with vaginal discharge and men with urethral discharge. Advice given to clients about condom use, partner notification and STI education was assessed and availability of STI drugs was reviewed. STI clinic attendance by DFSWs each month increased from 72% (296/412) to 93% (459/496). The proportion of DFSWs diagnosed with presumed STIs decreased from 86.5% (256/296) to 25.5% (117/459) and cervicitis from 32.8% (135/412) to 12.6% (58/459). The percentage of men attending STI clinics decreased from 26.9% (251/933) to 9.4% (102/1,080). The proportion of presumed STI cases/all cases attending health centers decreased from 7.0% (934/13,177) to 4.3% (739/17,224). The introduction of laboratory tests coincided with a marked reduction in DFSWs diagnosed with cervicitis. Further validation studies are required to determine whether this reduction was accompanied by a real decrease in gonorrhea and chlamydia.","container-title":"The Southeast Asian Journal of Tropical Medicine and Public Health","ISSN":"0125-1562","issue":"5","journalAbbreviation":"Southeast Asian J Trop Med Public Health","language":"eng","note":"PMID: 19058582","page":"867-875","source":"PubMed","title":"Changes in STI services following a community based STI-intervention project in Cambodia","volume":"39","author":[{"family":"O'Farrell","given":"Nigel"},{"family":"Sano","given":"Phal"},{"family":"Sopheap","given":"Seng"},{"family":"Heng","given":"Lon Say"},{"family":"Sun","given":"Ly Penh"},{"family":"Vun","given":"Mean Chhi"},{"family":"Fylkesnes","given":"Knut"},{"family":"Godwin","given":"Peter"}],"issued":{"date-parts":[["2008",9]]}}}],"schema":"https://github.com/citation-style-language/schema/raw/master/csl-citation.json"}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57</w:t>
            </w:r>
            <w:r w:rsidRPr="00AD2B60">
              <w:rPr>
                <w:rFonts w:asciiTheme="minorHAnsi" w:hAnsiTheme="minorHAnsi" w:cstheme="minorHAnsi"/>
                <w:sz w:val="16"/>
                <w:szCs w:val="16"/>
              </w:rPr>
              <w:fldChar w:fldCharType="end"/>
            </w:r>
          </w:p>
        </w:tc>
        <w:tc>
          <w:tcPr>
            <w:tcW w:w="471" w:type="pct"/>
            <w:vAlign w:val="center"/>
          </w:tcPr>
          <w:p w14:paraId="34463A4B" w14:textId="77777777" w:rsidR="00C72191" w:rsidRPr="00AD2B60" w:rsidRDefault="00C72191" w:rsidP="00192B09">
            <w:pPr>
              <w:rPr>
                <w:rFonts w:ascii="Arial" w:hAnsi="Arial" w:cs="Arial"/>
                <w:sz w:val="16"/>
                <w:szCs w:val="16"/>
              </w:rPr>
            </w:pPr>
            <w:r w:rsidRPr="00AD2B60">
              <w:rPr>
                <w:rFonts w:ascii="Arial" w:hAnsi="Arial" w:cs="Arial"/>
                <w:sz w:val="16"/>
                <w:szCs w:val="16"/>
              </w:rPr>
              <w:t>Cambodia</w:t>
            </w:r>
          </w:p>
          <w:p w14:paraId="053722F2" w14:textId="77777777" w:rsidR="00C72191" w:rsidRPr="00AD2B60" w:rsidRDefault="00C72191" w:rsidP="00192B09">
            <w:pPr>
              <w:rPr>
                <w:rFonts w:ascii="Arial" w:hAnsi="Arial" w:cs="Arial"/>
                <w:sz w:val="16"/>
                <w:szCs w:val="16"/>
              </w:rPr>
            </w:pPr>
          </w:p>
          <w:p w14:paraId="2F444D45" w14:textId="77777777" w:rsidR="00C72191" w:rsidRPr="00AD2B60" w:rsidRDefault="00C72191" w:rsidP="00192B09">
            <w:pPr>
              <w:rPr>
                <w:rFonts w:ascii="Arial" w:hAnsi="Arial" w:cs="Arial"/>
                <w:sz w:val="16"/>
                <w:szCs w:val="16"/>
              </w:rPr>
            </w:pPr>
            <w:r w:rsidRPr="00AD2B60">
              <w:rPr>
                <w:rFonts w:ascii="Arial" w:hAnsi="Arial" w:cs="Arial"/>
                <w:sz w:val="16"/>
                <w:szCs w:val="16"/>
              </w:rPr>
              <w:t>44 STI clients and 64 health care providers and staff</w:t>
            </w:r>
          </w:p>
        </w:tc>
        <w:tc>
          <w:tcPr>
            <w:tcW w:w="567" w:type="pct"/>
            <w:vAlign w:val="center"/>
          </w:tcPr>
          <w:p w14:paraId="6A55221C" w14:textId="77777777" w:rsidR="00C72191" w:rsidRPr="00AD2B60" w:rsidRDefault="00C72191" w:rsidP="00192B09">
            <w:pPr>
              <w:rPr>
                <w:rFonts w:ascii="Arial" w:hAnsi="Arial" w:cs="Arial"/>
                <w:sz w:val="16"/>
                <w:szCs w:val="16"/>
              </w:rPr>
            </w:pPr>
            <w:r w:rsidRPr="00AD2B60">
              <w:rPr>
                <w:rFonts w:ascii="Arial" w:hAnsi="Arial" w:cs="Arial"/>
                <w:sz w:val="16"/>
                <w:szCs w:val="16"/>
              </w:rPr>
              <w:t>Direct (brothel-based) female sex workers (DFSWs) in 4 border provinces</w:t>
            </w:r>
          </w:p>
        </w:tc>
        <w:tc>
          <w:tcPr>
            <w:tcW w:w="370" w:type="pct"/>
            <w:vAlign w:val="center"/>
          </w:tcPr>
          <w:p w14:paraId="5F0A8867" w14:textId="77777777" w:rsidR="00C72191" w:rsidRPr="00AD2B60" w:rsidRDefault="00C72191" w:rsidP="00192B09">
            <w:pPr>
              <w:rPr>
                <w:rFonts w:ascii="Arial" w:hAnsi="Arial" w:cs="Arial"/>
                <w:sz w:val="16"/>
                <w:szCs w:val="16"/>
              </w:rPr>
            </w:pPr>
            <w:r w:rsidRPr="00AD2B60">
              <w:rPr>
                <w:rFonts w:ascii="Arial" w:hAnsi="Arial" w:cs="Arial"/>
                <w:sz w:val="16"/>
                <w:szCs w:val="16"/>
              </w:rPr>
              <w:t>STI clinics and public health centers</w:t>
            </w:r>
          </w:p>
        </w:tc>
        <w:tc>
          <w:tcPr>
            <w:tcW w:w="1290" w:type="pct"/>
            <w:vAlign w:val="center"/>
          </w:tcPr>
          <w:p w14:paraId="321FB767" w14:textId="77777777" w:rsidR="00C72191" w:rsidRPr="00AD2B60" w:rsidRDefault="00C72191" w:rsidP="00192B09">
            <w:pPr>
              <w:rPr>
                <w:rFonts w:ascii="Arial" w:hAnsi="Arial" w:cs="Arial"/>
                <w:sz w:val="16"/>
                <w:szCs w:val="16"/>
              </w:rPr>
            </w:pPr>
            <w:r w:rsidRPr="00AD2B60">
              <w:rPr>
                <w:rFonts w:ascii="Arial" w:hAnsi="Arial" w:cs="Arial"/>
                <w:sz w:val="16"/>
                <w:szCs w:val="16"/>
              </w:rPr>
              <w:t>The community-based STI intervention involved renovating and re-equipping STI clinics, training and re-training healthcare workers, providing STI drugs and diagnostic supplies, forming mobile STI teams, and introducing laboratory services. FSW-specific activities included local promotion campaigns, distribution of educational materials, and implementing the 100% condom use program. The intervention also included advocacy with local authorities and salary supplements for staff.</w:t>
            </w:r>
          </w:p>
        </w:tc>
        <w:tc>
          <w:tcPr>
            <w:tcW w:w="426" w:type="pct"/>
            <w:vAlign w:val="center"/>
          </w:tcPr>
          <w:p w14:paraId="05CBB80C" w14:textId="77777777" w:rsidR="00C72191" w:rsidRPr="00AD2B60" w:rsidRDefault="00C72191" w:rsidP="00192B09">
            <w:pPr>
              <w:rPr>
                <w:rFonts w:ascii="Arial" w:hAnsi="Arial" w:cs="Arial"/>
                <w:sz w:val="16"/>
                <w:szCs w:val="16"/>
              </w:rPr>
            </w:pPr>
            <w:r w:rsidRPr="00AD2B60">
              <w:rPr>
                <w:rFonts w:ascii="Arial" w:hAnsi="Arial" w:cs="Arial"/>
                <w:sz w:val="16"/>
                <w:szCs w:val="16"/>
              </w:rPr>
              <w:t>Comparison with data taken two years earlier.</w:t>
            </w:r>
          </w:p>
        </w:tc>
        <w:tc>
          <w:tcPr>
            <w:tcW w:w="1490" w:type="pct"/>
            <w:vAlign w:val="center"/>
          </w:tcPr>
          <w:p w14:paraId="73605EBA" w14:textId="77777777" w:rsidR="00C72191" w:rsidRPr="00AD2B60" w:rsidRDefault="00C72191" w:rsidP="00192B09">
            <w:pPr>
              <w:rPr>
                <w:rFonts w:ascii="Arial" w:hAnsi="Arial" w:cs="Arial"/>
                <w:sz w:val="16"/>
                <w:szCs w:val="16"/>
              </w:rPr>
            </w:pPr>
            <w:r w:rsidRPr="00AD2B60">
              <w:rPr>
                <w:rFonts w:ascii="Arial" w:hAnsi="Arial" w:cs="Arial"/>
                <w:sz w:val="16"/>
                <w:szCs w:val="16"/>
              </w:rPr>
              <w:t>STI clinic attendance by DFSWs increased from 72% to 93%. The proportion of DFSWs diagnosed with presumed STIs decreased from 86.5% to 25.5%, and cervicitis cases dropped from 32.8% to 12.6%. Attendance by men at STI clinics decreased from 26.9% to 9.4%, and the proportion of presumed STI cases among all health center visits decreased from 7.0% to 4.3%. The introduction of laboratory testing coincided with a significant reduction in cervicitis diagnoses among DFSWs.</w:t>
            </w:r>
          </w:p>
        </w:tc>
      </w:tr>
      <w:tr w:rsidR="00C72191" w:rsidRPr="00AD2B60" w14:paraId="199DBDA6" w14:textId="77777777" w:rsidTr="00192B09">
        <w:trPr>
          <w:cantSplit/>
          <w:jc w:val="center"/>
        </w:trPr>
        <w:tc>
          <w:tcPr>
            <w:tcW w:w="386" w:type="pct"/>
            <w:vAlign w:val="center"/>
          </w:tcPr>
          <w:p w14:paraId="654A8FFC"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Reza-Paul et al. (2019)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{"citationID":"ZmTfo7ju","properties":{"formattedCitation":"\\super 58\\nosupersub{}","plainCitation":"58","noteIndex":0},"citationItems":[{"id":1066,"uris":["http://zotero.org/users/1379219/items/LSXHW69R"],"itemData":{"id":1066,"type":"article-journal","abstract":"Introduction\nWomen in developing countries continue to face barriers to accessing sexual and reproductive health (SRH) services, with marginalized women facing increased challenges to accessing care. The Diagonal Interventions to Fast-Forward Enhanced Reproductive Health (DIFFER) project implemented a package of interventions for female sex workers and women from the general population which integrated horizontal health services for the general population with existing vertical targeted interventions aimed at sex workers with an aim to improve SRH and HIV services. We present an outcome evaluation of the DIFFER project in terms of uptake rates for SRH services among sex workers in Mysore, India.\n\nMethods\nAshodaya Samithi, a sex worker-led organization, implemented the DIFFER strategy through their community-based clinic and a Well Women Clinic (WWC), established at a partner private hospital that provided SRH services for women living with HIV. Mixed methods were used to evaluate the intervention that included a baseline (2012–13) and end of project (2015–16) cross sectional surveys (CSS), focus group discussions (FGDs), key informant interviews, and analysis of service statistics from 2013–2016.\n\nResults\nThe CSS found that condom use, STI testing, and treatment were high before, and throughout the intervention; cervical cancer screening and treatment increased significantly, from 11.5% to 56% (aOR 9.85, p&lt;0.001) and HIV testing in the last 3 months increased from 26.3% to 73.3% (aOR 7.25, p&lt;0.001). The proportion of sex workers using any SRH service in the past year doubled from 25.7% to 51.4% (aOR 2.91, p&lt;0.001). Service statistics showed similar trends. The FGDs and key informant interviews showed that women and stakeholders held high levels of satisfaction with the strategy, and affirmed potential for scale up.\n\nConclusion\nThe DIFFER strategy demonstrated that SRH service uptake can occur in conjuction with HIV services offered to sex workers. This model of integrated service delivery has been accepted by policy makers and needs further analysis for scaling up.","container-title":"PLoS ONE","DOI":"10.1371/journal.pone.0218654","ISSN":"1932-6203","issue":"6","journalAbbreviation":"PLoS One","note":"PMID: 31226141\nPMCID: PMC6588234","page":"e0218654","source":"PubMed Central","title":"Delivering community-led integrated HIV and sexual and reproductive health services for sex workers: A mixed methods evaluation of the DIFFER study in Mysore, South India","title-short":"Delivering community-led integrated HIV and sexual and reproductive health services for sex workers","volume":"14","author":[{"family":"Reza-Paul","given":"Sushena"},{"family":"Lazarus","given":"Lisa"},{"family":"Maiya","given":"Raviprakash"},{"family":"Venukumar","given":"K. T."},{"family":"Lakshmi","given":"Bhagya"},{"family":"Roy","given":"Anuradha"},{"family":"Haldar","given":"Partha"},{"family":"Andina","given":"Michele"},{"family":"Lafort","given":"Yves"},{"family":"Lorway","given":"Robert"}],"issued":{"date-parts":[["2019",6,21]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58</w:t>
            </w:r>
            <w:r w:rsidRPr="00AD2B60">
              <w:rPr>
                <w:rFonts w:asciiTheme="minorHAnsi" w:hAnsiTheme="minorHAnsi" w:cstheme="minorHAnsi"/>
                <w:sz w:val="16"/>
                <w:szCs w:val="16"/>
              </w:rPr>
              <w:fldChar w:fldCharType="end"/>
            </w:r>
          </w:p>
        </w:tc>
        <w:tc>
          <w:tcPr>
            <w:tcW w:w="471" w:type="pct"/>
            <w:vAlign w:val="center"/>
          </w:tcPr>
          <w:p w14:paraId="7882B52C" w14:textId="77777777" w:rsidR="00C72191" w:rsidRPr="00AD2B60" w:rsidRDefault="00C72191" w:rsidP="00192B09">
            <w:pPr>
              <w:rPr>
                <w:rFonts w:ascii="Arial" w:hAnsi="Arial" w:cs="Arial"/>
                <w:color w:val="1F1F1F"/>
                <w:sz w:val="16"/>
                <w:szCs w:val="16"/>
              </w:rPr>
            </w:pPr>
            <w:r w:rsidRPr="00AD2B60">
              <w:rPr>
                <w:rFonts w:ascii="Arial" w:hAnsi="Arial" w:cs="Arial"/>
                <w:color w:val="1F1F1F"/>
                <w:sz w:val="16"/>
                <w:szCs w:val="16"/>
              </w:rPr>
              <w:t>India</w:t>
            </w:r>
          </w:p>
          <w:p w14:paraId="496D5823" w14:textId="77777777" w:rsidR="00C72191" w:rsidRPr="00AD2B60" w:rsidRDefault="00C72191" w:rsidP="00192B09">
            <w:pPr>
              <w:rPr>
                <w:rFonts w:ascii="Arial" w:hAnsi="Arial" w:cs="Arial"/>
                <w:color w:val="1F1F1F"/>
                <w:sz w:val="16"/>
                <w:szCs w:val="16"/>
              </w:rPr>
            </w:pPr>
          </w:p>
          <w:p w14:paraId="02DB1A00" w14:textId="77777777" w:rsidR="00C72191" w:rsidRPr="00AD2B60" w:rsidRDefault="00C72191" w:rsidP="00192B09">
            <w:pPr>
              <w:rPr>
                <w:rFonts w:ascii="Arial" w:hAnsi="Arial" w:cs="Arial"/>
                <w:sz w:val="16"/>
                <w:szCs w:val="16"/>
              </w:rPr>
            </w:pPr>
            <w:r w:rsidRPr="00AD2B60">
              <w:rPr>
                <w:rFonts w:ascii="Arial" w:hAnsi="Arial" w:cs="Arial"/>
                <w:sz w:val="16"/>
                <w:szCs w:val="16"/>
              </w:rPr>
              <w:t>Baseline: 458</w:t>
            </w:r>
          </w:p>
          <w:p w14:paraId="2A8118F7" w14:textId="77777777" w:rsidR="00C72191" w:rsidRPr="00AD2B60" w:rsidRDefault="00C72191" w:rsidP="00192B09">
            <w:pPr>
              <w:rPr>
                <w:rFonts w:ascii="Arial" w:hAnsi="Arial" w:cs="Arial"/>
                <w:sz w:val="16"/>
                <w:szCs w:val="16"/>
              </w:rPr>
            </w:pPr>
            <w:r w:rsidRPr="00AD2B60">
              <w:rPr>
                <w:rFonts w:ascii="Arial" w:hAnsi="Arial" w:cs="Arial"/>
                <w:sz w:val="16"/>
                <w:szCs w:val="16"/>
              </w:rPr>
              <w:t>Follow-up: 415</w:t>
            </w:r>
          </w:p>
        </w:tc>
        <w:tc>
          <w:tcPr>
            <w:tcW w:w="567" w:type="pct"/>
            <w:vAlign w:val="center"/>
          </w:tcPr>
          <w:p w14:paraId="35A78098" w14:textId="77777777" w:rsidR="00C72191" w:rsidRPr="00AD2B60" w:rsidRDefault="00C72191" w:rsidP="00192B09">
            <w:pPr>
              <w:rPr>
                <w:rFonts w:ascii="Arial" w:hAnsi="Arial" w:cs="Arial"/>
                <w:sz w:val="16"/>
                <w:szCs w:val="16"/>
              </w:rPr>
            </w:pPr>
            <w:r w:rsidRPr="00AD2B60">
              <w:rPr>
                <w:rFonts w:ascii="Arial" w:hAnsi="Arial" w:cs="Arial"/>
                <w:sz w:val="16"/>
                <w:szCs w:val="16"/>
              </w:rPr>
              <w:t>Women 18 years or older that received money or gifts for sex at least three times in the last six months.</w:t>
            </w:r>
          </w:p>
        </w:tc>
        <w:tc>
          <w:tcPr>
            <w:tcW w:w="370" w:type="pct"/>
            <w:vAlign w:val="center"/>
          </w:tcPr>
          <w:p w14:paraId="75FD0EEC"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Ashodaya</w:t>
            </w:r>
            <w:proofErr w:type="spellEnd"/>
            <w:r w:rsidRPr="00AD2B60">
              <w:rPr>
                <w:rFonts w:ascii="Arial" w:hAnsi="Arial" w:cs="Arial"/>
                <w:sz w:val="16"/>
                <w:szCs w:val="16"/>
              </w:rPr>
              <w:t xml:space="preserve"> Community Clinic; Well Women Clinic for women living with HIV</w:t>
            </w:r>
          </w:p>
        </w:tc>
        <w:tc>
          <w:tcPr>
            <w:tcW w:w="1290" w:type="pct"/>
            <w:vAlign w:val="center"/>
          </w:tcPr>
          <w:p w14:paraId="08326D6C"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The multi-component intervention included community mobilization and peer outreach; strengthening HIV/STI services at </w:t>
            </w:r>
            <w:proofErr w:type="spellStart"/>
            <w:r w:rsidRPr="00AD2B60">
              <w:rPr>
                <w:rFonts w:ascii="Arial" w:hAnsi="Arial" w:cs="Arial"/>
                <w:sz w:val="16"/>
                <w:szCs w:val="16"/>
              </w:rPr>
              <w:t>Ashodaya</w:t>
            </w:r>
            <w:proofErr w:type="spellEnd"/>
            <w:r w:rsidRPr="00AD2B60">
              <w:rPr>
                <w:rFonts w:ascii="Arial" w:hAnsi="Arial" w:cs="Arial"/>
                <w:sz w:val="16"/>
                <w:szCs w:val="16"/>
              </w:rPr>
              <w:t xml:space="preserve"> clinic; introduction of VIA cervical cancer screening and referrals; provision of long-acting contraceptives and dual protection counseling; healthcare navigation and linkage to government hospitals; sexual and gender-based violence prevention; and establishment of a Well Women Clinic for HIV-positive women with referrals via trained healthcare navigators. Training was given to existing clinic staff.</w:t>
            </w:r>
          </w:p>
        </w:tc>
        <w:tc>
          <w:tcPr>
            <w:tcW w:w="426" w:type="pct"/>
            <w:vAlign w:val="center"/>
          </w:tcPr>
          <w:p w14:paraId="119C7B1D"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3B2BC7D3" w14:textId="77777777" w:rsidR="00C72191" w:rsidRPr="00AD2B60" w:rsidRDefault="00C72191" w:rsidP="00192B09">
            <w:pPr>
              <w:rPr>
                <w:rFonts w:ascii="Arial" w:hAnsi="Arial" w:cs="Arial"/>
                <w:sz w:val="16"/>
                <w:szCs w:val="16"/>
              </w:rPr>
            </w:pPr>
            <w:r w:rsidRPr="00AD2B60">
              <w:rPr>
                <w:rFonts w:ascii="Arial" w:hAnsi="Arial" w:cs="Arial"/>
                <w:sz w:val="16"/>
                <w:szCs w:val="16"/>
              </w:rPr>
              <w:t>Cervical cancer screening increased from 11.5% to 56% (</w:t>
            </w:r>
            <w:proofErr w:type="spellStart"/>
            <w:r w:rsidRPr="00AD2B60">
              <w:rPr>
                <w:rFonts w:ascii="Arial" w:hAnsi="Arial" w:cs="Arial"/>
                <w:sz w:val="16"/>
                <w:szCs w:val="16"/>
              </w:rPr>
              <w:t>aOR</w:t>
            </w:r>
            <w:proofErr w:type="spellEnd"/>
            <w:r w:rsidRPr="00AD2B60">
              <w:rPr>
                <w:rFonts w:ascii="Arial" w:hAnsi="Arial" w:cs="Arial"/>
                <w:sz w:val="16"/>
                <w:szCs w:val="16"/>
              </w:rPr>
              <w:t xml:space="preserve"> 9.85, p&lt;0.001), and HIV testing within the last 3 months rose from 26.3% to 73.3% (</w:t>
            </w:r>
            <w:proofErr w:type="spellStart"/>
            <w:r w:rsidRPr="00AD2B60">
              <w:rPr>
                <w:rFonts w:ascii="Arial" w:hAnsi="Arial" w:cs="Arial"/>
                <w:sz w:val="16"/>
                <w:szCs w:val="16"/>
              </w:rPr>
              <w:t>aOR</w:t>
            </w:r>
            <w:proofErr w:type="spellEnd"/>
            <w:r w:rsidRPr="00AD2B60">
              <w:rPr>
                <w:rFonts w:ascii="Arial" w:hAnsi="Arial" w:cs="Arial"/>
                <w:sz w:val="16"/>
                <w:szCs w:val="16"/>
              </w:rPr>
              <w:t xml:space="preserve"> 7.25, p&lt;0.001). Overall use of SRH services doubled from 25.7% to 51.4% (</w:t>
            </w:r>
            <w:proofErr w:type="spellStart"/>
            <w:r w:rsidRPr="00AD2B60">
              <w:rPr>
                <w:rFonts w:ascii="Arial" w:hAnsi="Arial" w:cs="Arial"/>
                <w:sz w:val="16"/>
                <w:szCs w:val="16"/>
              </w:rPr>
              <w:t>aOR</w:t>
            </w:r>
            <w:proofErr w:type="spellEnd"/>
            <w:r w:rsidRPr="00AD2B60">
              <w:rPr>
                <w:rFonts w:ascii="Arial" w:hAnsi="Arial" w:cs="Arial"/>
                <w:sz w:val="16"/>
                <w:szCs w:val="16"/>
              </w:rPr>
              <w:t xml:space="preserve"> 2.91, p&lt;0.001). High satisfaction levels with the services were reported, and qualitative data confirmed the intervention’s feasibility and acceptability among FSWs and key stakeholders.</w:t>
            </w:r>
          </w:p>
        </w:tc>
      </w:tr>
      <w:tr w:rsidR="00C72191" w:rsidRPr="00AD2B60" w14:paraId="5213F509" w14:textId="77777777" w:rsidTr="00192B09">
        <w:trPr>
          <w:cantSplit/>
          <w:jc w:val="center"/>
        </w:trPr>
        <w:tc>
          <w:tcPr>
            <w:tcW w:w="386" w:type="pct"/>
            <w:vAlign w:val="center"/>
          </w:tcPr>
          <w:p w14:paraId="53815488"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 xml:space="preserve">Rosenberg and </w:t>
            </w:r>
            <w:proofErr w:type="spellStart"/>
            <w:r w:rsidRPr="00AD2B60">
              <w:rPr>
                <w:rFonts w:ascii="Arial" w:hAnsi="Arial" w:cs="Arial"/>
                <w:sz w:val="16"/>
                <w:szCs w:val="16"/>
              </w:rPr>
              <w:t>Bakomeza</w:t>
            </w:r>
            <w:proofErr w:type="spellEnd"/>
            <w:r w:rsidRPr="00AD2B60">
              <w:rPr>
                <w:rFonts w:ascii="Arial" w:hAnsi="Arial" w:cs="Arial"/>
                <w:sz w:val="16"/>
                <w:szCs w:val="16"/>
              </w:rPr>
              <w:t xml:space="preserve">. (2017)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{"citationID":"531ju0ip","properties":{"formattedCitation":"\\super 59\\nosupersub{}","plainCitation":"59","noteIndex":0},"citationItems":[{"id":1044,"uris":["http://zotero.org/users/1379219/items/A2RH8D98"],"itemData":{"id":1044,"type":"article-journal","abstract":"Although it is well known that refugees engage in sex work as a form of livelihood, stigma and silence around this issue persist within humanitarian circles. As a result, these refugees' sexual and reproductive health and rights, and related vulnerabilities, remain overlooked. Their protection and health needs, which are significant, often go unmet at the field level. In 2016, the Women's Refugee Commission and Reproductive Health Uganda partnered to pilot a peer-education intervention tailored to meet the needs of refugee women engaged in sex work in Kampala. Findings from the pilot project suggest the feasibility of adapting existing rights-based and evidence-informed interventions with sex workers to humanitarian contexts. Findings further demonstrate how taking a community empowerment approach can facilitate these refugees' access to a range of critical information, services and support options - from information on how to use contraceptives, to referrals for friendly HIV testing and treatment, to peer counselling and protective peer networks.","container-title":"Reproductive Health Matters","DOI":"10.1080/09688080.2017.1405674","ISSN":"1460-9576","issue":"51","journalAbbreviation":"Reprod Health Matters","language":"eng","note":"PMID: 29231800","page":"95-102","source":"PubMed","title":"Let's talk about sex work in humanitarian settings: piloting a rights-based approach to working with refugee women selling sex in Kampala","title-short":"Let's talk about sex work in humanitarian settings","volume":"25","author":[{"family":"Rosenberg","given":"Jennifer S."},{"family":"Bakomeza","given":"Denis"}],"issued":{"date-parts":[["2017",11]]}}}],"schema":"https://github.com/citation-style-language/schema/raw/master/csl-citation.json"}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59</w:t>
            </w:r>
            <w:r w:rsidRPr="00AD2B60">
              <w:rPr>
                <w:rFonts w:asciiTheme="minorHAnsi" w:hAnsiTheme="minorHAnsi" w:cstheme="minorHAnsi"/>
                <w:sz w:val="16"/>
                <w:szCs w:val="16"/>
              </w:rPr>
              <w:fldChar w:fldCharType="end"/>
            </w:r>
          </w:p>
        </w:tc>
        <w:tc>
          <w:tcPr>
            <w:tcW w:w="471" w:type="pct"/>
            <w:vAlign w:val="center"/>
          </w:tcPr>
          <w:p w14:paraId="2394CD55" w14:textId="77777777" w:rsidR="00C72191" w:rsidRPr="00AD2B60" w:rsidRDefault="00C72191" w:rsidP="00192B09">
            <w:pPr>
              <w:rPr>
                <w:rFonts w:ascii="Arial" w:hAnsi="Arial" w:cs="Arial"/>
                <w:sz w:val="16"/>
                <w:szCs w:val="16"/>
              </w:rPr>
            </w:pPr>
            <w:r w:rsidRPr="00AD2B60">
              <w:rPr>
                <w:rFonts w:ascii="Arial" w:hAnsi="Arial" w:cs="Arial"/>
                <w:sz w:val="16"/>
                <w:szCs w:val="16"/>
              </w:rPr>
              <w:t>Uganda</w:t>
            </w:r>
          </w:p>
          <w:p w14:paraId="1E960D3F" w14:textId="77777777" w:rsidR="00C72191" w:rsidRPr="00AD2B60" w:rsidRDefault="00C72191" w:rsidP="00192B09">
            <w:pPr>
              <w:rPr>
                <w:rFonts w:ascii="Arial" w:hAnsi="Arial" w:cs="Arial"/>
                <w:sz w:val="16"/>
                <w:szCs w:val="16"/>
              </w:rPr>
            </w:pPr>
          </w:p>
          <w:p w14:paraId="7D86FBC8" w14:textId="77777777" w:rsidR="00C72191" w:rsidRPr="00AD2B60" w:rsidRDefault="00C72191" w:rsidP="00192B09">
            <w:pPr>
              <w:rPr>
                <w:rFonts w:ascii="Arial" w:hAnsi="Arial" w:cs="Arial"/>
                <w:sz w:val="16"/>
                <w:szCs w:val="16"/>
              </w:rPr>
            </w:pPr>
            <w:r w:rsidRPr="00AD2B60">
              <w:rPr>
                <w:rFonts w:ascii="Arial" w:hAnsi="Arial" w:cs="Arial"/>
                <w:sz w:val="16"/>
                <w:szCs w:val="16"/>
              </w:rPr>
              <w:t>50</w:t>
            </w:r>
          </w:p>
        </w:tc>
        <w:tc>
          <w:tcPr>
            <w:tcW w:w="567" w:type="pct"/>
            <w:vAlign w:val="center"/>
          </w:tcPr>
          <w:p w14:paraId="3E7615F3" w14:textId="77777777" w:rsidR="00C72191" w:rsidRPr="00AD2B60" w:rsidRDefault="00C72191" w:rsidP="00192B09">
            <w:pPr>
              <w:rPr>
                <w:rFonts w:ascii="Arial" w:hAnsi="Arial" w:cs="Arial"/>
                <w:sz w:val="16"/>
                <w:szCs w:val="16"/>
              </w:rPr>
            </w:pPr>
            <w:r w:rsidRPr="00AD2B60">
              <w:rPr>
                <w:rFonts w:ascii="Arial" w:hAnsi="Arial" w:cs="Arial"/>
                <w:sz w:val="16"/>
                <w:szCs w:val="16"/>
              </w:rPr>
              <w:t>Refugee cisgender women engaged in sex work in Kampala</w:t>
            </w:r>
          </w:p>
        </w:tc>
        <w:tc>
          <w:tcPr>
            <w:tcW w:w="370" w:type="pct"/>
            <w:vAlign w:val="center"/>
          </w:tcPr>
          <w:p w14:paraId="5334F380"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 at RHU clinic</w:t>
            </w:r>
          </w:p>
        </w:tc>
        <w:tc>
          <w:tcPr>
            <w:tcW w:w="1290" w:type="pct"/>
            <w:vAlign w:val="center"/>
          </w:tcPr>
          <w:p w14:paraId="316E68BE" w14:textId="77777777" w:rsidR="00C72191" w:rsidRPr="00AD2B60" w:rsidRDefault="00C72191" w:rsidP="00192B09">
            <w:pPr>
              <w:rPr>
                <w:rFonts w:ascii="Arial" w:hAnsi="Arial" w:cs="Arial"/>
                <w:sz w:val="16"/>
                <w:szCs w:val="16"/>
              </w:rPr>
            </w:pPr>
            <w:r w:rsidRPr="00AD2B60">
              <w:rPr>
                <w:rFonts w:ascii="Arial" w:hAnsi="Arial" w:cs="Arial"/>
                <w:sz w:val="16"/>
                <w:szCs w:val="16"/>
              </w:rPr>
              <w:t>The program trained peer educators on human rights, sexual and reproductive health, violence management, and counseling skills. Peer educators led community outreach activities including condom distribution, rights awareness sessions, and support networks. The intervention aimed to enhance access to health services and social support and was later expanded to a refugee settlement.</w:t>
            </w:r>
          </w:p>
        </w:tc>
        <w:tc>
          <w:tcPr>
            <w:tcW w:w="426" w:type="pct"/>
            <w:vAlign w:val="center"/>
          </w:tcPr>
          <w:p w14:paraId="73B5026F"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022B4C1F" w14:textId="77777777" w:rsidR="00C72191" w:rsidRPr="00AD2B60" w:rsidRDefault="00C72191" w:rsidP="00192B09">
            <w:pPr>
              <w:rPr>
                <w:rFonts w:ascii="Arial" w:hAnsi="Arial" w:cs="Arial"/>
                <w:sz w:val="16"/>
                <w:szCs w:val="16"/>
              </w:rPr>
            </w:pPr>
            <w:r w:rsidRPr="00AD2B60">
              <w:rPr>
                <w:rFonts w:ascii="Arial" w:hAnsi="Arial" w:cs="Arial"/>
                <w:sz w:val="16"/>
                <w:szCs w:val="16"/>
              </w:rPr>
              <w:t>Participants showed improved knowledge of sexual and reproductive health (SRH), legal rights, and condom use, with many learning for the first time that condoms are single-use only. Peer educators were committed to educating peers and building protective networks. Thirty percent tested HIV-positive during training, all of whom were linked to treatment. Refugee women experienced higher levels of violence, stigma, and discrimination compared to host community sex workers. Peer education was identified as empowering for sharing information and improving service access.</w:t>
            </w:r>
          </w:p>
        </w:tc>
      </w:tr>
      <w:tr w:rsidR="00C72191" w:rsidRPr="00AD2B60" w14:paraId="378F0B51" w14:textId="77777777" w:rsidTr="00192B09">
        <w:trPr>
          <w:cantSplit/>
          <w:trHeight w:val="3018"/>
          <w:jc w:val="center"/>
        </w:trPr>
        <w:tc>
          <w:tcPr>
            <w:tcW w:w="386" w:type="pct"/>
            <w:vAlign w:val="center"/>
          </w:tcPr>
          <w:p w14:paraId="62AC47D1"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García et al. (2018) </w:t>
            </w:r>
            <w:r w:rsidRPr="00AD2B60">
              <w:rPr>
                <w:rFonts w:ascii="Arial" w:hAnsi="Arial" w:cs="Arial"/>
                <w:sz w:val="16"/>
                <w:szCs w:val="16"/>
              </w:rPr>
              <w:fldChar w:fldCharType="begin"/>
            </w:r>
            <w:r w:rsidRPr="00AD2B60">
              <w:rPr>
                <w:rFonts w:ascii="Arial" w:hAnsi="Arial" w:cs="Arial"/>
                <w:sz w:val="16"/>
                <w:szCs w:val="16"/>
              </w:rPr>
              <w:instrText xml:space="preserve"> ADDIN ZOTERO_ITEM CSL_CITATION {"citationID":"wdnoFIKa","properties":{"formattedCitation":"\\super 60\\nosupersub{}","plainCitation":"60","noteIndex":0},"citationItems":[{"id":1063,"uris":["http://zotero.org/users/1379219/items/NBD5HHPQ"],"itemData":{"id":1063,"type":"article-journal","abstract":"Objective\nTo describe and compare trends in prevalence, sexual behaviour and HIV transmission knowledge data related to sexually transmitted infections (STI) and HIV in patients attending three STI clinics over an 8-year period in Escuintla Department, Guatemala.\n\nMethods\nSTI clinic attendees were classified into transmission groups as follows: female sex workers (FSW), men who have sex with men (MSM) and ‘high-risk heterosexuals’ (HRH). Annual cross-sectional analysis and multivariable Poisson regression adjusted for sociodemographic variables were used for prevalence comparisons and adjusted prevalence trends for HIV/STI outcomes and used for adjusted trends in proportions in sexual behaviour and HIV transmission knowledge outcomes. Endocervical swabs were obtained to detect trichomonas, chlamydia and neisseria infections. Serologies for syphilis and HIV were performed using rapid tests. For reactive HIV samples, positivity was confirmed by an ELISA. All reactive syphilis samples were further confirmed for diagnosis of active syphilis disease.\n\nResults\nFrom a total of 4027 clinic attendees, 3213 (79.78%) were FSW, 229 (5.69%) were MSM and 585 (14.53%) were HRH. The proportion of FSW, MSM and HRH who had a single visit was 56.42%, 57.23% and 91.10%, respectively. Overall, HIV prevalence was 2.10% in FSW, 8.17% in MSM and 4.12% in HRH. Prevalence trends in HIV and syphilis decreased in FSW. Prevalence trends in gonorrhoea did not decrease over time neither in FSW nor in HRH. Chlamydia and trichomonas infections in HRH showed an increase prevalence trend. In FSW, trends in condom use in last sexual intercourse with regular and occasional clients were above 93%.\n\nConclusions\nFSW show a decreasing trend in HIV, syphilis and chlamydia prevalence. Gonorrhoea prevalence in FSW and HRH did not decrease over time. HRH is a hard to engage population with low follow-up rates and high potential to act as a bridge population.","container-title":"BMJ Open","DOI":"10.1136/bmjopen-2018-022632","ISSN":"2044-6055","issue":"9","journalAbbreviation":"BMJ Open","note":"PMID: 30232112\nPMCID: PMC6150151","page":"e022632","source":"PubMed Central","title":"The UALE project: a cross-sectional approach for trends in HIV/STI prevalence among key populations attending STI clinics in Guatemala","title-short":"The UALE project","volume":"8","author":[{"family":"García","given":"Juan Ignacio"},{"family":"Sabidó","given":"Meritxell"},{"family":"Nikiforov","given":"Mikhail"},{"family":"Smith","given":"Adriana"},{"family":"Hernández","given":"Gabriela"},{"family":"Ortiz","given":"Rudy"},{"family":"Ardani","given":"Luis"},{"family":"Cajas","given":"Alba"},{"family":"Camey","given":"Elsy"},{"family":"Torrelles","given":"Jordi B"},{"family":"Wang","given":"Shu-Hua"},{"family":"Campbell","given":"Colin N J"},{"family":"Folch","given":"Cinta"},{"family":"Casabona","given":"Jordi"}],"issued":{"date-parts":[["2018",9,19]]}}}],"schema":"https://github.com/citation-style-language/schema/raw/master/csl-citation.json"} </w:instrText>
            </w:r>
            <w:r w:rsidRPr="00AD2B60">
              <w:rPr>
                <w:rFonts w:ascii="Arial" w:hAnsi="Arial" w:cs="Arial"/>
                <w:sz w:val="16"/>
                <w:szCs w:val="16"/>
              </w:rPr>
              <w:fldChar w:fldCharType="separate"/>
            </w:r>
            <w:r w:rsidRPr="00AD2B60">
              <w:rPr>
                <w:rFonts w:ascii="Arial" w:hAnsi="Arial" w:cs="Arial"/>
                <w:sz w:val="16"/>
                <w:vertAlign w:val="superscript"/>
              </w:rPr>
              <w:t>60</w:t>
            </w:r>
            <w:r w:rsidRPr="00AD2B60">
              <w:rPr>
                <w:rFonts w:ascii="Arial" w:hAnsi="Arial" w:cs="Arial"/>
                <w:sz w:val="16"/>
                <w:szCs w:val="16"/>
              </w:rPr>
              <w:fldChar w:fldCharType="end"/>
            </w:r>
          </w:p>
        </w:tc>
        <w:tc>
          <w:tcPr>
            <w:tcW w:w="471" w:type="pct"/>
            <w:vAlign w:val="center"/>
          </w:tcPr>
          <w:p w14:paraId="064BFCD6" w14:textId="77777777" w:rsidR="00C72191" w:rsidRPr="00AD2B60" w:rsidRDefault="00C72191" w:rsidP="00192B09">
            <w:pPr>
              <w:rPr>
                <w:rFonts w:ascii="Arial" w:hAnsi="Arial" w:cs="Arial"/>
                <w:sz w:val="16"/>
                <w:szCs w:val="16"/>
              </w:rPr>
            </w:pPr>
            <w:r w:rsidRPr="00AD2B60">
              <w:rPr>
                <w:rFonts w:ascii="Arial" w:hAnsi="Arial" w:cs="Arial"/>
                <w:sz w:val="16"/>
                <w:szCs w:val="16"/>
              </w:rPr>
              <w:t>Guatemala</w:t>
            </w:r>
          </w:p>
          <w:p w14:paraId="2C2F6467" w14:textId="77777777" w:rsidR="00C72191" w:rsidRPr="00AD2B60" w:rsidRDefault="00C72191" w:rsidP="00192B09">
            <w:pPr>
              <w:rPr>
                <w:rFonts w:ascii="Arial" w:hAnsi="Arial" w:cs="Arial"/>
                <w:sz w:val="16"/>
                <w:szCs w:val="16"/>
              </w:rPr>
            </w:pPr>
          </w:p>
          <w:p w14:paraId="312B81E9" w14:textId="77777777" w:rsidR="00C72191" w:rsidRPr="00AD2B60" w:rsidRDefault="00C72191" w:rsidP="00192B09">
            <w:pPr>
              <w:rPr>
                <w:rFonts w:ascii="Arial" w:hAnsi="Arial" w:cs="Arial"/>
                <w:sz w:val="16"/>
                <w:szCs w:val="16"/>
              </w:rPr>
            </w:pPr>
            <w:r w:rsidRPr="00AD2B60">
              <w:rPr>
                <w:rFonts w:ascii="Arial" w:hAnsi="Arial" w:cs="Arial"/>
                <w:sz w:val="16"/>
                <w:szCs w:val="16"/>
              </w:rPr>
              <w:t>1554</w:t>
            </w:r>
          </w:p>
        </w:tc>
        <w:tc>
          <w:tcPr>
            <w:tcW w:w="567" w:type="pct"/>
            <w:vAlign w:val="center"/>
          </w:tcPr>
          <w:p w14:paraId="6D238DDA" w14:textId="77777777" w:rsidR="00C72191" w:rsidRPr="00AD2B60" w:rsidRDefault="00C72191" w:rsidP="00192B09">
            <w:pPr>
              <w:rPr>
                <w:rFonts w:ascii="Arial" w:hAnsi="Arial" w:cs="Arial"/>
                <w:sz w:val="16"/>
                <w:szCs w:val="16"/>
              </w:rPr>
            </w:pPr>
            <w:r w:rsidRPr="00AD2B60">
              <w:rPr>
                <w:rFonts w:ascii="Arial" w:hAnsi="Arial" w:cs="Arial"/>
                <w:sz w:val="16"/>
                <w:szCs w:val="16"/>
              </w:rPr>
              <w:t>FSW</w:t>
            </w:r>
          </w:p>
        </w:tc>
        <w:tc>
          <w:tcPr>
            <w:tcW w:w="370" w:type="pct"/>
            <w:vAlign w:val="center"/>
          </w:tcPr>
          <w:p w14:paraId="0805C59B" w14:textId="77777777" w:rsidR="00C72191" w:rsidRPr="00AD2B60" w:rsidRDefault="00C72191" w:rsidP="00192B09">
            <w:pPr>
              <w:rPr>
                <w:rFonts w:ascii="Arial" w:hAnsi="Arial" w:cs="Arial"/>
                <w:sz w:val="16"/>
                <w:szCs w:val="16"/>
              </w:rPr>
            </w:pPr>
            <w:r w:rsidRPr="00AD2B60">
              <w:rPr>
                <w:rFonts w:ascii="Arial" w:hAnsi="Arial" w:cs="Arial"/>
                <w:sz w:val="16"/>
                <w:szCs w:val="16"/>
              </w:rPr>
              <w:t>STI clinics integrated in primary health care centers</w:t>
            </w:r>
          </w:p>
        </w:tc>
        <w:tc>
          <w:tcPr>
            <w:tcW w:w="1290" w:type="pct"/>
            <w:vAlign w:val="center"/>
          </w:tcPr>
          <w:p w14:paraId="607A83E1" w14:textId="77777777" w:rsidR="00C72191" w:rsidRPr="00AD2B60" w:rsidRDefault="00C72191" w:rsidP="00192B09">
            <w:pPr>
              <w:rPr>
                <w:rFonts w:ascii="Arial" w:hAnsi="Arial" w:cs="Arial"/>
                <w:sz w:val="16"/>
                <w:szCs w:val="16"/>
              </w:rPr>
            </w:pPr>
            <w:r w:rsidRPr="00AD2B60">
              <w:rPr>
                <w:rFonts w:ascii="Arial" w:hAnsi="Arial" w:cs="Arial"/>
                <w:sz w:val="16"/>
                <w:szCs w:val="16"/>
              </w:rPr>
              <w:t>The multilevel community-based intervention combined biomedical, behavioral, and structural components. Biomedical efforts included establishing three STI clinics within community health centers and strengthening laboratory services. The behavioral component offered individual counseling, group discussions, and health education workshops focused on condom negotiation skills for sex workers. The structural component worked to reduce criminalization and improve service access by sensitizing police, advocating with policymakers, and engaging civil society organizations.</w:t>
            </w:r>
          </w:p>
        </w:tc>
        <w:tc>
          <w:tcPr>
            <w:tcW w:w="426" w:type="pct"/>
            <w:vAlign w:val="center"/>
          </w:tcPr>
          <w:p w14:paraId="57222DE5"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55479E41" w14:textId="77777777" w:rsidR="00C72191" w:rsidRPr="00AD2B60" w:rsidRDefault="00C72191" w:rsidP="00192B09">
            <w:pPr>
              <w:rPr>
                <w:rFonts w:ascii="Arial" w:hAnsi="Arial" w:cs="Arial"/>
                <w:sz w:val="16"/>
                <w:szCs w:val="16"/>
              </w:rPr>
            </w:pPr>
            <w:r w:rsidRPr="00AD2B60">
              <w:rPr>
                <w:rFonts w:ascii="Arial" w:hAnsi="Arial" w:cs="Arial"/>
                <w:sz w:val="16"/>
                <w:szCs w:val="16"/>
              </w:rPr>
              <w:t>Consistent condom use increased from 94.3% to 99.1% with new clients and from 90.4% to 97.2% with regular clients. Knowledge of condom use for HIV prevention rose from 87.0% to 97.2%. STI incidence significantly declined for gonorrhea (11.3 to 6.4/100 person-years), chlamydia (10.7 to 6.2/100 person-years), trichomoniasis (6.9 to 4.8/100 person-years), and candidiasis (8.2 to 6.2/100 person-years). HIV incidence decreased from 1.9 to 0.4 per 100 person-years (p=0.046).</w:t>
            </w:r>
          </w:p>
        </w:tc>
      </w:tr>
      <w:tr w:rsidR="00C72191" w:rsidRPr="00AD2B60" w14:paraId="42E3D4F6" w14:textId="77777777" w:rsidTr="00192B09">
        <w:trPr>
          <w:cantSplit/>
          <w:jc w:val="center"/>
        </w:trPr>
        <w:tc>
          <w:tcPr>
            <w:tcW w:w="386" w:type="pct"/>
            <w:vAlign w:val="center"/>
          </w:tcPr>
          <w:p w14:paraId="05B1E4E4"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Reza-Paulet al. (2008)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{"citationID":"zaNiZjcX","properties":{"formattedCitation":"\\super 61\\nosupersub{}","plainCitation":"61","noteIndex":0},"citationItems":[{"id":1072,"uris":["http://zotero.org/users/1379219/items/D3X65LBS"],"itemData":{"id":1072,"type":"article-journal","abstract":"OBJECTIVE: To investigate the impact on sexual behaviour and sexually transmitted infections (STI) of a comprehensive community-led intervention programme for reducing sexual risk among female sex workers (FSW) in Mysore, India. The key programme components were: community mobilization and peer-mediated outreach; increasing access to and utilization of sexual health services; and enhancing the enabling environment to support programme activities.\nMETHODS: Two cross-sectional surveys among random samples of FSW were conducted 30 months apart, in 2004 and 2006.\nRESULTS: Of over 1000 women who sell sex in Mysore city, 429 participated in the survey at baseline and 425 at follow-up. The median age was 30 years, median duration in sex work 4 years, and the majority were street based (88%). Striking increases in condom use were seen between baseline and follow-up surveys: condom use at last sex with occasional clients was 65% versus 90%, P &lt; 0001; with repeat clients 53% versus 66%, P &lt; 0.001; and with regular partners 7% versus 30%, P &lt; 0.001. STI prevalence declined from baseline to follow-up: syphilis 25% versus 12%, P &lt; 0.001; trichomonas infection 33% versus 14%, P &lt; 0.001; chlamydial infection 11% versus 5%, P = 0.001; gonorrhoea 5% versus 2%, P = 0.03. HIV prevalence remained stable (26% versus 24%), and detuned assay testing suggested a decline in recent HIV infections.\nCONCLUSION: This comprehensive HIV preventive intervention empowering FSW has resulted in striking increases in reported condom use and a concomitant reduction in the prevalence of curable STI. This model should be replicated in similar urban settings across India.","container-title":"AIDS (London, England)","DOI":"10.1097/01.aids.0000343767.08197.18","ISSN":"1473-5571","journalAbbreviation":"AIDS","language":"eng","note":"PMID: 19098483","page":"S91-100","source":"PubMed","title":"Declines in risk behaviour and sexually transmitted infection prevalence following a community-led HIV preventive intervention among female sex workers in Mysore, India","volume":"22 Suppl 5","author":[{"family":"Reza-Paul","given":"Sushena"},{"family":"Beattie","given":"Tara"},{"family":"Syed","given":"Hafeez Ur Rahman"},{"family":"Venukumar","given":"Koppal T."},{"family":"Venugopal","given":"Mysore S."},{"family":"Fathima","given":"Mary P."},{"family":"Raghavendra","given":"H. R."},{"family":"Akram","given":"Pasha"},{"family":"Manjula","given":"Ramaiah"},{"family":"Lakshmi","given":"M."},{"family":"Isac","given":"Shajy"},{"family":"Ramesh","given":"Banadakoppa M."},{"family":"Washington","given":"Reynold"},{"family":"Mahagaonkar","given":"Sangameshwar B."},{"family":"Glynn","given":"Judith R."},{"family":"Blanchard","given":"James F."},{"family":"Moses","given":"Stephen"}],"issued":{"date-parts":[["2008",12]]}}}],"schema":"https://github.com/citation-style-language/schema/raw/master/csl-citation.json"}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61</w:t>
            </w:r>
            <w:r w:rsidRPr="00AD2B60">
              <w:rPr>
                <w:rFonts w:asciiTheme="minorHAnsi" w:hAnsiTheme="minorHAnsi" w:cstheme="minorHAnsi"/>
                <w:sz w:val="16"/>
                <w:szCs w:val="16"/>
              </w:rPr>
              <w:fldChar w:fldCharType="end"/>
            </w:r>
          </w:p>
        </w:tc>
        <w:tc>
          <w:tcPr>
            <w:tcW w:w="471" w:type="pct"/>
            <w:vAlign w:val="center"/>
          </w:tcPr>
          <w:p w14:paraId="14A6B6BA" w14:textId="77777777" w:rsidR="00C72191" w:rsidRPr="00AD2B60" w:rsidRDefault="00C72191" w:rsidP="00192B09">
            <w:pPr>
              <w:rPr>
                <w:rFonts w:ascii="Arial" w:hAnsi="Arial" w:cs="Arial"/>
                <w:sz w:val="16"/>
                <w:szCs w:val="16"/>
              </w:rPr>
            </w:pPr>
            <w:r w:rsidRPr="00AD2B60">
              <w:rPr>
                <w:rFonts w:ascii="Arial" w:hAnsi="Arial" w:cs="Arial"/>
                <w:sz w:val="16"/>
                <w:szCs w:val="16"/>
              </w:rPr>
              <w:t>India</w:t>
            </w:r>
          </w:p>
          <w:p w14:paraId="5ABCC460" w14:textId="77777777" w:rsidR="00C72191" w:rsidRPr="00AD2B60" w:rsidRDefault="00C72191" w:rsidP="00192B09">
            <w:pPr>
              <w:rPr>
                <w:rFonts w:ascii="Arial" w:hAnsi="Arial" w:cs="Arial"/>
                <w:sz w:val="16"/>
                <w:szCs w:val="16"/>
              </w:rPr>
            </w:pPr>
          </w:p>
          <w:p w14:paraId="16C689AB"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Baseline: 429 </w:t>
            </w:r>
          </w:p>
          <w:p w14:paraId="599C2316" w14:textId="77777777" w:rsidR="00C72191" w:rsidRPr="00AD2B60" w:rsidRDefault="00C72191" w:rsidP="00192B09">
            <w:pPr>
              <w:rPr>
                <w:rFonts w:ascii="Arial" w:hAnsi="Arial" w:cs="Arial"/>
                <w:sz w:val="16"/>
                <w:szCs w:val="16"/>
              </w:rPr>
            </w:pPr>
            <w:r w:rsidRPr="00AD2B60">
              <w:rPr>
                <w:rFonts w:ascii="Arial" w:hAnsi="Arial" w:cs="Arial"/>
                <w:sz w:val="16"/>
                <w:szCs w:val="16"/>
              </w:rPr>
              <w:t>Follow-up: 425</w:t>
            </w:r>
          </w:p>
        </w:tc>
        <w:tc>
          <w:tcPr>
            <w:tcW w:w="567" w:type="pct"/>
            <w:vAlign w:val="center"/>
          </w:tcPr>
          <w:p w14:paraId="55FAE526"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FSWs </w:t>
            </w:r>
          </w:p>
        </w:tc>
        <w:tc>
          <w:tcPr>
            <w:tcW w:w="370" w:type="pct"/>
            <w:vAlign w:val="center"/>
          </w:tcPr>
          <w:p w14:paraId="1535BAB3" w14:textId="77777777" w:rsidR="00C72191" w:rsidRPr="00AD2B60" w:rsidRDefault="00C72191" w:rsidP="00192B09">
            <w:pPr>
              <w:rPr>
                <w:rFonts w:ascii="Arial" w:hAnsi="Arial" w:cs="Arial"/>
                <w:sz w:val="16"/>
                <w:szCs w:val="16"/>
              </w:rPr>
            </w:pPr>
            <w:r w:rsidRPr="00AD2B60">
              <w:rPr>
                <w:rFonts w:ascii="Arial" w:hAnsi="Arial" w:cs="Arial"/>
                <w:sz w:val="16"/>
                <w:szCs w:val="16"/>
              </w:rPr>
              <w:t>Community-based drop-in center and outreach services</w:t>
            </w:r>
          </w:p>
        </w:tc>
        <w:tc>
          <w:tcPr>
            <w:tcW w:w="1290" w:type="pct"/>
            <w:vAlign w:val="center"/>
          </w:tcPr>
          <w:p w14:paraId="49481AFA" w14:textId="77777777" w:rsidR="00C72191" w:rsidRPr="00AD2B60" w:rsidRDefault="00C72191" w:rsidP="00192B09">
            <w:pPr>
              <w:rPr>
                <w:rFonts w:ascii="Arial" w:hAnsi="Arial" w:cs="Arial"/>
                <w:sz w:val="16"/>
                <w:szCs w:val="16"/>
              </w:rPr>
            </w:pPr>
            <w:r w:rsidRPr="00AD2B60">
              <w:rPr>
                <w:rFonts w:ascii="Arial" w:hAnsi="Arial" w:cs="Arial"/>
                <w:sz w:val="16"/>
                <w:szCs w:val="16"/>
              </w:rPr>
              <w:t>The community-led HIV prevention intervention used a rights-based approach with three key components: community mobilization and peer-mediated outreach including condom promotion and distribution; increased access to and use of sexual health services alongside expanded condom availability through social marketing and nontraditional outlets; and structural interventions aimed at creating an enabling environment for FSWs through community advocacy and rights promotion.</w:t>
            </w:r>
          </w:p>
        </w:tc>
        <w:tc>
          <w:tcPr>
            <w:tcW w:w="426" w:type="pct"/>
            <w:vAlign w:val="center"/>
          </w:tcPr>
          <w:p w14:paraId="6E3FBA44"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1DD9AD8E" w14:textId="77777777" w:rsidR="00C72191" w:rsidRPr="00AD2B60" w:rsidRDefault="00C72191" w:rsidP="00192B09">
            <w:pPr>
              <w:rPr>
                <w:rFonts w:ascii="Arial" w:hAnsi="Arial" w:cs="Arial"/>
                <w:sz w:val="16"/>
                <w:szCs w:val="16"/>
              </w:rPr>
            </w:pPr>
            <w:r w:rsidRPr="00AD2B60">
              <w:rPr>
                <w:rFonts w:ascii="Arial" w:hAnsi="Arial" w:cs="Arial"/>
                <w:sz w:val="16"/>
                <w:szCs w:val="16"/>
              </w:rPr>
              <w:t>Condom use at last sex increased significantly: from 65% to 90% with occasional clients, 53% to 66% with repeat clients, and 7% to 30% with regular partners (p&lt;0.001). Syphilis prevalence declined from 25% to 12% (p&lt;0.001), trichomoniasis from 33% to 14% (p&lt;0.001), chlamydia from 11% to 5% (p=0.001), and gonorrhea from 5% to 2% (p=0.03). HIV prevalence remained stable (26% vs. 24%), but detuned assay results indicated a reduction in recent HIV infections.</w:t>
            </w:r>
          </w:p>
        </w:tc>
      </w:tr>
      <w:tr w:rsidR="00C72191" w:rsidRPr="00AD2B60" w14:paraId="6B7CC2BD" w14:textId="77777777" w:rsidTr="00192B09">
        <w:trPr>
          <w:cantSplit/>
          <w:jc w:val="center"/>
        </w:trPr>
        <w:tc>
          <w:tcPr>
            <w:tcW w:w="386" w:type="pct"/>
            <w:vAlign w:val="center"/>
          </w:tcPr>
          <w:p w14:paraId="396DB9EF"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 xml:space="preserve">Torri (2014) </w:t>
            </w:r>
            <w:r w:rsidRPr="00AD2B60">
              <w:rPr>
                <w:rFonts w:ascii="Arial" w:hAnsi="Arial" w:cs="Arial"/>
                <w:sz w:val="16"/>
                <w:szCs w:val="16"/>
              </w:rPr>
              <w:fldChar w:fldCharType="begin"/>
            </w:r>
            <w:r w:rsidRPr="00AD2B60">
              <w:rPr>
                <w:rFonts w:ascii="Arial" w:hAnsi="Arial" w:cs="Arial"/>
                <w:sz w:val="16"/>
                <w:szCs w:val="16"/>
              </w:rPr>
              <w:instrText xml:space="preserve"> ADDIN ZOTERO_ITEM CSL_CITATION {"citationID":"WT7SEgRG","properties":{"formattedCitation":"\\super 62\\nosupersub{}","plainCitation":"62","noteIndex":0},"citationItems":[{"id":1076,"uris":["http://zotero.org/users/1379219/items/LGGBBA6H"],"itemData":{"id":1076,"type":"article-journal","abstract":"Improving livelihoods through entrepreneurship activities and program implementation are increasingly considered as key drivers for enhancing health of the participants and reducing their proneness to diseases. Combined programs of entrepreneurship and health education have yet to be widely applied to the practice of promoting sexual health. However, there has been the emergence of small projects focused on both financial and educational aspects of sex workers. The objective of these programs is to favor the empowerment of vulnerable groups through skills training in order to decrease sexual risk among them. Considering the well-known structural links between poverty and HIV/AIDS, combined micro-enterprise development and health educational programs have been implemented among sex workers in order to reduce the risk of HIV/AIDS among these categories of women. This article aims to explore the potential of these combined programs of entrepreneurship and health education to create new models and strategies to improve sexual health among groups at greatest risk of infection such as the sex workers in Phnom Penh, Cambodia.","container-title":"International Journal of Health Promotion and Education","DOI":"10.1080/14635240.2014.890346","ISSN":"1463-5240","issue":"3","note":"publisher: Taylor &amp; Francis\n_eprint: https://doi.org/10.1080/14635240.2014.890346","page":"153-162","source":"Taylor and Francis+NEJM","title":"Micro-entrepreneurship programs and sexual health prevention among sex workers in Cambodia: is an integrative approach the way forward?","title-short":"Micro-entrepreneurship programs and sexual health prevention among sex workers in Cambodia","volume":"52","author":[{"family":"Torri","given":"Maria Costanza"}],"issued":{"date-parts":[["2014",5,4]]}}}],"schema":"https://github.com/citation-style-language/schema/raw/master/csl-citation.json"} </w:instrText>
            </w:r>
            <w:r w:rsidRPr="00AD2B60">
              <w:rPr>
                <w:rFonts w:ascii="Arial" w:hAnsi="Arial" w:cs="Arial"/>
                <w:sz w:val="16"/>
                <w:szCs w:val="16"/>
              </w:rPr>
              <w:fldChar w:fldCharType="separate"/>
            </w:r>
            <w:r w:rsidRPr="00AD2B60">
              <w:rPr>
                <w:rFonts w:ascii="Arial" w:hAnsi="Arial" w:cs="Arial"/>
                <w:sz w:val="16"/>
                <w:vertAlign w:val="superscript"/>
              </w:rPr>
              <w:t>62</w:t>
            </w:r>
            <w:r w:rsidRPr="00AD2B60">
              <w:rPr>
                <w:rFonts w:ascii="Arial" w:hAnsi="Arial" w:cs="Arial"/>
                <w:sz w:val="16"/>
                <w:szCs w:val="16"/>
              </w:rPr>
              <w:fldChar w:fldCharType="end"/>
            </w:r>
          </w:p>
        </w:tc>
        <w:tc>
          <w:tcPr>
            <w:tcW w:w="471" w:type="pct"/>
            <w:vAlign w:val="center"/>
          </w:tcPr>
          <w:p w14:paraId="4182D420" w14:textId="77777777" w:rsidR="00C72191" w:rsidRPr="00AD2B60" w:rsidRDefault="00C72191" w:rsidP="00192B09">
            <w:pPr>
              <w:rPr>
                <w:rFonts w:ascii="Arial" w:hAnsi="Arial" w:cs="Arial"/>
                <w:sz w:val="16"/>
                <w:szCs w:val="16"/>
              </w:rPr>
            </w:pPr>
            <w:r w:rsidRPr="00AD2B60">
              <w:rPr>
                <w:rFonts w:ascii="Arial" w:hAnsi="Arial" w:cs="Arial"/>
                <w:sz w:val="16"/>
                <w:szCs w:val="16"/>
              </w:rPr>
              <w:t>Cambodia</w:t>
            </w:r>
          </w:p>
          <w:p w14:paraId="5310A258" w14:textId="77777777" w:rsidR="00C72191" w:rsidRPr="00AD2B60" w:rsidRDefault="00C72191" w:rsidP="00192B09">
            <w:pPr>
              <w:rPr>
                <w:rFonts w:ascii="Arial" w:hAnsi="Arial" w:cs="Arial"/>
                <w:sz w:val="16"/>
                <w:szCs w:val="16"/>
              </w:rPr>
            </w:pPr>
          </w:p>
          <w:p w14:paraId="4030F830" w14:textId="77777777" w:rsidR="00C72191" w:rsidRPr="00AD2B60" w:rsidRDefault="00C72191" w:rsidP="00192B09">
            <w:pPr>
              <w:rPr>
                <w:rFonts w:ascii="Arial" w:hAnsi="Arial" w:cs="Arial"/>
                <w:sz w:val="16"/>
                <w:szCs w:val="16"/>
              </w:rPr>
            </w:pPr>
            <w:r w:rsidRPr="00AD2B60">
              <w:rPr>
                <w:rFonts w:ascii="Arial" w:hAnsi="Arial" w:cs="Arial"/>
                <w:sz w:val="16"/>
                <w:szCs w:val="16"/>
              </w:rPr>
              <w:t>35</w:t>
            </w:r>
          </w:p>
        </w:tc>
        <w:tc>
          <w:tcPr>
            <w:tcW w:w="567" w:type="pct"/>
            <w:vAlign w:val="center"/>
          </w:tcPr>
          <w:p w14:paraId="31AE2AB2" w14:textId="77777777" w:rsidR="00C72191" w:rsidRPr="00AD2B60" w:rsidRDefault="00C72191" w:rsidP="00192B09">
            <w:pPr>
              <w:rPr>
                <w:rFonts w:ascii="Arial" w:hAnsi="Arial" w:cs="Arial"/>
                <w:sz w:val="16"/>
                <w:szCs w:val="16"/>
              </w:rPr>
            </w:pPr>
            <w:r w:rsidRPr="00AD2B60">
              <w:rPr>
                <w:rFonts w:ascii="Arial" w:hAnsi="Arial" w:cs="Arial"/>
                <w:sz w:val="16"/>
                <w:szCs w:val="16"/>
              </w:rPr>
              <w:t>Current or former FSW enrolled in or having completed vocational courses organized by local NGOs.</w:t>
            </w:r>
          </w:p>
        </w:tc>
        <w:tc>
          <w:tcPr>
            <w:tcW w:w="370" w:type="pct"/>
            <w:vAlign w:val="center"/>
          </w:tcPr>
          <w:p w14:paraId="01A8BFAA"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w:t>
            </w:r>
          </w:p>
        </w:tc>
        <w:tc>
          <w:tcPr>
            <w:tcW w:w="1290" w:type="pct"/>
            <w:vAlign w:val="center"/>
          </w:tcPr>
          <w:p w14:paraId="41CD9DCC" w14:textId="77777777" w:rsidR="00C72191" w:rsidRPr="00AD2B60" w:rsidRDefault="00C72191" w:rsidP="00192B09">
            <w:pPr>
              <w:rPr>
                <w:rFonts w:ascii="Arial" w:hAnsi="Arial" w:cs="Arial"/>
                <w:sz w:val="16"/>
                <w:szCs w:val="16"/>
              </w:rPr>
            </w:pPr>
            <w:r w:rsidRPr="00AD2B60">
              <w:rPr>
                <w:rFonts w:ascii="Arial" w:hAnsi="Arial" w:cs="Arial"/>
                <w:sz w:val="16"/>
                <w:szCs w:val="16"/>
              </w:rPr>
              <w:t>The integrative intervention combined vocational skills training with sexual health education for female sex workers. Programs included practical skills like candle making, sewing, handicrafts, and cosmetics, along with HIV/STI prevention education by trained former sex workers. It also covered business management and entrepreneurship to provide alternatives to sex work. Activities were held in a safe community center, empowering women to diversify their livelihoods and improve sexual health knowledge and behaviors.</w:t>
            </w:r>
          </w:p>
        </w:tc>
        <w:tc>
          <w:tcPr>
            <w:tcW w:w="426" w:type="pct"/>
            <w:vAlign w:val="center"/>
          </w:tcPr>
          <w:p w14:paraId="082B6811" w14:textId="77777777" w:rsidR="00C72191" w:rsidRPr="00AD2B60" w:rsidRDefault="00C72191" w:rsidP="00192B09">
            <w:pPr>
              <w:rPr>
                <w:rFonts w:ascii="Arial" w:hAnsi="Arial" w:cs="Arial"/>
                <w:sz w:val="16"/>
                <w:szCs w:val="16"/>
              </w:rPr>
            </w:pPr>
            <w:r w:rsidRPr="00AD2B60">
              <w:rPr>
                <w:rFonts w:ascii="Arial" w:hAnsi="Arial" w:cs="Arial"/>
                <w:sz w:val="16"/>
                <w:szCs w:val="16"/>
              </w:rPr>
              <w:t>N/A</w:t>
            </w:r>
          </w:p>
        </w:tc>
        <w:tc>
          <w:tcPr>
            <w:tcW w:w="1490" w:type="pct"/>
            <w:vAlign w:val="center"/>
          </w:tcPr>
          <w:p w14:paraId="044401A9" w14:textId="77777777" w:rsidR="00C72191" w:rsidRPr="00AD2B60" w:rsidRDefault="00C72191" w:rsidP="00192B09">
            <w:pPr>
              <w:rPr>
                <w:rFonts w:ascii="Arial" w:hAnsi="Arial" w:cs="Arial"/>
                <w:sz w:val="16"/>
                <w:szCs w:val="16"/>
              </w:rPr>
            </w:pPr>
            <w:r w:rsidRPr="00AD2B60">
              <w:rPr>
                <w:rFonts w:ascii="Arial" w:hAnsi="Arial" w:cs="Arial"/>
                <w:sz w:val="16"/>
                <w:szCs w:val="16"/>
              </w:rPr>
              <w:t>One-third of participants reported increased self-esteem after completing vocational and sexual health training, especially those with over five years of sex work experience. The training improved knowledge about HIV/STI transmission, filling prior gaps for many. However, negotiating condom use with clients remained challenging for some. Only three women established sustainable businesses, while five returned to sex work due to financial pressures, highlighting both positive impacts and ongoing socioeconomic challenges.</w:t>
            </w:r>
          </w:p>
          <w:p w14:paraId="40006DB0" w14:textId="77777777" w:rsidR="00C72191" w:rsidRPr="00AD2B60" w:rsidRDefault="00C72191" w:rsidP="00192B09">
            <w:pPr>
              <w:rPr>
                <w:rFonts w:ascii="Arial" w:hAnsi="Arial" w:cs="Arial"/>
                <w:sz w:val="16"/>
                <w:szCs w:val="16"/>
              </w:rPr>
            </w:pPr>
          </w:p>
        </w:tc>
      </w:tr>
      <w:tr w:rsidR="00C72191" w:rsidRPr="00AD2B60" w14:paraId="36242538" w14:textId="77777777" w:rsidTr="00192B09">
        <w:trPr>
          <w:cantSplit/>
          <w:jc w:val="center"/>
        </w:trPr>
        <w:tc>
          <w:tcPr>
            <w:tcW w:w="386" w:type="pct"/>
            <w:vAlign w:val="center"/>
          </w:tcPr>
          <w:p w14:paraId="2C47C9A4"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Traore et al. (2015)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{"citationID":"BpCm7FEO","properties":{"formattedCitation":"\\super 63\\nosupersub{}","plainCitation":"63","noteIndex":0},"citationItems":[{"id":1010,"uris":["http://zotero.org/users/1379219/items/MZVPFJFD"],"itemData":{"id":1010,"type":"article-journal","abstract":"INTRODUCTION: Although interventions to control HIV among high-risk groups such as female sex workers (FSW) are highly recommended in Africa, the contents and efficacy of these interventions are unclear. We therefore designed a comprehensive dedicated intervention targeting young FSW and assessed its impact on HIV incidence in Burkina Faso.\nMETHODS: Between September 2009 and September 2011 we conducted a prospective, interventional cohort study of FSW aged 18 to 25 years in Ouagadougou, with quarterly follow-up for a maximum of 21 months. The intervention combined prevention and care within the same setting, consisting of peer-led education sessions, psychological support, sexually transmitted infections and HIV care, general routine health care and reproductive health services. At each visit, behavioural characteristics were collected and HIV, HSV-2 and pregnancy were tested. We compared the cohort HIV incidence with a modelled expected incidence in the study population in the absence of intervention, using data collected at the same time from FSW clients.\nRESULTS: The 321 HIV-uninfected FSW enrolled in the cohort completed 409 person-years of follow-up. No participant seroconverted for HIV during the study (0/409 person-years), whereas the expected modelled number of HIV infections were 5.05/409 person-years (95% CI, 5.01-5.08) or 1.23 infections per 100 person-years (p=0.005). This null incidence was related to a reduction in the number of regular partners and regular clients, and by an increase in consistent condom use with casual clients (adjusted odds ratio (aOR)=2.19; 95% CI, 1.16-4.14, p=0.01) and with regular clients (aOR=2.18; 95% CI, 1.26-3.76, p=0.005).\nCONCLUSIONS: Combining peer-based prevention and care within the same setting markedly reduced the HIV incidence among young FSW in Burkina Faso, through reduced risky behaviours.","container-title":"Journal of the International AIDS Society","DOI":"10.7448/IAS.18.1.20088","ISSN":"1758-2652","issue":"1","journalAbbreviation":"J Int AIDS Soc","language":"eng","note":"PMID: 26374604\nPMCID: PMC4571618","page":"20088","source":"PubMed","title":"HIV prevention and care services for female sex workers: efficacy of a targeted community-based intervention in Burkina Faso","title-short":"HIV prevention and care services for female sex workers","volume":"18","author":[{"family":"Traore","given":"Isidore T."},{"family":"Meda","given":"Nicolas"},{"family":"Hema","given":"Noelie M."},{"family":"Ouedraogo","given":"Djeneba"},{"family":"Some","given":"Felicien"},{"family":"Some","given":"Roselyne"},{"family":"Niessougou","given":"Josiane"},{"family":"Sanon","given":"Anselme"},{"family":"Konate","given":"Issouf"},{"family":"Van De Perre","given":"Philippe"},{"family":"Mayaud","given":"Philippe"},{"family":"Nagot","given":"Nicolas"}],"issued":{"date-parts":[["2015"]]}}}],"schema":"https://github.com/citation-style-language/schema/raw/master/csl-citation.json"}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63</w:t>
            </w:r>
            <w:r w:rsidRPr="00AD2B60">
              <w:rPr>
                <w:rFonts w:asciiTheme="minorHAnsi" w:hAnsiTheme="minorHAnsi" w:cstheme="minorHAnsi"/>
                <w:sz w:val="16"/>
                <w:szCs w:val="16"/>
              </w:rPr>
              <w:fldChar w:fldCharType="end"/>
            </w:r>
          </w:p>
        </w:tc>
        <w:tc>
          <w:tcPr>
            <w:tcW w:w="471" w:type="pct"/>
            <w:vAlign w:val="center"/>
          </w:tcPr>
          <w:p w14:paraId="590F7184" w14:textId="77777777" w:rsidR="00C72191" w:rsidRPr="00AD2B60" w:rsidRDefault="00C72191" w:rsidP="00192B09">
            <w:pPr>
              <w:rPr>
                <w:rFonts w:ascii="Arial" w:hAnsi="Arial" w:cs="Arial"/>
                <w:sz w:val="16"/>
                <w:szCs w:val="16"/>
              </w:rPr>
            </w:pPr>
            <w:r w:rsidRPr="00AD2B60">
              <w:rPr>
                <w:rFonts w:ascii="Arial" w:hAnsi="Arial" w:cs="Arial"/>
                <w:sz w:val="16"/>
                <w:szCs w:val="16"/>
              </w:rPr>
              <w:t>Burkina Faso</w:t>
            </w:r>
          </w:p>
          <w:p w14:paraId="4082C618" w14:textId="77777777" w:rsidR="00C72191" w:rsidRPr="00AD2B60" w:rsidRDefault="00C72191" w:rsidP="00192B09">
            <w:pPr>
              <w:rPr>
                <w:rFonts w:ascii="Arial" w:hAnsi="Arial" w:cs="Arial"/>
                <w:sz w:val="16"/>
                <w:szCs w:val="16"/>
              </w:rPr>
            </w:pPr>
          </w:p>
          <w:p w14:paraId="73F66B32" w14:textId="77777777" w:rsidR="00C72191" w:rsidRPr="00AD2B60" w:rsidRDefault="00C72191" w:rsidP="00192B09">
            <w:pPr>
              <w:rPr>
                <w:rFonts w:ascii="Arial" w:hAnsi="Arial" w:cs="Arial"/>
                <w:sz w:val="16"/>
                <w:szCs w:val="16"/>
              </w:rPr>
            </w:pPr>
            <w:r w:rsidRPr="00AD2B60">
              <w:rPr>
                <w:rFonts w:ascii="Arial" w:hAnsi="Arial" w:cs="Arial"/>
                <w:sz w:val="16"/>
                <w:szCs w:val="16"/>
              </w:rPr>
              <w:t>321</w:t>
            </w:r>
          </w:p>
        </w:tc>
        <w:tc>
          <w:tcPr>
            <w:tcW w:w="567" w:type="pct"/>
            <w:vAlign w:val="center"/>
          </w:tcPr>
          <w:p w14:paraId="4F7B4D42" w14:textId="77777777" w:rsidR="00C72191" w:rsidRPr="00AD2B60" w:rsidRDefault="00C72191" w:rsidP="00192B09">
            <w:pPr>
              <w:rPr>
                <w:rFonts w:ascii="Arial" w:hAnsi="Arial" w:cs="Arial"/>
                <w:sz w:val="16"/>
                <w:szCs w:val="16"/>
              </w:rPr>
            </w:pPr>
            <w:r w:rsidRPr="00AD2B60">
              <w:rPr>
                <w:rFonts w:ascii="Arial" w:hAnsi="Arial" w:cs="Arial"/>
                <w:sz w:val="16"/>
                <w:szCs w:val="16"/>
              </w:rPr>
              <w:t>FSW born in Burkina Faso, between 18 and 25 years, and had at least three sexual contacts per week and three different sexual partners during the last three months.</w:t>
            </w:r>
          </w:p>
        </w:tc>
        <w:tc>
          <w:tcPr>
            <w:tcW w:w="370" w:type="pct"/>
            <w:vAlign w:val="center"/>
          </w:tcPr>
          <w:p w14:paraId="484FACA0" w14:textId="77777777" w:rsidR="00C72191" w:rsidRPr="00AD2B60" w:rsidRDefault="00C72191" w:rsidP="00192B09">
            <w:pPr>
              <w:rPr>
                <w:rFonts w:ascii="Arial" w:hAnsi="Arial" w:cs="Arial"/>
                <w:sz w:val="16"/>
                <w:szCs w:val="16"/>
              </w:rPr>
            </w:pPr>
            <w:r w:rsidRPr="00AD2B60">
              <w:rPr>
                <w:rFonts w:ascii="Arial" w:hAnsi="Arial" w:cs="Arial"/>
                <w:sz w:val="16"/>
                <w:szCs w:val="16"/>
              </w:rPr>
              <w:t>Sex work venues and community health centers</w:t>
            </w:r>
          </w:p>
        </w:tc>
        <w:tc>
          <w:tcPr>
            <w:tcW w:w="1290" w:type="pct"/>
            <w:vAlign w:val="center"/>
          </w:tcPr>
          <w:p w14:paraId="339E5330"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The comprehensive intervention involved peer-led educational sessions, syndromic STI management, free condoms and hormonal contraceptives, psychological and general medical care, plus HIV testing and treatment. It included daily clinic sessions, weekly outreach, individualized care, and regular behavioral and medical assessments over 21 months. </w:t>
            </w:r>
          </w:p>
          <w:p w14:paraId="5BEA22D7" w14:textId="77777777" w:rsidR="00C72191" w:rsidRPr="00AD2B60" w:rsidRDefault="00C72191" w:rsidP="00192B09">
            <w:pPr>
              <w:rPr>
                <w:rFonts w:ascii="Arial" w:hAnsi="Arial" w:cs="Arial"/>
                <w:sz w:val="16"/>
                <w:szCs w:val="16"/>
              </w:rPr>
            </w:pPr>
          </w:p>
        </w:tc>
        <w:tc>
          <w:tcPr>
            <w:tcW w:w="426" w:type="pct"/>
            <w:vAlign w:val="center"/>
          </w:tcPr>
          <w:p w14:paraId="40477A1B" w14:textId="77777777" w:rsidR="00C72191" w:rsidRPr="00AD2B60" w:rsidRDefault="00C72191" w:rsidP="00192B09">
            <w:pPr>
              <w:rPr>
                <w:rFonts w:ascii="Arial" w:hAnsi="Arial" w:cs="Arial"/>
                <w:sz w:val="16"/>
                <w:szCs w:val="16"/>
              </w:rPr>
            </w:pPr>
            <w:r w:rsidRPr="00AD2B60">
              <w:rPr>
                <w:rFonts w:ascii="Arial" w:hAnsi="Arial" w:cs="Arial"/>
                <w:sz w:val="16"/>
                <w:szCs w:val="16"/>
              </w:rPr>
              <w:t>Modeled expected HIV incidence based on data from FSW clients (no physical control group).</w:t>
            </w:r>
          </w:p>
        </w:tc>
        <w:tc>
          <w:tcPr>
            <w:tcW w:w="1490" w:type="pct"/>
            <w:vAlign w:val="center"/>
          </w:tcPr>
          <w:p w14:paraId="11243C26" w14:textId="77777777" w:rsidR="00C72191" w:rsidRPr="00AD2B60" w:rsidRDefault="00C72191" w:rsidP="00192B09">
            <w:pPr>
              <w:rPr>
                <w:rFonts w:ascii="Arial" w:hAnsi="Arial" w:cs="Arial"/>
                <w:sz w:val="16"/>
                <w:szCs w:val="16"/>
              </w:rPr>
            </w:pPr>
            <w:r w:rsidRPr="00AD2B60">
              <w:rPr>
                <w:rFonts w:ascii="Arial" w:hAnsi="Arial" w:cs="Arial"/>
                <w:sz w:val="16"/>
                <w:szCs w:val="16"/>
              </w:rPr>
              <w:t>No participants seroconverted for HIV during the study (0/409 person-years), while the expected modeled number was 5.05/409 person-years (95% CI, 5.01-5.08) or 1.23 infections per 100 person-years (p=0.005). These zero incidences were linked to a reduction in the number of regular partners and clients, and increased consistent condom use with casual clients (</w:t>
            </w:r>
            <w:proofErr w:type="spellStart"/>
            <w:r w:rsidRPr="00AD2B60">
              <w:rPr>
                <w:rFonts w:ascii="Arial" w:hAnsi="Arial" w:cs="Arial"/>
                <w:sz w:val="16"/>
                <w:szCs w:val="16"/>
              </w:rPr>
              <w:t>aOR</w:t>
            </w:r>
            <w:proofErr w:type="spellEnd"/>
            <w:r w:rsidRPr="00AD2B60">
              <w:rPr>
                <w:rFonts w:ascii="Arial" w:hAnsi="Arial" w:cs="Arial"/>
                <w:sz w:val="16"/>
                <w:szCs w:val="16"/>
              </w:rPr>
              <w:t xml:space="preserve"> 2.19; 95% CI, 1.16-4.14, p=0.01) and regular clients (</w:t>
            </w:r>
            <w:proofErr w:type="spellStart"/>
            <w:r w:rsidRPr="00AD2B60">
              <w:rPr>
                <w:rFonts w:ascii="Arial" w:hAnsi="Arial" w:cs="Arial"/>
                <w:sz w:val="16"/>
                <w:szCs w:val="16"/>
              </w:rPr>
              <w:t>aOR</w:t>
            </w:r>
            <w:proofErr w:type="spellEnd"/>
            <w:r w:rsidRPr="00AD2B60">
              <w:rPr>
                <w:rFonts w:ascii="Arial" w:hAnsi="Arial" w:cs="Arial"/>
                <w:sz w:val="16"/>
                <w:szCs w:val="16"/>
              </w:rPr>
              <w:t xml:space="preserve"> 2.18; 95% CI, 1.26-3.76, p=0.005).</w:t>
            </w:r>
          </w:p>
        </w:tc>
      </w:tr>
      <w:tr w:rsidR="00C72191" w:rsidRPr="00AD2B60" w14:paraId="6E012923" w14:textId="77777777" w:rsidTr="00192B09">
        <w:trPr>
          <w:cantSplit/>
          <w:jc w:val="center"/>
        </w:trPr>
        <w:tc>
          <w:tcPr>
            <w:tcW w:w="386" w:type="pct"/>
            <w:vAlign w:val="center"/>
          </w:tcPr>
          <w:p w14:paraId="23B49DA7"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Vassall</w:t>
            </w:r>
            <w:proofErr w:type="spellEnd"/>
            <w:r w:rsidRPr="00AD2B60">
              <w:rPr>
                <w:rFonts w:ascii="Arial" w:hAnsi="Arial" w:cs="Arial"/>
                <w:sz w:val="16"/>
                <w:szCs w:val="16"/>
              </w:rPr>
              <w:t xml:space="preserve"> et al. (2014)</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{"citationID":"k30XSvFY","properties":{"formattedCitation":"\\super 64\\nosupersub{}","plainCitation":"64","noteIndex":0},"citationItems":[{"id":1026,"uris":["http://zotero.org/users/1379219/items/TZ3L5EX2"],"itemData":{"id":1026,"type":"article-journal","abstract":"Background\nMost HIV prevention for female sex workers (FSWs) focuses on individual behaviour change involving peer educators, condom promotion and the provision of sexual health services. However, there is a growing recognition of the need to address broader societal, contextual and structural factors contributing to FSW risk behaviour. We assess the cost-effectiveness of adding community mobilisation (CM) and empowerment interventions (eg. community mobilisation, community involvement in programme management and services, violence reduction, and addressing legal policies and police practices), to core HIV prevention services delivered as part of Avahan in two districts (Bellary and Belgaum) of Karnataka state, Southern India.\n\nMethods\nAn ingredients approach was used to estimate economic costs in US$ 2011 from an HIV programme perspective of CM and empowerment interventions over a seven year period (2004–2011). Incremental impact, in terms of HIV infections averted, was estimated using a two-stage process. An ‘exposure analysis’ explored whether exposure to CM was associated with FSW’s empowerment, risk behaviours and HIV/STI prevalence. Pathway analyses were then used to estimate the extent to which behaviour change may be attributable to CM and to inform a dynamic HIV transmission model.\n\nFindings\nThe incremental costs of CM and empowerment were US$ 307,711 in Belgaum and US$ 592,903 in Bellary over seven years (2004–2011). Over a 7-year period (2004–2011) the mean (standard deviation, sd.) number of HIV infections averted through CM and empowerment is estimated to be 1257 (308) in Belgaum and 2775 (1260) in Bellary. This translates in a mean (sd.) incremental cost per disability adjusted life year (DALY) averted of US$ 14.12 (3.68) in Belgaum and US$ 13.48 (6.80) for Bellary - well below the World Health Organisation recommended willingness to pay threshold for India. When savings from ART are taken into account, investments in CM and empowerment are cost saving.\n\nConclusions\nOur findings suggest that CM and empowerment is, at worst, highly cost-effective and, at best, a cost-saving investment from an HIV programme perspective. CM and empowerment interventions should therefore be considered as core components of HIV prevention programmes for FSWs.","container-title":"PLoS ONE","DOI":"10.1371/journal.pone.0110562","ISSN":"1932-6203","issue":"10","journalAbbreviation":"PLoS One","note":"PMID: 25333501\nPMCID: PMC4204894","page":"e110562","source":"PubMed Central","title":"Community Mobilisation and Empowerment Interventions as Part of HIV Prevention for Female Sex Workers in Southern India: A Cost-Effectiveness Analysis","title-short":"Community Mobilisation and Empowerment Interventions as Part of HIV Prevention for Female Sex Workers in Southern India","volume":"9","author":[{"family":"Vassall","given":"Anna"},{"family":"Chandrashekar","given":"Sudhashree"},{"family":"Pickles","given":"Michael"},{"family":"Beattie","given":"Tara S."},{"family":"Shetty","given":"Govindraj"},{"family":"Bhattacharjee","given":"Parinita"},{"family":"Boily","given":"Marie-Claude"},{"family":"Vickerman","given":"Peter"},{"family":"Bradley","given":"Janet"},{"family":"Alary","given":"Michel"},{"family":"Moses","given":"Stephen"},{"family":"Watts","given":"Charlotte"}],"issued":{"date-parts":[["2014",10,21]]}}}],"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64</w:t>
            </w:r>
            <w:r w:rsidRPr="00AD2B60">
              <w:rPr>
                <w:rFonts w:asciiTheme="minorHAnsi" w:hAnsiTheme="minorHAnsi" w:cstheme="minorHAnsi"/>
                <w:sz w:val="16"/>
                <w:szCs w:val="16"/>
              </w:rPr>
              <w:fldChar w:fldCharType="end"/>
            </w:r>
          </w:p>
        </w:tc>
        <w:tc>
          <w:tcPr>
            <w:tcW w:w="471" w:type="pct"/>
            <w:vAlign w:val="center"/>
          </w:tcPr>
          <w:p w14:paraId="6310CE02" w14:textId="77777777" w:rsidR="00C72191" w:rsidRPr="00AD2B60" w:rsidRDefault="00C72191" w:rsidP="00192B09">
            <w:pPr>
              <w:rPr>
                <w:rFonts w:ascii="Arial" w:hAnsi="Arial" w:cs="Arial"/>
                <w:sz w:val="16"/>
                <w:szCs w:val="16"/>
              </w:rPr>
            </w:pPr>
            <w:r w:rsidRPr="00AD2B60">
              <w:rPr>
                <w:rFonts w:ascii="Arial" w:hAnsi="Arial" w:cs="Arial"/>
                <w:sz w:val="16"/>
                <w:szCs w:val="16"/>
              </w:rPr>
              <w:t>India</w:t>
            </w:r>
          </w:p>
          <w:p w14:paraId="16BC015D" w14:textId="77777777" w:rsidR="00C72191" w:rsidRPr="00AD2B60" w:rsidRDefault="00C72191" w:rsidP="00192B09">
            <w:pPr>
              <w:rPr>
                <w:rFonts w:ascii="Arial" w:hAnsi="Arial" w:cs="Arial"/>
                <w:sz w:val="16"/>
                <w:szCs w:val="16"/>
              </w:rPr>
            </w:pPr>
          </w:p>
          <w:p w14:paraId="458D1012" w14:textId="77777777" w:rsidR="00C72191" w:rsidRPr="00AD2B60" w:rsidRDefault="00C72191" w:rsidP="00192B09">
            <w:pPr>
              <w:rPr>
                <w:rFonts w:ascii="Arial" w:hAnsi="Arial" w:cs="Arial"/>
                <w:sz w:val="16"/>
                <w:szCs w:val="16"/>
              </w:rPr>
            </w:pPr>
            <w:r w:rsidRPr="00AD2B60">
              <w:rPr>
                <w:rFonts w:ascii="Arial" w:hAnsi="Arial" w:cs="Arial"/>
                <w:sz w:val="16"/>
                <w:szCs w:val="16"/>
              </w:rPr>
              <w:t>For Belgaum this ranges from 806 in 2004 to 3072 in 2011; and in Bellary from 2741 in 2004 to 5743 in 2011.</w:t>
            </w:r>
          </w:p>
        </w:tc>
        <w:tc>
          <w:tcPr>
            <w:tcW w:w="567" w:type="pct"/>
            <w:vAlign w:val="center"/>
          </w:tcPr>
          <w:p w14:paraId="4FAE60B9" w14:textId="77777777" w:rsidR="00C72191" w:rsidRPr="00AD2B60" w:rsidRDefault="00C72191" w:rsidP="00192B09">
            <w:pPr>
              <w:rPr>
                <w:rFonts w:ascii="Arial" w:hAnsi="Arial" w:cs="Arial"/>
                <w:sz w:val="16"/>
                <w:szCs w:val="16"/>
              </w:rPr>
            </w:pPr>
            <w:r w:rsidRPr="00AD2B60">
              <w:rPr>
                <w:rFonts w:ascii="Arial" w:hAnsi="Arial" w:cs="Arial"/>
                <w:sz w:val="16"/>
                <w:szCs w:val="16"/>
              </w:rPr>
              <w:t>Not specified</w:t>
            </w:r>
          </w:p>
        </w:tc>
        <w:tc>
          <w:tcPr>
            <w:tcW w:w="370" w:type="pct"/>
            <w:vAlign w:val="center"/>
          </w:tcPr>
          <w:p w14:paraId="6FC17F68" w14:textId="77777777" w:rsidR="00C72191" w:rsidRPr="00AD2B60" w:rsidRDefault="00C72191" w:rsidP="00192B09">
            <w:pPr>
              <w:rPr>
                <w:rFonts w:ascii="Arial" w:hAnsi="Arial" w:cs="Arial"/>
                <w:sz w:val="16"/>
                <w:szCs w:val="16"/>
              </w:rPr>
            </w:pPr>
            <w:r w:rsidRPr="00AD2B60">
              <w:rPr>
                <w:rFonts w:ascii="Arial" w:hAnsi="Arial" w:cs="Arial"/>
                <w:sz w:val="16"/>
                <w:szCs w:val="16"/>
              </w:rPr>
              <w:t>Drop-in centers, peer groups, community mobilization spaces</w:t>
            </w:r>
          </w:p>
        </w:tc>
        <w:tc>
          <w:tcPr>
            <w:tcW w:w="1290" w:type="pct"/>
            <w:vAlign w:val="center"/>
          </w:tcPr>
          <w:p w14:paraId="6D41AFB1" w14:textId="77777777" w:rsidR="00C72191" w:rsidRPr="00AD2B60" w:rsidRDefault="00C72191" w:rsidP="00192B09">
            <w:pPr>
              <w:rPr>
                <w:rFonts w:ascii="Arial" w:hAnsi="Arial" w:cs="Arial"/>
                <w:sz w:val="16"/>
                <w:szCs w:val="16"/>
              </w:rPr>
            </w:pPr>
            <w:r w:rsidRPr="00AD2B60">
              <w:rPr>
                <w:rFonts w:ascii="Arial" w:hAnsi="Arial" w:cs="Arial"/>
                <w:sz w:val="16"/>
                <w:szCs w:val="16"/>
              </w:rPr>
              <w:t>Core HIV prevention services such as peer outreach, condom distribution, STI clinics, and behavior change communication were enhanced with community mobilization and empowerment activities. These included drop-in centers, rural peer groups, income generation projects, assistance in accessing social benefits, formation of community-based organizations, involvement of female sex workers (FSWs) in program design, legal empowerment sessions, and sensitization workshops for local leaders and stakeholders aimed at reducing violence. These efforts were supported by capacity building from state-level partners.</w:t>
            </w:r>
          </w:p>
        </w:tc>
        <w:tc>
          <w:tcPr>
            <w:tcW w:w="426" w:type="pct"/>
            <w:vAlign w:val="center"/>
          </w:tcPr>
          <w:p w14:paraId="0BFDFD55" w14:textId="77777777" w:rsidR="00C72191" w:rsidRPr="00AD2B60" w:rsidRDefault="00C72191" w:rsidP="00192B09">
            <w:pPr>
              <w:rPr>
                <w:rFonts w:ascii="Arial" w:hAnsi="Arial" w:cs="Arial"/>
                <w:sz w:val="16"/>
                <w:szCs w:val="16"/>
              </w:rPr>
            </w:pPr>
            <w:r w:rsidRPr="00AD2B60">
              <w:rPr>
                <w:rFonts w:ascii="Arial" w:hAnsi="Arial" w:cs="Arial"/>
                <w:sz w:val="16"/>
                <w:szCs w:val="16"/>
              </w:rPr>
              <w:t>Core HIV prevention package without community mobilization component</w:t>
            </w:r>
          </w:p>
        </w:tc>
        <w:tc>
          <w:tcPr>
            <w:tcW w:w="1490" w:type="pct"/>
            <w:vAlign w:val="center"/>
          </w:tcPr>
          <w:p w14:paraId="29EC6C3D"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Over seven years (2004–2011), community mobilization and empowerment interventions in Belgaum and Bellary, India, prevented an estimated 1,257 (SD 308) and 2,775 (SD 1,260) HIV infections, respectively. The incremental cost per DALY averted was approximately US$14 in both locations, well below WHO cost-effectiveness thresholds for India. When factoring in savings from antiretroviral therapy, the intervention became cost-saving. Community mobilization contributed significantly, accounting for 31% and 39% of total HIV infections averted in Belgaum and Bellary, respectively. This evidence supports sustained funding for community mobilization as a key component of HIV prevention programs for female sex workers. </w:t>
            </w:r>
          </w:p>
        </w:tc>
      </w:tr>
      <w:tr w:rsidR="00C72191" w:rsidRPr="00AD2B60" w14:paraId="396DC041" w14:textId="77777777" w:rsidTr="00192B09">
        <w:trPr>
          <w:cantSplit/>
          <w:jc w:val="center"/>
        </w:trPr>
        <w:tc>
          <w:tcPr>
            <w:tcW w:w="386" w:type="pct"/>
            <w:vAlign w:val="center"/>
          </w:tcPr>
          <w:p w14:paraId="3D9420C5" w14:textId="77777777" w:rsidR="00C72191" w:rsidRPr="00AD2B60" w:rsidRDefault="00C72191" w:rsidP="00192B09">
            <w:pPr>
              <w:rPr>
                <w:rFonts w:ascii="Arial" w:hAnsi="Arial" w:cs="Arial"/>
                <w:sz w:val="16"/>
                <w:szCs w:val="16"/>
              </w:rPr>
            </w:pPr>
            <w:r w:rsidRPr="00AD2B60">
              <w:rPr>
                <w:rFonts w:ascii="Arial" w:hAnsi="Arial" w:cs="Arial"/>
                <w:sz w:val="16"/>
                <w:szCs w:val="16"/>
              </w:rPr>
              <w:lastRenderedPageBreak/>
              <w:t>Vazquez et al. (2024)</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{"citationID":"U6Xb1E0D","properties":{"formattedCitation":"\\super 65\\nosupersub{}","plainCitation":"65","noteIndex":0},"citationItems":[{"id":1024,"uris":["http://zotero.org/users/1379219/items/MFFPT6G9"],"itemData":{"id":1024,"type":"article-journal","abstract":"This randomized pilot project evaluated an intervention promoting health care literacy around HIV, pre-exposure prophylaxis (PrEP), and stigma reduction using private social media groups that complemented existing HIV prevention services among female sex workers (FSWs) in Cameroon. The intervention was 12 HIV and sexual health videos tailored to FSWs that were released over 8 weeks through a secret Facebook group platform. In-person surveys were administered before, after the intervention, and three months later. No HIV seroconversions were detected; all participants completed follow-up and agreed to recommend the intervention to a coworker. Although the intervention was assessed to be acceptable and feasible to implement, poor internet connectivity was a key barrier. In time-series analysis, the intervention group participants reported improved PrEP interest, PrEP knowledge, and condom use along with reduced PrEP and HIV-related stigma, but no impact on sex-work related stigma or social cohesion. Similar results occurred in the control group. Cross-contamination and small pilot study size might have hindered the ability to detect the differential impact of this intervention. As communications technology increases in Cameroon, it is essential to learn more about FSWs preferences on the use of social media platforms for HIV prevention strategies.","container-title":"AIDS care","DOI":"10.1080/09540121.2023.2275048","ISSN":"1360-0451","issue":"4","journalAbbreviation":"AIDS Care","language":"eng","note":"PMID: 37921364","page":"517-527","source":"PubMed","title":"Acceptability, feasibility and potential of an intervention using secret Facebook groups to complement existing HIV prevention strategies among female sex workers in Cameroon, a randomized pilot study","volume":"36","author":[{"family":"Vazquez Guillamet","given":"Laia J."},{"family":"Babey","given":"Mary Mah"},{"family":"Njah","given":"Mercy"},{"family":"Blake","given":"Hassanatu"},{"family":"Jasani","given":"Amy"},{"family":"Kyeng","given":"Rahel"},{"family":"Hao","given":"Jiaying"},{"family":"Long","given":"Dustin"},{"family":"Tih","given":"Pius"},{"family":"Turan","given":"Janet M."},{"family":"Khan","given":"Eveline Mboh"},{"family":"Dionne","given":"Jodie"}],"issued":{"date-parts":[["2024",4]]}}}],"schema":"https://github.com/citation-style-language/schema/raw/master/csl-citation.json"}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65</w:t>
            </w:r>
            <w:r w:rsidRPr="00AD2B60">
              <w:rPr>
                <w:rFonts w:asciiTheme="minorHAnsi" w:hAnsiTheme="minorHAnsi" w:cstheme="minorHAnsi"/>
                <w:sz w:val="16"/>
                <w:szCs w:val="16"/>
              </w:rPr>
              <w:fldChar w:fldCharType="end"/>
            </w:r>
          </w:p>
        </w:tc>
        <w:tc>
          <w:tcPr>
            <w:tcW w:w="471" w:type="pct"/>
            <w:vAlign w:val="center"/>
          </w:tcPr>
          <w:p w14:paraId="76BA058C" w14:textId="77777777" w:rsidR="00C72191" w:rsidRPr="00AD2B60" w:rsidRDefault="00C72191" w:rsidP="00192B09">
            <w:pPr>
              <w:rPr>
                <w:rFonts w:ascii="Arial" w:hAnsi="Arial" w:cs="Arial"/>
                <w:sz w:val="16"/>
                <w:szCs w:val="16"/>
              </w:rPr>
            </w:pPr>
            <w:r w:rsidRPr="00AD2B60">
              <w:rPr>
                <w:rFonts w:ascii="Arial" w:hAnsi="Arial" w:cs="Arial"/>
                <w:sz w:val="16"/>
                <w:szCs w:val="16"/>
              </w:rPr>
              <w:t>Cameroon</w:t>
            </w:r>
          </w:p>
          <w:p w14:paraId="5973BFD9" w14:textId="77777777" w:rsidR="00C72191" w:rsidRPr="00AD2B60" w:rsidRDefault="00C72191" w:rsidP="00192B09">
            <w:pPr>
              <w:rPr>
                <w:rFonts w:ascii="Arial" w:hAnsi="Arial" w:cs="Arial"/>
                <w:sz w:val="16"/>
                <w:szCs w:val="16"/>
              </w:rPr>
            </w:pPr>
          </w:p>
          <w:p w14:paraId="4893C890" w14:textId="77777777" w:rsidR="00C72191" w:rsidRPr="00AD2B60" w:rsidRDefault="00C72191" w:rsidP="00192B09">
            <w:pPr>
              <w:rPr>
                <w:rFonts w:ascii="Arial" w:hAnsi="Arial" w:cs="Arial"/>
                <w:sz w:val="16"/>
                <w:szCs w:val="16"/>
              </w:rPr>
            </w:pPr>
            <w:r w:rsidRPr="00AD2B60">
              <w:rPr>
                <w:rFonts w:ascii="Arial" w:hAnsi="Arial" w:cs="Arial"/>
                <w:sz w:val="16"/>
                <w:szCs w:val="16"/>
              </w:rPr>
              <w:t>Intervention: 40</w:t>
            </w:r>
            <w:r w:rsidRPr="00AD2B60">
              <w:rPr>
                <w:rFonts w:ascii="Arial" w:hAnsi="Arial" w:cs="Arial"/>
                <w:sz w:val="16"/>
                <w:szCs w:val="16"/>
              </w:rPr>
              <w:br/>
              <w:t>Control: 20</w:t>
            </w:r>
          </w:p>
        </w:tc>
        <w:tc>
          <w:tcPr>
            <w:tcW w:w="567" w:type="pct"/>
            <w:vAlign w:val="center"/>
          </w:tcPr>
          <w:p w14:paraId="68822942" w14:textId="77777777" w:rsidR="00C72191" w:rsidRPr="00AD2B60" w:rsidRDefault="00C72191" w:rsidP="00192B09">
            <w:pPr>
              <w:rPr>
                <w:rFonts w:ascii="Arial" w:hAnsi="Arial" w:cs="Arial"/>
                <w:sz w:val="16"/>
                <w:szCs w:val="16"/>
              </w:rPr>
            </w:pPr>
            <w:r w:rsidRPr="00AD2B60">
              <w:rPr>
                <w:rFonts w:ascii="Arial" w:hAnsi="Arial" w:cs="Arial"/>
                <w:sz w:val="16"/>
                <w:szCs w:val="16"/>
              </w:rPr>
              <w:t>FSW 18 years and over, New Life Club (NLC) membership HIV negative, fluency in the local language, ability to interact in the group chat and ownership of an android phone with internet access.</w:t>
            </w:r>
          </w:p>
        </w:tc>
        <w:tc>
          <w:tcPr>
            <w:tcW w:w="370" w:type="pct"/>
            <w:vAlign w:val="center"/>
          </w:tcPr>
          <w:p w14:paraId="6475A6DC" w14:textId="77777777" w:rsidR="00C72191" w:rsidRPr="00AD2B60" w:rsidRDefault="00C72191" w:rsidP="00192B09">
            <w:pPr>
              <w:rPr>
                <w:rFonts w:ascii="Arial" w:hAnsi="Arial" w:cs="Arial"/>
                <w:sz w:val="16"/>
                <w:szCs w:val="16"/>
              </w:rPr>
            </w:pPr>
            <w:r w:rsidRPr="00AD2B60">
              <w:rPr>
                <w:rFonts w:ascii="Arial" w:hAnsi="Arial" w:cs="Arial"/>
                <w:sz w:val="16"/>
                <w:szCs w:val="16"/>
              </w:rPr>
              <w:t>Secret Facebook groups (SFGs), community-based NGO (New Life Club), urban centers</w:t>
            </w:r>
          </w:p>
        </w:tc>
        <w:tc>
          <w:tcPr>
            <w:tcW w:w="1290" w:type="pct"/>
            <w:vAlign w:val="center"/>
          </w:tcPr>
          <w:p w14:paraId="108F369E"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The intervention used Secret Facebook Groups (SFGs) to deliver 12 short educational videos over 8 weeks, covering topics such as HIV prevention, </w:t>
            </w:r>
            <w:proofErr w:type="spellStart"/>
            <w:r w:rsidRPr="00AD2B60">
              <w:rPr>
                <w:rFonts w:ascii="Arial" w:hAnsi="Arial" w:cs="Arial"/>
                <w:sz w:val="16"/>
                <w:szCs w:val="16"/>
              </w:rPr>
              <w:t>PrEP</w:t>
            </w:r>
            <w:proofErr w:type="spellEnd"/>
            <w:r w:rsidRPr="00AD2B60">
              <w:rPr>
                <w:rFonts w:ascii="Arial" w:hAnsi="Arial" w:cs="Arial"/>
                <w:sz w:val="16"/>
                <w:szCs w:val="16"/>
              </w:rPr>
              <w:t>, PEP, condom use, sex work-related stigma, and global sex work issues. Participants used pseudonyms to protect their identities due to the criminalization of sex work in Cameroon. Videos were shared weekly or biweekly, accompanied by interactive group chats moderated by New Life Club (NLC) staff, who also offered follow-up through calls and messages. The intervention complemented ongoing HIV services at NLC, and participants received compensation for internet and transportation costs. This approach provided a safe, supportive digital space for HIV education and stigma reduction among female sex workers.</w:t>
            </w:r>
          </w:p>
        </w:tc>
        <w:tc>
          <w:tcPr>
            <w:tcW w:w="426" w:type="pct"/>
            <w:vAlign w:val="center"/>
          </w:tcPr>
          <w:p w14:paraId="612F0611" w14:textId="77777777" w:rsidR="00C72191" w:rsidRPr="00AD2B60" w:rsidRDefault="00C72191" w:rsidP="00192B09">
            <w:pPr>
              <w:rPr>
                <w:rFonts w:ascii="Arial" w:hAnsi="Arial" w:cs="Arial"/>
                <w:sz w:val="16"/>
                <w:szCs w:val="16"/>
              </w:rPr>
            </w:pPr>
            <w:r w:rsidRPr="00AD2B60">
              <w:rPr>
                <w:rFonts w:ascii="Arial" w:hAnsi="Arial" w:cs="Arial"/>
                <w:sz w:val="16"/>
                <w:szCs w:val="16"/>
              </w:rPr>
              <w:t>Participants were randomized in groups; Arm B served as a control during the first phase and received the intervention later (cross-over design)</w:t>
            </w:r>
          </w:p>
        </w:tc>
        <w:tc>
          <w:tcPr>
            <w:tcW w:w="1490" w:type="pct"/>
            <w:vAlign w:val="center"/>
          </w:tcPr>
          <w:p w14:paraId="64089CA1"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All participants said they would recommend the program to coworkers. The main challenge was poor network connection (80%). Interest in </w:t>
            </w:r>
            <w:proofErr w:type="spellStart"/>
            <w:r w:rsidRPr="00AD2B60">
              <w:rPr>
                <w:rFonts w:ascii="Arial" w:hAnsi="Arial" w:cs="Arial"/>
                <w:sz w:val="16"/>
                <w:szCs w:val="16"/>
              </w:rPr>
              <w:t>PrEP</w:t>
            </w:r>
            <w:proofErr w:type="spellEnd"/>
            <w:r w:rsidRPr="00AD2B60">
              <w:rPr>
                <w:rFonts w:ascii="Arial" w:hAnsi="Arial" w:cs="Arial"/>
                <w:sz w:val="16"/>
                <w:szCs w:val="16"/>
              </w:rPr>
              <w:t xml:space="preserve"> among Arm A participants increased from 40.5% to 67.5% (p=0.01), along with a significant rise in confidence about </w:t>
            </w:r>
            <w:proofErr w:type="spellStart"/>
            <w:r w:rsidRPr="00AD2B60">
              <w:rPr>
                <w:rFonts w:ascii="Arial" w:hAnsi="Arial" w:cs="Arial"/>
                <w:sz w:val="16"/>
                <w:szCs w:val="16"/>
              </w:rPr>
              <w:t>PrEP</w:t>
            </w:r>
            <w:proofErr w:type="spellEnd"/>
            <w:r w:rsidRPr="00AD2B60">
              <w:rPr>
                <w:rFonts w:ascii="Arial" w:hAnsi="Arial" w:cs="Arial"/>
                <w:sz w:val="16"/>
                <w:szCs w:val="16"/>
              </w:rPr>
              <w:t xml:space="preserve"> knowledge (p&lt;0.0001). By the third survey, all Arm B participants showed strong interest in </w:t>
            </w:r>
            <w:proofErr w:type="spellStart"/>
            <w:r w:rsidRPr="00AD2B60">
              <w:rPr>
                <w:rFonts w:ascii="Arial" w:hAnsi="Arial" w:cs="Arial"/>
                <w:sz w:val="16"/>
                <w:szCs w:val="16"/>
              </w:rPr>
              <w:t>PrEP</w:t>
            </w:r>
            <w:proofErr w:type="spellEnd"/>
            <w:r w:rsidRPr="00AD2B60">
              <w:rPr>
                <w:rFonts w:ascii="Arial" w:hAnsi="Arial" w:cs="Arial"/>
                <w:sz w:val="16"/>
                <w:szCs w:val="16"/>
              </w:rPr>
              <w:t xml:space="preserve"> (p=0.0013). Consistent condom use rose in both groups (Arm A: 20% to 61.5%; Arm B: 15% to 65%). </w:t>
            </w:r>
            <w:proofErr w:type="spellStart"/>
            <w:r w:rsidRPr="00AD2B60">
              <w:rPr>
                <w:rFonts w:ascii="Arial" w:hAnsi="Arial" w:cs="Arial"/>
                <w:sz w:val="16"/>
                <w:szCs w:val="16"/>
              </w:rPr>
              <w:t>PrEP</w:t>
            </w:r>
            <w:proofErr w:type="spellEnd"/>
            <w:r w:rsidRPr="00AD2B60">
              <w:rPr>
                <w:rFonts w:ascii="Arial" w:hAnsi="Arial" w:cs="Arial"/>
                <w:sz w:val="16"/>
                <w:szCs w:val="16"/>
              </w:rPr>
              <w:t xml:space="preserve">-related stigma significantly decreased in both arms, with more participants strongly disagreeing with concerns about being seen as HIV positive or feeling ashamed about taking </w:t>
            </w:r>
            <w:proofErr w:type="spellStart"/>
            <w:r w:rsidRPr="00AD2B60">
              <w:rPr>
                <w:rFonts w:ascii="Arial" w:hAnsi="Arial" w:cs="Arial"/>
                <w:sz w:val="16"/>
                <w:szCs w:val="16"/>
              </w:rPr>
              <w:t>PrEP.</w:t>
            </w:r>
            <w:proofErr w:type="spellEnd"/>
          </w:p>
        </w:tc>
      </w:tr>
      <w:tr w:rsidR="00C72191" w:rsidRPr="00AD2B60" w14:paraId="48C76B5C" w14:textId="77777777" w:rsidTr="00192B09">
        <w:trPr>
          <w:cantSplit/>
          <w:jc w:val="center"/>
        </w:trPr>
        <w:tc>
          <w:tcPr>
            <w:tcW w:w="386" w:type="pct"/>
            <w:vAlign w:val="center"/>
          </w:tcPr>
          <w:p w14:paraId="42754971" w14:textId="77777777" w:rsidR="00C72191" w:rsidRPr="00AD2B60" w:rsidRDefault="00C72191" w:rsidP="00192B09">
            <w:pPr>
              <w:rPr>
                <w:rFonts w:ascii="Arial" w:hAnsi="Arial" w:cs="Arial"/>
                <w:sz w:val="16"/>
                <w:szCs w:val="16"/>
              </w:rPr>
            </w:pPr>
            <w:proofErr w:type="spellStart"/>
            <w:r w:rsidRPr="00AD2B60">
              <w:rPr>
                <w:rFonts w:ascii="Arial" w:hAnsi="Arial" w:cs="Arial"/>
                <w:sz w:val="16"/>
                <w:szCs w:val="16"/>
              </w:rPr>
              <w:t>Wechsberg</w:t>
            </w:r>
            <w:proofErr w:type="spellEnd"/>
            <w:r w:rsidRPr="00AD2B60">
              <w:rPr>
                <w:rFonts w:ascii="Arial" w:hAnsi="Arial" w:cs="Arial"/>
                <w:sz w:val="16"/>
                <w:szCs w:val="16"/>
              </w:rPr>
              <w:t xml:space="preserve"> et al. (2006)</w:t>
            </w:r>
            <w:r w:rsidRPr="00AD2B60">
              <w:rPr>
                <w:rFonts w:asciiTheme="minorHAnsi" w:hAnsiTheme="minorHAnsi" w:cstheme="minorHAnsi"/>
                <w:sz w:val="16"/>
                <w:szCs w:val="16"/>
              </w:rPr>
              <w:t xml:space="preserve"> </w:t>
            </w:r>
            <w:r w:rsidRPr="00AD2B60">
              <w:rPr>
                <w:rFonts w:asciiTheme="minorHAnsi" w:hAnsiTheme="minorHAnsi" w:cstheme="minorHAnsi"/>
                <w:sz w:val="16"/>
                <w:szCs w:val="16"/>
              </w:rPr>
              <w:fldChar w:fldCharType="begin"/>
            </w:r>
            <w:r w:rsidRPr="00AD2B60">
              <w:rPr>
                <w:rFonts w:asciiTheme="minorHAnsi" w:hAnsiTheme="minorHAnsi" w:cstheme="minorHAnsi"/>
                <w:sz w:val="16"/>
                <w:szCs w:val="16"/>
              </w:rPr>
              <w:instrText xml:space="preserve"> ADDIN ZOTERO_ITEM CSL_CITATION {"citationID":"G46ywlgA","properties":{"formattedCitation":"\\super 66\\nosupersub{}","plainCitation":"66","noteIndex":0},"citationItems":[{"id":1036,"uris":["http://zotero.org/users/1379219/items/WMAUYGGM"],"itemData":{"id":1036,"type":"article-journal","abstract":"This paper describes an HIV prevention intervention designed in the US that was adapted and implemented in South Africa. Using an experimental design, 93 women who reported recent substance use and sex trading were randomly assigned to a modified Standard HIV intervention or to a Woman-Focused HIV prevention intervention. Eighty women completed the one-month follow-up interview. Participants reported high rates of sexual risk and violence at baseline. At follow-up, findings showed decreases in the proportion of women reporting unprotected sex and the daily use of alcohol and cocaine. Daily alcohol and cocaine use decreased more for women receiving the Woman-Focused intervention. Although violence continued to be a problem, at follow-up Woman-Focused participants reported being victimized less often than women receiving the Standard intervention. This study demonstrates the feasibility of implementing cross-cultural behavioral HIV prevention interventions, and supports the need for future studies of women's contextual issues and the effectiveness of targeted interventions.","container-title":"AIDS and behavior","DOI":"10.1007/s10461-005-9036-8","ISSN":"1090-7165","issue":"2","journalAbbreviation":"AIDS Behav","language":"eng","note":"PMID: 16482408","page":"131-137","source":"PubMed","title":"Substance use, sexual risk, and violence: HIV prevention intervention with sex workers in Pretoria","title-short":"Substance use, sexual risk, and violence","volume":"10","author":[{"family":"Wechsberg","given":"Wendee M."},{"family":"Luseno","given":"Winnie K."},{"family":"Lam","given":"Wendy K. K."},{"family":"Parry","given":"Charles D. H."},{"family":"Morojele","given":"Neo K."}],"issued":{"date-parts":[["2006",3]]}}}],"schema":"https://github.com/citation-style-language/schema/raw/master/csl-citation.json"} </w:instrText>
            </w:r>
            <w:r w:rsidRPr="00AD2B60">
              <w:rPr>
                <w:rFonts w:asciiTheme="minorHAnsi" w:hAnsiTheme="minorHAnsi" w:cstheme="minorHAnsi"/>
                <w:sz w:val="16"/>
                <w:szCs w:val="16"/>
              </w:rPr>
              <w:fldChar w:fldCharType="separate"/>
            </w:r>
            <w:r w:rsidRPr="00AD2B60">
              <w:rPr>
                <w:sz w:val="16"/>
                <w:vertAlign w:val="superscript"/>
              </w:rPr>
              <w:t>66</w:t>
            </w:r>
            <w:r w:rsidRPr="00AD2B60">
              <w:rPr>
                <w:rFonts w:asciiTheme="minorHAnsi" w:hAnsiTheme="minorHAnsi" w:cstheme="minorHAnsi"/>
                <w:sz w:val="16"/>
                <w:szCs w:val="16"/>
              </w:rPr>
              <w:fldChar w:fldCharType="end"/>
            </w:r>
          </w:p>
        </w:tc>
        <w:tc>
          <w:tcPr>
            <w:tcW w:w="471" w:type="pct"/>
            <w:vAlign w:val="center"/>
          </w:tcPr>
          <w:p w14:paraId="288F4700"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South Africa </w:t>
            </w:r>
          </w:p>
          <w:p w14:paraId="1BA38167" w14:textId="77777777" w:rsidR="00C72191" w:rsidRPr="00AD2B60" w:rsidRDefault="00C72191" w:rsidP="00192B09">
            <w:pPr>
              <w:rPr>
                <w:rFonts w:ascii="Arial" w:hAnsi="Arial" w:cs="Arial"/>
                <w:sz w:val="16"/>
                <w:szCs w:val="16"/>
              </w:rPr>
            </w:pPr>
          </w:p>
          <w:p w14:paraId="6AA7FAF2" w14:textId="77777777" w:rsidR="00C72191" w:rsidRPr="00AD2B60" w:rsidRDefault="00C72191" w:rsidP="00192B09">
            <w:pPr>
              <w:rPr>
                <w:rFonts w:ascii="Arial" w:hAnsi="Arial" w:cs="Arial"/>
                <w:sz w:val="16"/>
                <w:szCs w:val="16"/>
              </w:rPr>
            </w:pPr>
            <w:r w:rsidRPr="00AD2B60">
              <w:rPr>
                <w:rFonts w:ascii="Arial" w:hAnsi="Arial" w:cs="Arial"/>
                <w:sz w:val="16"/>
                <w:szCs w:val="16"/>
              </w:rPr>
              <w:t>93</w:t>
            </w:r>
          </w:p>
        </w:tc>
        <w:tc>
          <w:tcPr>
            <w:tcW w:w="567" w:type="pct"/>
            <w:vAlign w:val="center"/>
          </w:tcPr>
          <w:p w14:paraId="49530E66" w14:textId="77777777" w:rsidR="00C72191" w:rsidRPr="00AD2B60" w:rsidRDefault="00C72191" w:rsidP="00192B09">
            <w:pPr>
              <w:rPr>
                <w:rFonts w:ascii="Arial" w:hAnsi="Arial" w:cs="Arial"/>
                <w:sz w:val="16"/>
                <w:szCs w:val="16"/>
              </w:rPr>
            </w:pPr>
            <w:r w:rsidRPr="00AD2B60">
              <w:rPr>
                <w:rFonts w:ascii="Arial" w:hAnsi="Arial" w:cs="Arial"/>
                <w:sz w:val="16"/>
                <w:szCs w:val="16"/>
              </w:rPr>
              <w:t>Black South African woman 18 and over who engage in sex work in the past 90 days, have multiple sexual partners, have a positive urine test for cocaine and self-report weekly cocaine use in the past 90 days.</w:t>
            </w:r>
          </w:p>
        </w:tc>
        <w:tc>
          <w:tcPr>
            <w:tcW w:w="370" w:type="pct"/>
            <w:vAlign w:val="center"/>
          </w:tcPr>
          <w:p w14:paraId="125C3BE5" w14:textId="77777777" w:rsidR="00C72191" w:rsidRPr="00AD2B60" w:rsidRDefault="00C72191" w:rsidP="00192B09">
            <w:pPr>
              <w:rPr>
                <w:rFonts w:ascii="Arial" w:hAnsi="Arial" w:cs="Arial"/>
                <w:sz w:val="16"/>
                <w:szCs w:val="16"/>
              </w:rPr>
            </w:pPr>
            <w:r w:rsidRPr="00AD2B60">
              <w:rPr>
                <w:rFonts w:ascii="Arial" w:hAnsi="Arial" w:cs="Arial"/>
                <w:sz w:val="16"/>
                <w:szCs w:val="16"/>
              </w:rPr>
              <w:t>Community-based outreach at sex work venues and public spaces</w:t>
            </w:r>
          </w:p>
        </w:tc>
        <w:tc>
          <w:tcPr>
            <w:tcW w:w="1290" w:type="pct"/>
            <w:vAlign w:val="center"/>
          </w:tcPr>
          <w:p w14:paraId="777275B0" w14:textId="77777777" w:rsidR="00C72191" w:rsidRPr="00AD2B60" w:rsidRDefault="00C72191" w:rsidP="00192B09">
            <w:pPr>
              <w:rPr>
                <w:rFonts w:ascii="Arial" w:hAnsi="Arial" w:cs="Arial"/>
                <w:sz w:val="16"/>
                <w:szCs w:val="16"/>
              </w:rPr>
            </w:pPr>
            <w:r w:rsidRPr="00AD2B60">
              <w:rPr>
                <w:rFonts w:ascii="Arial" w:hAnsi="Arial" w:cs="Arial"/>
                <w:sz w:val="16"/>
                <w:szCs w:val="16"/>
              </w:rPr>
              <w:t>The Standard Intervention included two one-hour educational sessions on HIV awareness, risk reduction, and proper condom use, providing cue cards and risk-reduction kits to enhance communication about safer sex. The Woman-Focused Intervention covered similar content but added discussions on violence prevention, cultural barriers, and personalized risk reduction plans, emphasizing assertiveness and empowerment in negotiating safer sex. Both groups received support and were followed about a month later to assess outcomes.</w:t>
            </w:r>
          </w:p>
        </w:tc>
        <w:tc>
          <w:tcPr>
            <w:tcW w:w="426" w:type="pct"/>
            <w:vAlign w:val="center"/>
          </w:tcPr>
          <w:p w14:paraId="7D19D54C" w14:textId="77777777" w:rsidR="00C72191" w:rsidRPr="00AD2B60" w:rsidRDefault="00C72191" w:rsidP="00192B09">
            <w:pPr>
              <w:rPr>
                <w:rFonts w:ascii="Arial" w:hAnsi="Arial" w:cs="Arial"/>
                <w:sz w:val="16"/>
                <w:szCs w:val="16"/>
              </w:rPr>
            </w:pPr>
            <w:r w:rsidRPr="00AD2B60">
              <w:rPr>
                <w:rFonts w:ascii="Arial" w:hAnsi="Arial" w:cs="Arial"/>
                <w:sz w:val="16"/>
                <w:szCs w:val="16"/>
              </w:rPr>
              <w:t>Randomized controlled trial comparing Woman-Focused intervention (WFI) with Standard HIV intervention (SHI)</w:t>
            </w:r>
          </w:p>
        </w:tc>
        <w:tc>
          <w:tcPr>
            <w:tcW w:w="1490" w:type="pct"/>
            <w:vAlign w:val="center"/>
          </w:tcPr>
          <w:p w14:paraId="6318C842" w14:textId="77777777" w:rsidR="00C72191" w:rsidRPr="00AD2B60" w:rsidRDefault="00C72191" w:rsidP="00192B09">
            <w:pPr>
              <w:rPr>
                <w:rFonts w:ascii="Arial" w:hAnsi="Arial" w:cs="Arial"/>
                <w:sz w:val="16"/>
                <w:szCs w:val="16"/>
              </w:rPr>
            </w:pPr>
            <w:r w:rsidRPr="00AD2B60">
              <w:rPr>
                <w:rFonts w:ascii="Arial" w:hAnsi="Arial" w:cs="Arial"/>
                <w:sz w:val="16"/>
                <w:szCs w:val="16"/>
              </w:rPr>
              <w:t xml:space="preserve">At one-month follow-up, consistent condom </w:t>
            </w:r>
            <w:proofErr w:type="gramStart"/>
            <w:r w:rsidRPr="00AD2B60">
              <w:rPr>
                <w:rFonts w:ascii="Arial" w:hAnsi="Arial" w:cs="Arial"/>
                <w:sz w:val="16"/>
                <w:szCs w:val="16"/>
              </w:rPr>
              <w:t>use</w:t>
            </w:r>
            <w:proofErr w:type="gramEnd"/>
            <w:r w:rsidRPr="00AD2B60">
              <w:rPr>
                <w:rFonts w:ascii="Arial" w:hAnsi="Arial" w:cs="Arial"/>
                <w:sz w:val="16"/>
                <w:szCs w:val="16"/>
              </w:rPr>
              <w:t xml:space="preserve"> with paying clients increased to 97% in the Woman-Focused Intervention (WFI) group but declined to 82% in the Standard HIV Intervention (SHI) group. The WFI group also showed increased male condom use with boyfriends (23% to 33%) and a large increase in female condom use with boyfriends (3% to 48%). Substance use decreased in both groups: daily alcohol use dropped from 15% to 5% in WFI and 18% to 10% in SHI; daily cocaine use fell from 64% to 33% in WFI and 75% to 40% in SHI. Women in the WFI group reported slightly lower odds of substance use at follow-up. Although reports of violence remained high, the WFI group experienced fewer events on average (4.5 vs. 6.3) compared to SHI.</w:t>
            </w:r>
          </w:p>
        </w:tc>
      </w:tr>
    </w:tbl>
    <w:p w14:paraId="256E8B08" w14:textId="77777777" w:rsidR="00C72191" w:rsidRPr="00AD2B60" w:rsidRDefault="00C72191" w:rsidP="00C72191">
      <w:pPr>
        <w:spacing w:after="0" w:line="240" w:lineRule="auto"/>
        <w:jc w:val="both"/>
        <w:rPr>
          <w:rFonts w:asciiTheme="minorHAnsi" w:hAnsiTheme="minorHAnsi" w:cstheme="minorHAnsi"/>
          <w:b/>
        </w:rPr>
        <w:sectPr w:rsidR="00C72191" w:rsidRPr="00AD2B60" w:rsidSect="0002544A">
          <w:pgSz w:w="15840" w:h="12240" w:orient="landscape"/>
          <w:pgMar w:top="993" w:right="1417" w:bottom="993" w:left="1417" w:header="708" w:footer="708" w:gutter="0"/>
          <w:pgNumType w:start="1"/>
          <w:cols w:space="720"/>
          <w:docGrid w:linePitch="299"/>
        </w:sectPr>
      </w:pPr>
    </w:p>
    <w:p w14:paraId="1CD866E2"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b/>
        </w:rPr>
        <w:lastRenderedPageBreak/>
        <w:t xml:space="preserve">Appendix </w:t>
      </w:r>
      <w:r w:rsidRPr="00AD2B60">
        <w:rPr>
          <w:rFonts w:asciiTheme="minorHAnsi" w:hAnsiTheme="minorHAnsi" w:cstheme="minorHAnsi"/>
          <w:b/>
          <w:bCs/>
        </w:rPr>
        <w:t>3.</w:t>
      </w:r>
      <w:r w:rsidRPr="00AD2B60">
        <w:rPr>
          <w:rFonts w:asciiTheme="minorHAnsi" w:hAnsiTheme="minorHAnsi" w:cstheme="minorHAnsi"/>
        </w:rPr>
        <w:t xml:space="preserve"> Evaluation of methodological quality based on Joanna Briggs Institute appraisal tools </w:t>
      </w:r>
      <w:bookmarkStart w:id="0" w:name="_Hlk211442106"/>
      <w:r w:rsidRPr="00AD2B60">
        <w:rPr>
          <w:rFonts w:asciiTheme="minorHAnsi" w:hAnsiTheme="minorHAnsi" w:cstheme="minorHAnsi"/>
        </w:rPr>
        <w:fldChar w:fldCharType="begin"/>
      </w:r>
      <w:r w:rsidRPr="00AD2B60">
        <w:rPr>
          <w:rFonts w:asciiTheme="minorHAnsi" w:hAnsiTheme="minorHAnsi" w:cstheme="minorHAnsi"/>
        </w:rPr>
        <w:instrText xml:space="preserve"> ADDIN ZOTERO_ITEM CSL_CITATION {"citationID":"DhF2Nr2a","properties":{"formattedCitation":"\\super 15\\nosupersub{}","plainCitation":"15","noteIndex":0},"citationItems":[{"id":1008,"uris":["http://zotero.org/users/1379219/items/F9UJIHZ9"],"itemData":{"id":1008,"type":"webpage","container-title":"Critical appraisal tools","title":"Critical Appraisal Tools","URL":"https://jbi.global/critical-appraisal-tools","author":[{"family":"Joanna Briggs Institute","given":""}],"accessed":{"date-parts":[["2025",10,15]]},"issued":{"date-parts":[["2020"]]}}}],"schema":"https://github.com/citation-style-language/schema/raw/master/csl-citation.json"} </w:instrText>
      </w:r>
      <w:r w:rsidRPr="00AD2B60">
        <w:rPr>
          <w:rFonts w:asciiTheme="minorHAnsi" w:hAnsiTheme="minorHAnsi" w:cstheme="minorHAnsi"/>
        </w:rPr>
        <w:fldChar w:fldCharType="separate"/>
      </w:r>
      <w:r w:rsidRPr="00AD2B60">
        <w:rPr>
          <w:vertAlign w:val="superscript"/>
        </w:rPr>
        <w:t>15</w:t>
      </w:r>
      <w:r w:rsidRPr="00AD2B60">
        <w:rPr>
          <w:rFonts w:asciiTheme="minorHAnsi" w:hAnsiTheme="minorHAnsi" w:cstheme="minorHAnsi"/>
        </w:rPr>
        <w:fldChar w:fldCharType="end"/>
      </w:r>
      <w:bookmarkEnd w:id="0"/>
    </w:p>
    <w:p w14:paraId="34EFAFB0" w14:textId="77777777" w:rsidR="00C72191" w:rsidRPr="00AD2B60" w:rsidRDefault="00C72191" w:rsidP="00C72191">
      <w:pPr>
        <w:spacing w:after="0" w:line="240" w:lineRule="auto"/>
        <w:jc w:val="both"/>
        <w:rPr>
          <w:rFonts w:asciiTheme="minorHAnsi" w:hAnsiTheme="minorHAnsi" w:cstheme="minorHAnsi"/>
        </w:rPr>
      </w:pPr>
    </w:p>
    <w:tbl>
      <w:tblPr>
        <w:tblW w:w="9631" w:type="dxa"/>
        <w:tblLayout w:type="fixed"/>
        <w:tblCellMar>
          <w:left w:w="0" w:type="dxa"/>
          <w:right w:w="0" w:type="dxa"/>
        </w:tblCellMar>
        <w:tblLook w:val="04A0" w:firstRow="1" w:lastRow="0" w:firstColumn="1" w:lastColumn="0" w:noHBand="0" w:noVBand="1"/>
      </w:tblPr>
      <w:tblGrid>
        <w:gridCol w:w="1552"/>
        <w:gridCol w:w="1417"/>
        <w:gridCol w:w="436"/>
        <w:gridCol w:w="436"/>
        <w:gridCol w:w="436"/>
        <w:gridCol w:w="436"/>
        <w:gridCol w:w="436"/>
        <w:gridCol w:w="436"/>
        <w:gridCol w:w="437"/>
        <w:gridCol w:w="436"/>
        <w:gridCol w:w="436"/>
        <w:gridCol w:w="436"/>
        <w:gridCol w:w="436"/>
        <w:gridCol w:w="436"/>
        <w:gridCol w:w="437"/>
        <w:gridCol w:w="992"/>
      </w:tblGrid>
      <w:tr w:rsidR="00C72191" w:rsidRPr="00AD2B60" w14:paraId="0FA591BB" w14:textId="77777777" w:rsidTr="00192B09">
        <w:trPr>
          <w:cantSplit/>
          <w:trHeight w:val="1351"/>
          <w:tblHeader/>
        </w:trPr>
        <w:tc>
          <w:tcPr>
            <w:tcW w:w="155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45" w:type="dxa"/>
              <w:bottom w:w="0" w:type="dxa"/>
              <w:right w:w="45" w:type="dxa"/>
            </w:tcMar>
            <w:vAlign w:val="center"/>
            <w:hideMark/>
          </w:tcPr>
          <w:p w14:paraId="6A33C6A1" w14:textId="77777777" w:rsidR="00C72191" w:rsidRPr="00AD2B60" w:rsidRDefault="00C72191" w:rsidP="00192B09">
            <w:pPr>
              <w:spacing w:after="0" w:line="240" w:lineRule="auto"/>
              <w:jc w:val="center"/>
              <w:rPr>
                <w:rFonts w:asciiTheme="minorHAnsi" w:hAnsiTheme="minorHAnsi" w:cstheme="minorHAnsi"/>
                <w:b/>
                <w:bCs/>
                <w:sz w:val="20"/>
                <w:szCs w:val="20"/>
              </w:rPr>
            </w:pPr>
            <w:r w:rsidRPr="00AD2B60">
              <w:rPr>
                <w:rFonts w:asciiTheme="minorHAnsi" w:hAnsiTheme="minorHAnsi" w:cstheme="minorHAnsi"/>
                <w:b/>
                <w:bCs/>
                <w:sz w:val="20"/>
                <w:szCs w:val="20"/>
              </w:rPr>
              <w:t xml:space="preserve">Article´s first author </w:t>
            </w:r>
          </w:p>
          <w:p w14:paraId="5F580A91" w14:textId="77777777" w:rsidR="00C72191" w:rsidRPr="00AD2B60" w:rsidRDefault="00C72191" w:rsidP="00192B09">
            <w:pPr>
              <w:spacing w:after="0" w:line="240" w:lineRule="auto"/>
              <w:jc w:val="center"/>
              <w:rPr>
                <w:rFonts w:asciiTheme="minorHAnsi" w:hAnsiTheme="minorHAnsi" w:cstheme="minorHAnsi"/>
                <w:b/>
                <w:bCs/>
                <w:sz w:val="20"/>
                <w:szCs w:val="20"/>
              </w:rPr>
            </w:pPr>
            <w:r w:rsidRPr="00AD2B60">
              <w:rPr>
                <w:rFonts w:asciiTheme="minorHAnsi" w:hAnsiTheme="minorHAnsi" w:cstheme="minorHAnsi"/>
                <w:b/>
                <w:bCs/>
                <w:sz w:val="20"/>
                <w:szCs w:val="20"/>
              </w:rPr>
              <w:t>Publication year</w:t>
            </w:r>
          </w:p>
        </w:tc>
        <w:tc>
          <w:tcPr>
            <w:tcW w:w="1417"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vAlign w:val="center"/>
            <w:hideMark/>
          </w:tcPr>
          <w:p w14:paraId="4F9A5516" w14:textId="77777777" w:rsidR="00C72191" w:rsidRPr="00AD2B60" w:rsidRDefault="00C72191" w:rsidP="00192B09">
            <w:pPr>
              <w:spacing w:after="0" w:line="240" w:lineRule="auto"/>
              <w:jc w:val="center"/>
              <w:rPr>
                <w:rFonts w:asciiTheme="minorHAnsi" w:hAnsiTheme="minorHAnsi" w:cstheme="minorHAnsi"/>
                <w:b/>
                <w:bCs/>
                <w:sz w:val="20"/>
                <w:szCs w:val="20"/>
              </w:rPr>
            </w:pPr>
            <w:r w:rsidRPr="00AD2B60">
              <w:rPr>
                <w:rFonts w:asciiTheme="minorHAnsi" w:hAnsiTheme="minorHAnsi" w:cstheme="minorHAnsi"/>
                <w:b/>
                <w:bCs/>
                <w:sz w:val="20"/>
                <w:szCs w:val="20"/>
              </w:rPr>
              <w:t>Checklist used</w:t>
            </w:r>
            <w:r w:rsidRPr="00AD2B60">
              <w:rPr>
                <w:rFonts w:asciiTheme="minorHAnsi" w:hAnsiTheme="minorHAnsi" w:cstheme="minorHAnsi"/>
              </w:rPr>
              <w:fldChar w:fldCharType="begin"/>
            </w:r>
            <w:r w:rsidRPr="00AD2B60">
              <w:rPr>
                <w:rFonts w:asciiTheme="minorHAnsi" w:hAnsiTheme="minorHAnsi" w:cstheme="minorHAnsi"/>
              </w:rPr>
              <w:instrText xml:space="preserve"> ADDIN ZOTERO_ITEM CSL_CITATION {"citationID":"S7nslF6m","properties":{"formattedCitation":"\\super 15\\nosupersub{}","plainCitation":"15","noteIndex":0},"citationItems":[{"id":1008,"uris":["http://zotero.org/users/1379219/items/F9UJIHZ9"],"itemData":{"id":1008,"type":"webpage","container-title":"Critical appraisal tools","title":"Critical Appraisal Tools","URL":"https://jbi.global/critical-appraisal-tools","author":[{"family":"Joanna Briggs Institute","given":""}],"accessed":{"date-parts":[["2025",10,15]]},"issued":{"date-parts":[["2020"]]}}}],"schema":"https://github.com/citation-style-language/schema/raw/master/csl-citation.json"} </w:instrText>
            </w:r>
            <w:r w:rsidRPr="00AD2B60">
              <w:rPr>
                <w:rFonts w:asciiTheme="minorHAnsi" w:hAnsiTheme="minorHAnsi" w:cstheme="minorHAnsi"/>
              </w:rPr>
              <w:fldChar w:fldCharType="separate"/>
            </w:r>
            <w:r w:rsidRPr="00AD2B60">
              <w:rPr>
                <w:vertAlign w:val="superscript"/>
              </w:rPr>
              <w:t>15</w:t>
            </w:r>
            <w:r w:rsidRPr="00AD2B60">
              <w:rPr>
                <w:rFonts w:asciiTheme="minorHAnsi" w:hAnsiTheme="minorHAnsi" w:cstheme="minorHAnsi"/>
              </w:rPr>
              <w:fldChar w:fldCharType="end"/>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6EBF02DC"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1*</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30DD91E8"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2*</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3F333EFB"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3*</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2C040AE3"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4*</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322268ED"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5*</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6D202A5B"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6*</w:t>
            </w:r>
          </w:p>
        </w:tc>
        <w:tc>
          <w:tcPr>
            <w:tcW w:w="437"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0605D23C"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7*</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285EEDF0"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8*</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5CDAD51F"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9*</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522EE44C"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10*</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6BF90FDF"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11*</w:t>
            </w:r>
          </w:p>
        </w:tc>
        <w:tc>
          <w:tcPr>
            <w:tcW w:w="436"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4CE2DD2A"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12*</w:t>
            </w:r>
          </w:p>
        </w:tc>
        <w:tc>
          <w:tcPr>
            <w:tcW w:w="437"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textDirection w:val="btLr"/>
            <w:vAlign w:val="center"/>
            <w:hideMark/>
          </w:tcPr>
          <w:p w14:paraId="364B778A" w14:textId="77777777" w:rsidR="00C72191" w:rsidRPr="00AD2B60" w:rsidRDefault="00C72191" w:rsidP="00192B09">
            <w:pPr>
              <w:spacing w:after="0" w:line="240" w:lineRule="auto"/>
              <w:ind w:left="113" w:right="113"/>
              <w:jc w:val="center"/>
              <w:rPr>
                <w:rFonts w:asciiTheme="minorHAnsi" w:hAnsiTheme="minorHAnsi" w:cstheme="minorHAnsi"/>
                <w:b/>
                <w:bCs/>
                <w:sz w:val="20"/>
                <w:szCs w:val="20"/>
              </w:rPr>
            </w:pPr>
            <w:r w:rsidRPr="00AD2B60">
              <w:rPr>
                <w:rFonts w:asciiTheme="minorHAnsi" w:hAnsiTheme="minorHAnsi" w:cstheme="minorHAnsi"/>
                <w:b/>
                <w:bCs/>
                <w:sz w:val="20"/>
                <w:szCs w:val="20"/>
              </w:rPr>
              <w:t>Criterion 13*</w:t>
            </w:r>
          </w:p>
        </w:tc>
        <w:tc>
          <w:tcPr>
            <w:tcW w:w="992" w:type="dxa"/>
            <w:tcBorders>
              <w:top w:val="single" w:sz="6" w:space="0" w:color="000000"/>
              <w:left w:val="single" w:sz="6" w:space="0" w:color="CCCCCC"/>
              <w:bottom w:val="single" w:sz="6" w:space="0" w:color="000000"/>
              <w:right w:val="single" w:sz="6" w:space="0" w:color="000000"/>
            </w:tcBorders>
            <w:shd w:val="clear" w:color="auto" w:fill="E7E6E6" w:themeFill="background2"/>
            <w:tcMar>
              <w:top w:w="0" w:type="dxa"/>
              <w:left w:w="45" w:type="dxa"/>
              <w:bottom w:w="0" w:type="dxa"/>
              <w:right w:w="45" w:type="dxa"/>
            </w:tcMar>
            <w:vAlign w:val="center"/>
            <w:hideMark/>
          </w:tcPr>
          <w:p w14:paraId="0835B676" w14:textId="77777777" w:rsidR="00C72191" w:rsidRPr="00AD2B60" w:rsidRDefault="00C72191" w:rsidP="00192B09">
            <w:pPr>
              <w:spacing w:after="0" w:line="240" w:lineRule="auto"/>
              <w:jc w:val="center"/>
              <w:rPr>
                <w:rFonts w:asciiTheme="minorHAnsi" w:hAnsiTheme="minorHAnsi" w:cstheme="minorHAnsi"/>
                <w:b/>
                <w:bCs/>
                <w:sz w:val="20"/>
                <w:szCs w:val="20"/>
              </w:rPr>
            </w:pPr>
            <w:r w:rsidRPr="00AD2B60">
              <w:rPr>
                <w:rFonts w:asciiTheme="minorHAnsi" w:hAnsiTheme="minorHAnsi" w:cstheme="minorHAnsi"/>
                <w:b/>
                <w:bCs/>
                <w:sz w:val="20"/>
                <w:szCs w:val="20"/>
              </w:rPr>
              <w:t xml:space="preserve">Overall quality (%) </w:t>
            </w:r>
          </w:p>
        </w:tc>
      </w:tr>
      <w:tr w:rsidR="00C72191" w:rsidRPr="00AD2B60" w14:paraId="5BD5F8EA"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463A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Traore et al. </w:t>
            </w:r>
          </w:p>
          <w:p w14:paraId="37FF409A"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2015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{"citationID":"xYTA3Hkd","properties":{"formattedCitation":"\\super 63\\nosupersub{}","plainCitation":"63","noteIndex":0},"citationItems":[{"id":1010,"uris":["http://zotero.org/users/1379219/items/MZVPFJFD"],"itemData":{"id":1010,"type":"article-journal","abstract":"INTRODUCTION: Although interventions to control HIV among high-risk groups such as female sex workers (FSW) are highly recommended in Africa, the contents and efficacy of these interventions are unclear. We therefore designed a comprehensive dedicated intervention targeting young FSW and assessed its impact on HIV incidence in Burkina Faso.\nMETHODS: Between September 2009 and September 2011 we conducted a prospective, interventional cohort study of FSW aged 18 to 25 years in Ouagadougou, with quarterly follow-up for a maximum of 21 months. The intervention combined prevention and care within the same setting, consisting of peer-led education sessions, psychological support, sexually transmitted infections and HIV care, general routine health care and reproductive health services. At each visit, behavioural characteristics were collected and HIV, HSV-2 and pregnancy were tested. We compared the cohort HIV incidence with a modelled expected incidence in the study population in the absence of intervention, using data collected at the same time from FSW clients.\nRESULTS: The 321 HIV-uninfected FSW enrolled in the cohort completed 409 person-years of follow-up. No participant seroconverted for HIV during the study (0/409 person-years), whereas the expected modelled number of HIV infections were 5.05/409 person-years (95% CI, 5.01-5.08) or 1.23 infections per 100 person-years (p=0.005). This null incidence was related to a reduction in the number of regular partners and regular clients, and by an increase in consistent condom use with casual clients (adjusted odds ratio (aOR)=2.19; 95% CI, 1.16-4.14, p=0.01) and with regular clients (aOR=2.18; 95% CI, 1.26-3.76, p=0.005).\nCONCLUSIONS: Combining peer-based prevention and care within the same setting markedly reduced the HIV incidence among young FSW in Burkina Faso, through reduced risky behaviours.","container-title":"Journal of the International AIDS Society","DOI":"10.7448/IAS.18.1.20088","ISSN":"1758-2652","issue":"1","journalAbbreviation":"J Int AIDS Soc","language":"eng","note":"PMID: 26374604\nPMCID: PMC4571618","page":"20088","source":"PubMed","title":"HIV prevention and care services for female sex workers: efficacy of a targeted community-based intervention in Burkina Faso","title-short":"HIV prevention and care services for female sex workers","volume":"18","author":[{"family":"Traore","given":"Isidore T."},{"family":"Meda","given":"Nicolas"},{"family":"Hema","given":"Noelie M."},{"family":"Ouedraogo","given":"Djeneba"},{"family":"Some","given":"Felicien"},{"family":"Some","given":"Roselyne"},{"family":"Niessougou","given":"Josiane"},{"family":"Sanon","given":"Anselme"},{"family":"Konate","given":"Issouf"},{"family":"Van De Perre","given":"Philippe"},{"family":"Mayaud","given":"Philippe"},{"family":"Nagot","given":"Nicolas"}],"issued":{"date-parts":[["2015"]]}}}],"schema":"https://github.com/citation-style-language/schema/raw/master/csl-citation.json"}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63</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5E2C5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Cohort Studies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8AC2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Unclear</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108C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N/A</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CA34D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9528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BFD0A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42E6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65AEF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6096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D2AB4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2736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1111E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79CB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3BFE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957C8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90</w:t>
            </w:r>
          </w:p>
        </w:tc>
      </w:tr>
      <w:tr w:rsidR="00C72191" w:rsidRPr="00AD2B60" w14:paraId="05E3E195"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BB0E9C"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MagalhãesI</w:t>
            </w:r>
            <w:proofErr w:type="spellEnd"/>
            <w:r w:rsidRPr="00AD2B60">
              <w:rPr>
                <w:rFonts w:asciiTheme="minorHAnsi" w:hAnsiTheme="minorHAnsi" w:cstheme="minorHAnsi"/>
                <w:sz w:val="20"/>
                <w:szCs w:val="20"/>
              </w:rPr>
              <w:t xml:space="preserve"> et al.</w:t>
            </w:r>
          </w:p>
          <w:p w14:paraId="352C5C3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2017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{"citationID":"GEObpImn","properties":{"formattedCitation":"\\super 53\\nosupersub{}","plainCitation":"53","noteIndex":0},"citationItems":[{"id":1052,"uris":["http://zotero.org/users/1379219/items/VEXY656Q"],"itemData":{"id":1052,"type":"article-journal","abstract":"OBJECTIVE:: to assess predictive factors for noncompletion of the hepatitis B vaccination schedule in female sex workers in the city of Teresina, Northeastern Brazil.\nMETHOD:: 402 women were interviewed and, for those who did not wish to visit specialized sites, or did not know their hepatitis B vaccination status, the vaccine was offered at their workplaces. Bi- and multivariate analyses were performed to identify potential predictors for noncompletion of the vaccination schedule.\nRESULTS:: of the 284 women eligible for vaccination, 258 (90.8%) received the second dose, 157/258 (60.8%) and 68/258 (26.3%) received the second and third doses, respectively. Working at clubs and consuming illicit drugs were predictors for noncompletion of the vaccination schedule.\nCONCLUSION:: the high acceptability of the vaccine's first dose, associated with low completion rates of the vaccination schedule in sex workers, shows the need for more persuasive strategies that go beyond offering the vaccine at their workplaces.\nOBJETIVO:: avaliar fatores preditores de não completude do esquema vacinal contra hepatite B em mulheres que se prostituem em Teresina, Nordeste do Brasil.\nMÉTODO:: Um total de 402 mulheres foi entrevistado e, para as que se negaram a irem a lugares especializados, ou desconheciam sua situação vacinal contra hepatite B, a vacina foi oferecida no local do trabalho. Análises bi e multivariadas foram realizadas para identificar potenciais preditores de não completude do esquema vacinal.\nRESULTADOS:: Das 284 mulheres elegíveis para vacinação, 258 (90,8%) receberam a primeira dose, 157/258 (60,8%) e 68/258 (26,3%) receberam a segunda e terceira doses. Trabalhar em boates e consumir drogas ilícitas foram preditores de não completude do esquema vacinal (p&lt;0,05).\nCONCLUSÃO:: A elevada aceitabilidade da primeira dose da vacina, associada à baixa completude do esquema vacinal em profissionais do sexo, evidencia a necessidade de estratégia mais persuasiva que vá além da oferta da vacina no local de trabalho.","container-title":"Revista Brasileira De Enfermagem","DOI":"10.1590/0034-7167-2016-0567","ISSN":"1984-0446","issue":"3","journalAbbreviation":"Rev Bras Enferm","language":"eng, por","note":"PMID: 28562795","page":"489-494","source":"PubMed","title":"Low completion rate of hepatitis B vaccination in female sex workers","volume":"70","author":[{"family":"Magalhães","given":"Rosilane de Lima Brito"},{"family":"Teles","given":"Sheila Araújo"},{"family":"Reis","given":"Renata Karina"},{"family":"Galvão","given":"Marli Teresinha Gimeniz"},{"family":"Gir","given":"Elucir"}],"issued":{"date-parts":[["2017"]]}}}],"schema":"https://github.com/citation-style-language/schema/raw/master/csl-citation.json"}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53</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D9EF1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Cohort Studies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B601A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6B05C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CA133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Unclear</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FEFF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6751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B5E89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A8B36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792B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472E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Unclear</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7A2FB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540B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119AF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26C1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8918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82</w:t>
            </w:r>
          </w:p>
        </w:tc>
      </w:tr>
      <w:tr w:rsidR="00C72191" w:rsidRPr="00AD2B60" w14:paraId="51DBBA30"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51B612"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Leyva-Flores et al</w:t>
            </w:r>
          </w:p>
          <w:p w14:paraId="63C29911"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2013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{"citationID":"4M1Tdq9K","properties":{"formattedCitation":"\\super 52\\nosupersub{}","plainCitation":"52","noteIndex":0},"citationItems":[{"id":1042,"uris":["http://zotero.org/users/1379219/items/44HSJ8YB"],"itemData":{"id":1042,"type":"article-journal","container-title":"Salud Pública de México","ISSN":"0036-3634","language":"es","note":"publisher: Instituto Nacional de Salud Pública","page":"S31-S38","source":"SciELO","title":"Acceso a servicios de prevención de its y vih en trabajadoras sexuales en zonas fronterizas de Centroamérica","volume":"55","author":[{"family":"Leyva-Flores","given":"René"},{"family":"Quintino-Pérez","given":"Frida"},{"family":"Figueroa-Lara","given":"Alejandro"},{"family":"Cuadra","given":"Magali"},{"family":"Smith","given":"Dee"},{"family":"García","given":"Carmen"}],"issued":{"date-parts":[["2013",7]]}}}],"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52</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771AC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4B63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CF8A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C18A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5A8D6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0181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D9ED0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5D20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6EC6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18C69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86B8F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73959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F310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48AB9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B95B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67</w:t>
            </w:r>
          </w:p>
        </w:tc>
      </w:tr>
      <w:tr w:rsidR="00C72191" w:rsidRPr="00AD2B60" w14:paraId="27ED955F"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82B780"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 </w:t>
            </w:r>
            <w:proofErr w:type="spellStart"/>
            <w:r w:rsidRPr="00AD2B60">
              <w:rPr>
                <w:rFonts w:asciiTheme="minorHAnsi" w:hAnsiTheme="minorHAnsi" w:cstheme="minorHAnsi"/>
                <w:sz w:val="20"/>
                <w:szCs w:val="20"/>
              </w:rPr>
              <w:t>Vassall</w:t>
            </w:r>
            <w:proofErr w:type="spellEnd"/>
            <w:r w:rsidRPr="00AD2B60">
              <w:rPr>
                <w:rFonts w:asciiTheme="minorHAnsi" w:hAnsiTheme="minorHAnsi" w:cstheme="minorHAnsi"/>
                <w:sz w:val="20"/>
                <w:szCs w:val="20"/>
              </w:rPr>
              <w:t xml:space="preserve"> et al.</w:t>
            </w:r>
          </w:p>
          <w:p w14:paraId="32C69134"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2014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{"citationID":"ccp3iAb6","properties":{"formattedCitation":"\\super 64\\nosupersub{}","plainCitation":"64","noteIndex":0},"citationItems":[{"id":1026,"uris":["http://zotero.org/users/1379219/items/TZ3L5EX2"],"itemData":{"id":1026,"type":"article-journal","abstract":"Background\nMost HIV prevention for female sex workers (FSWs) focuses on individual behaviour change involving peer educators, condom promotion and the provision of sexual health services. However, there is a growing recognition of the need to address broader societal, contextual and structural factors contributing to FSW risk behaviour. We assess the cost-effectiveness of adding community mobilisation (CM) and empowerment interventions (eg. community mobilisation, community involvement in programme management and services, violence reduction, and addressing legal policies and police practices), to core HIV prevention services delivered as part of Avahan in two districts (Bellary and Belgaum) of Karnataka state, Southern India.\n\nMethods\nAn ingredients approach was used to estimate economic costs in US$ 2011 from an HIV programme perspective of CM and empowerment interventions over a seven year period (2004–2011). Incremental impact, in terms of HIV infections averted, was estimated using a two-stage process. An ‘exposure analysis’ explored whether exposure to CM was associated with FSW’s empowerment, risk behaviours and HIV/STI prevalence. Pathway analyses were then used to estimate the extent to which behaviour change may be attributable to CM and to inform a dynamic HIV transmission model.\n\nFindings\nThe incremental costs of CM and empowerment were US$ 307,711 in Belgaum and US$ 592,903 in Bellary over seven years (2004–2011). Over a 7-year period (2004–2011) the mean (standard deviation, sd.) number of HIV infections averted through CM and empowerment is estimated to be 1257 (308) in Belgaum and 2775 (1260) in Bellary. This translates in a mean (sd.) incremental cost per disability adjusted life year (DALY) averted of US$ 14.12 (3.68) in Belgaum and US$ 13.48 (6.80) for Bellary - well below the World Health Organisation recommended willingness to pay threshold for India. When savings from ART are taken into account, investments in CM and empowerment are cost saving.\n\nConclusions\nOur findings suggest that CM and empowerment is, at worst, highly cost-effective and, at best, a cost-saving investment from an HIV programme perspective. CM and empowerment interventions should therefore be considered as core components of HIV prevention programmes for FSWs.","container-title":"PLoS ONE","DOI":"10.1371/journal.pone.0110562","ISSN":"1932-6203","issue":"10","journalAbbreviation":"PLoS One","note":"PMID: 25333501\nPMCID: PMC4204894","page":"e110562","source":"PubMed Central","title":"Community Mobilisation and Empowerment Interventions as Part of HIV Prevention for Female Sex Workers in Southern India: A Cost-Effectiveness Analysis","title-short":"Community Mobilisation and Empowerment Interventions as Part of HIV Prevention for Female Sex Workers in Southern India","volume":"9","author":[{"family":"Vassall","given":"Anna"},{"family":"Chandrashekar","given":"Sudhashree"},{"family":"Pickles","given":"Michael"},{"family":"Beattie","given":"Tara S."},{"family":"Shetty","given":"Govindraj"},{"family":"Bhattacharjee","given":"Parinita"},{"family":"Boily","given":"Marie-Claude"},{"family":"Vickerman","given":"Peter"},{"family":"Bradley","given":"Janet"},{"family":"Alary","given":"Michel"},{"family":"Moses","given":"Stephen"},{"family":"Watts","given":"Charlotte"}],"issued":{"date-parts":[["2014",10,21]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64</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D3A5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746CF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4B9D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D92CF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9FCA3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E686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7A33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C40C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DF20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N/A</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BBBD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50BAE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0284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B6519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65A66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D003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63</w:t>
            </w:r>
          </w:p>
        </w:tc>
      </w:tr>
      <w:tr w:rsidR="00C72191" w:rsidRPr="00AD2B60" w14:paraId="73BB77F3"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88261E"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Marin et al.</w:t>
            </w:r>
          </w:p>
          <w:p w14:paraId="622B271C"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2015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{"citationID":"hNMfZdZa","properties":{"formattedCitation":"\\super 54\\nosupersub{}","plainCitation":"54","noteIndex":0},"citationItems":[{"id":1074,"uris":["http://zotero.org/users/1379219/items/5XG4T82T"],"itemData":{"id":1074,"type":"article-journal","abstract":"OBJECTIVE: The objective of this study was to propose a model of health care for sexual workers (SWs) and transvestites (Ts) groups who were historically excluded from health services.\nMATERIALS AND METHODS: A prospective descriptive/analytical study with an intervention stage was performed, focusing on the health status of SWs and Ts. Access to health system, inclusion into social programs, beneficiaries' participation, and rate of risk behaviors were variables measured before and after intervention that consist in a program based on promotion/prevention activities and complete health care service suitable to SW-T needs.\nRESULTS: Nine hundred and fifty SW-Ts were included. At baseline, 99.7% lacked health insurance and 90.1% had no access to the health care. These data were compared with those obtained after attention quadruplicated among SW because of the implementation of the program. Risky sexual behaviors were reduced by 25 times. SWs have their own leader of health institutions and coordinate themselves with the program's activities.\nCONCLUSION: Responsibility of the state's authorities on vulnerable groups must focus on their inclusion. To this end, health services must adapt themselves in order to attend those community groups with special needs. Active participation of the target population contributes to viability of this type of proposals, and it is essential for the project's success.","container-title":"The International Journal of Health Planning and Management","DOI":"10.1002/hpm.2234","ISSN":"1099-1751","issue":"3","journalAbbreviation":"Int J Health Plann Manage","language":"eng","note":"PMID: 24375746","page":"276-284","source":"PubMed","title":"Healthcare program for sex workers: a public health priority","title-short":"Healthcare program for sex workers","volume":"30","author":[{"family":"Marin","given":"Gustavo"},{"family":"Silberman","given":"Martin"},{"family":"Martinez","given":"Susana"},{"family":"Sanguinetti","given":"Carlos"}],"issued":{"date-parts":[["2015"]]}}}],"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54</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8851B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291B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8D364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92ED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36EC8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1C217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3D0E8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3165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D553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9ABC4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5CA7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A4BC1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D103D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E2DF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875B0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78</w:t>
            </w:r>
          </w:p>
        </w:tc>
      </w:tr>
      <w:tr w:rsidR="00C72191" w:rsidRPr="00AD2B60" w14:paraId="4398ED5C"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F59AC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Kerrigan et al.</w:t>
            </w:r>
          </w:p>
          <w:p w14:paraId="5E3F23D9"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2019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{"citationID":"8Lfa962w","properties":{"formattedCitation":"\\super 47\\nosupersub{}","plainCitation":"47","noteIndex":0},"citationItems":[{"id":1029,"uris":["http://zotero.org/users/1379219/items/5ZEAJH97"],"itemData":{"id":1029,"type":"article-journal","abstract":"OBJECTIVE: To determine the impact of a community empowerment model of combination HIV prevention (Project Shikamana) among female sex workers (FSW) in Iringa, Tanzania.\nMETHODS: We conducted a 2-community randomized trial. Intervention elements included the following: (1) Community-led drop-in center and mobilization activities; (2) venue-based peer education, condom distribution, and HIV testing; (3) peer service navigation; (4) provider sensitivity trainings; and (5) SMS reminders. We used time-location sampling to enroll 496 FSW and conducted a survey and blood draws to screen for HIV and assess viral load at 0 and 18 months. We conducted an intent-to-treat analysis using logistic and Poisson regression and inverse probability weighting for primary outcomes.\nRESULTS: The analysis included 171 HIV-positive and 216 HIV-negative FSW who completed baseline and 18-month study visits. Participants in the intervention were significantly less likely to become infected with HIV at 18-month follow-up (RR 0.38; P = 0.047), with an HIV incidence of 5.0% in the intervention vs. 10.4% control. Decreases in inconsistent condom use over time were significantly greater in the intervention (72.0%-43.6%) vs. control (68.8%-54.0%; RR 0.81, P = 0.042). At follow-up, we observed significant differences in behavioral HIV care continuum outcomes, and positive, but nonsignificant, increases in viral suppression (40.0%-50.6%) in the intervention vs. control (35.9%-47.4%). There was a strong association of between higher intervention exposure and HIV outcomes including viral suppression.\nCONCLUSIONS: Project Shikamana is the first trial of community empowerment-based combination prevention among FSW in Africa to show a significant reduction in HIV incidence warranting its broader implementation and evaluation.","container-title":"Journal of Acquired Immune Deficiency Syndromes (1999)","DOI":"10.1097/QAI.0000000000002123","ISSN":"1944-7884","issue":"2","journalAbbreviation":"J Acquir Immune Defic Syndr","language":"eng","note":"PMID: 31513552\nPMCID: PMC7393302","page":"141-148","source":"PubMed","title":"Project Shikamana: Community Empowerment-Based Combination HIV Prevention Significantly Impacts HIV Incidence and Care Continuum Outcomes Among Female Sex Workers in Iringa, Tanzania","title-short":"Project Shikamana","volume":"82","author":[{"family":"Kerrigan","given":"Deanna"},{"family":"Mbwambo","given":"Jessie"},{"family":"Likindikoki","given":"Samuel"},{"family":"Davis","given":"Wendy"},{"family":"Mantsios","given":"Andrea"},{"family":"Beckham","given":"S. Wilson"},{"family":"Leddy","given":"Anna"},{"family":"Shembilu","given":"Catherine"},{"family":"Mwampashi","given":"Ard"},{"family":"Aboud","given":"Said"},{"family":"Galai","given":"Noya"}],"issued":{"date-parts":[["2019",10,1]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47</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F232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4A1E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3013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136C8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37826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2CA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67522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C655E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DAC60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EADFA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936BA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5B8E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E3BB4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947D9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1F74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89</w:t>
            </w:r>
          </w:p>
        </w:tc>
      </w:tr>
      <w:tr w:rsidR="00C72191" w:rsidRPr="00AD2B60" w14:paraId="5E5B63D7"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D6B897"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Chakrapani et al. 2023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{"citationID":"VARVqNo7","properties":{"formattedCitation":"\\super 44\\nosupersub{}","plainCitation":"44","noteIndex":0},"citationItems":[{"id":1038,"uris":["http://zotero.org/users/1379219/items/EVDC4KG2"],"itemData":{"id":1038,"type":"article-journal","abstract":"Transgender women (TGW) in India, especially those who engage in sex work, are at high risk for HIV. Guided by the information-motivation-behavioral skills model and qualitative formative research findings, Sakhi (girlfriend), a 3-week smartphone-based pilot intervention consisting of short videos (one/week) and text messages (two/week), was implemented using a one-group pre- and post-test design to test its efficacy in promoting condom use and HIV testing among TGW (n = 50) who engage in sex work in Chennai. Changes in outcomes were assessed by conducting multivariable analyses using generalized estimating equations. Participants’ mean age was 26 years, and the mean monthly income was INR 21700 (USD 292). About one-third completed college, and 96% were HIV-negative. Significant changes in the desired direction were observed in the primary outcomes: condom use – decrease in the engagement of condomless anal sex with male partners (12% to 2%, p &lt; 0.05) and HIV testing – increase in intentions to undergo HIV testing every 6 months (34% to 86%, p &lt; 0.001); and in some of the secondary outcomes: decrease in alcohol use before sex, increase in intentions to use condoms consistently and increase in the well-being score. This study demonstrated the feasibility, acceptability, and preliminary efficacy of the Sakhi intervention and warrants a larger randomized trial among diverse subgroups in diverse settings.","container-title":"Venereology","DOI":"10.3390/venereology2010003","ISSN":"2674-0710","issue":"1","language":"en","license":"http://creativecommons.org/licenses/by/3.0/","note":"publisher: Multidisciplinary Digital Publishing Institute","page":"30-42","source":"www.mdpi.com","title":"A Smartphone-Based Pilot HIV Prevention Intervention (Sakhi) among Transgender Women Who Engage in Sex Work in India: Efficacy of a Pre- and Post-Test Quasi-Experimental Trial","title-short":"A Smartphone-Based Pilot HIV Prevention Intervention (Sakhi) among Transgender Women Who Engage in Sex Work in India","volume":"2","author":[{"family":"Chakrapani","given":"Venkatesan"},{"family":"Kumar","given":"Pushpesh"},{"family":"Kaur","given":"Jasvir"},{"family":"Shunmugam","given":"Murali"},{"family":"Mukherjee","given":"Debomita"}],"issued":{"date-parts":[["2023",3]]}}}],"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44</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44E5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E8FD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0E6F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79BD6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3847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E7D4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8429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A0619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DC96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480E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C2343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A56E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C5DBB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8A49C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E2D4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56</w:t>
            </w:r>
          </w:p>
        </w:tc>
      </w:tr>
      <w:tr w:rsidR="00C72191" w:rsidRPr="00AD2B60" w14:paraId="7A5B731D"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121CA6"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Ngo et al.</w:t>
            </w:r>
          </w:p>
          <w:p w14:paraId="18E1FB9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2023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{"citationID":"bY5iCbN7","properties":{"formattedCitation":"\\super 56\\nosupersub{}","plainCitation":"56","noteIndex":0},"citationItems":[{"id":1040,"uris":["http://zotero.org/users/1379219/items/YVF5GWT2"],"itemData":{"id":1040,"type":"article-journal","abstract":"BACKGROUND: Mobile health (mHealth) has been used to promote sexual and reproductive health (SRH) education and services; however, little is known about the use of mHealth to improve safe abortion knowledge and access to safe abortion services among female sex workers (FSWs). This study evaluated the feasibility and effectiveness of iConnect intervention through changes in knowledge on safe abortion and changes in perceived barriers to safe abortion services among FSWs in Vietnam.\nMETHODS: iConnect mobile app was developed as an interactive platform to deliver safe abortion education and referral to safe abortion services through short messaging services (SMS) enhanced by tele-counseling for 512 FSWs in Hanoi, Vietnam. A pretest-posttest evaluation was conducted using questionnaire-based phone interviews administered to 251 participants at baseline and 3 months following the intervention. Non-parametric tests evaluated the change in abortion knowledge, behaviors, and perceived barriers to safe abortion.\nRESULTS: There were significant improvements in the knowledge on safe abortion among the study participants. Specifically, FSWs' knowledge of correct gestational ages (≤22 weeks) for medical abortion increased from 78.9% at baseline to 96.8% (P=0.001). Knowledge of correct gestational ages for medical abortion at the private clinic increased from 45.3% to 63.1% (P=0.001). Knowledge on the consequences of unsafe abortion increased from 75.2% to 92.1% (P=0.001). In addition, perceived stigma and discrimination when seeking safe abortion decreased from 36.5% to 27.8% (P=0.036) and worry about the lack of confidentiality decreased from 23.3% to 15.5% (P=0.035).\nCONCLUSIONS: The evaluation results showed the initial effectiveness of a mobile app-based intervention in improving access to safe abortion information and services among FSWs. A future study is needed to establish the efficacy of the intervention for scaling up in Vietnam and elsewhere.","container-title":"mHealth","DOI":"10.21037/mhealth-22-41","ISSN":"2306-9740","journalAbbreviation":"Mhealth","language":"eng","note":"PMID: 36760784\nPMCID: PMC9902234","page":"3","source":"PubMed","title":"Effectiveness of mHealth intervention on safe abortion knowledge and perceived barriers to safe abortion services among female sex workers in Vietnam","volume":"9","author":[{"family":"Ngo","given":"Anh"},{"family":"Nguyen","given":"Van Thi"},{"family":"Phan","given":"Ha"},{"family":"Pham","given":"Van"},{"family":"Ngo","given":"Cuong"},{"family":"Nguyen","given":"Linh"},{"family":"Ha","given":"Toan"}],"issued":{"date-parts":[["2023"]]}}}],"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56</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7D063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63BD8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AA63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7701A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6C7E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E80F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95699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120D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56E27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3A550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BF18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DFD7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80CEB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87F7B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6CCC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56</w:t>
            </w:r>
          </w:p>
        </w:tc>
      </w:tr>
      <w:tr w:rsidR="00C72191" w:rsidRPr="00AD2B60" w14:paraId="6930A3E6"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5C2AE7"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Vazquez et al. </w:t>
            </w:r>
          </w:p>
          <w:p w14:paraId="67E6B40F"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2024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{"citationID":"7QbCY9tA","properties":{"formattedCitation":"\\super 65\\nosupersub{}","plainCitation":"65","noteIndex":0},"citationItems":[{"id":1024,"uris":["http://zotero.org/users/1379219/items/MFFPT6G9"],"itemData":{"id":1024,"type":"article-journal","abstract":"This randomized pilot project evaluated an intervention promoting health care literacy around HIV, pre-exposure prophylaxis (PrEP), and stigma reduction using private social media groups that complemented existing HIV prevention services among female sex workers (FSWs) in Cameroon. The intervention was 12 HIV and sexual health videos tailored to FSWs that were released over 8 weeks through a secret Facebook group platform. In-person surveys were administered before, after the intervention, and three months later. No HIV seroconversions were detected; all participants completed follow-up and agreed to recommend the intervention to a coworker. Although the intervention was assessed to be acceptable and feasible to implement, poor internet connectivity was a key barrier. In time-series analysis, the intervention group participants reported improved PrEP interest, PrEP knowledge, and condom use along with reduced PrEP and HIV-related stigma, but no impact on sex-work related stigma or social cohesion. Similar results occurred in the control group. Cross-contamination and small pilot study size might have hindered the ability to detect the differential impact of this intervention. As communications technology increases in Cameroon, it is essential to learn more about FSWs preferences on the use of social media platforms for HIV prevention strategies.","container-title":"AIDS care","DOI":"10.1080/09540121.2023.2275048","ISSN":"1360-0451","issue":"4","journalAbbreviation":"AIDS Care","language":"eng","note":"PMID: 37921364","page":"517-527","source":"PubMed","title":"Acceptability, feasibility and potential of an intervention using secret Facebook groups to complement existing HIV prevention strategies among female sex workers in Cameroon, a randomized pilot study","volume":"36","author":[{"family":"Vazquez Guillamet","given":"Laia J."},{"family":"Babey","given":"Mary Mah"},{"family":"Njah","given":"Mercy"},{"family":"Blake","given":"Hassanatu"},{"family":"Jasani","given":"Amy"},{"family":"Kyeng","given":"Rahel"},{"family":"Hao","given":"Jiaying"},{"family":"Long","given":"Dustin"},{"family":"Tih","given":"Pius"},{"family":"Turan","given":"Janet M."},{"family":"Khan","given":"Eveline Mboh"},{"family":"Dionne","given":"Jodie"}],"issued":{"date-parts":[["2024",4]]}}}],"schema":"https://github.com/citation-style-language/schema/raw/master/csl-citation.json"}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65</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96A2F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Quasi-Experimental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7308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C9CF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EF140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E088B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9C07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8F22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F0EC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7844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8A34F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DCE4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7F53A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83F8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69D11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66DD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89</w:t>
            </w:r>
          </w:p>
        </w:tc>
      </w:tr>
      <w:tr w:rsidR="00C72191" w:rsidRPr="00AD2B60" w14:paraId="3766A27B"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0CA3BF"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Wechsberg</w:t>
            </w:r>
            <w:proofErr w:type="spellEnd"/>
            <w:r w:rsidRPr="00AD2B60">
              <w:rPr>
                <w:rFonts w:asciiTheme="minorHAnsi" w:hAnsiTheme="minorHAnsi" w:cstheme="minorHAnsi"/>
                <w:sz w:val="20"/>
                <w:szCs w:val="20"/>
              </w:rPr>
              <w:t xml:space="preserve"> et al.</w:t>
            </w:r>
          </w:p>
          <w:p w14:paraId="21F28D29"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2006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{"citationID":"u9MRPlMY","properties":{"formattedCitation":"\\super 66\\nosupersub{}","plainCitation":"66","noteIndex":0},"citationItems":[{"id":1036,"uris":["http://zotero.org/users/1379219/items/WMAUYGGM"],"itemData":{"id":1036,"type":"article-journal","abstract":"This paper describes an HIV prevention intervention designed in the US that was adapted and implemented in South Africa. Using an experimental design, 93 women who reported recent substance use and sex trading were randomly assigned to a modified Standard HIV intervention or to a Woman-Focused HIV prevention intervention. Eighty women completed the one-month follow-up interview. Participants reported high rates of sexual risk and violence at baseline. At follow-up, findings showed decreases in the proportion of women reporting unprotected sex and the daily use of alcohol and cocaine. Daily alcohol and cocaine use decreased more for women receiving the Woman-Focused intervention. Although violence continued to be a problem, at follow-up Woman-Focused participants reported being victimized less often than women receiving the Standard intervention. This study demonstrates the feasibility of implementing cross-cultural behavioral HIV prevention interventions, and supports the need for future studies of women's contextual issues and the effectiveness of targeted interventions.","container-title":"AIDS and behavior","DOI":"10.1007/s10461-005-9036-8","ISSN":"1090-7165","issue":"2","journalAbbreviation":"AIDS Behav","language":"eng","note":"PMID: 16482408","page":"131-137","source":"PubMed","title":"Substance use, sexual risk, and violence: HIV prevention intervention with sex workers in Pretoria","title-short":"Substance use, sexual risk, and violence","volume":"10","author":[{"family":"Wechsberg","given":"Wendee M."},{"family":"Luseno","given":"Winnie K."},{"family":"Lam","given":"Wendy K. K."},{"family":"Parry","given":"Charles D. H."},{"family":"Morojele","given":"Neo K."}],"issued":{"date-parts":[["2006",3]]}}}],"schema":"https://github.com/citation-style-language/schema/raw/master/csl-citation.json"}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66</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E2F4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Randomized controlled trial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08279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E35DE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6AB3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3CC6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3465E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61F6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F1C7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D3D29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341D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11A7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00BE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5BF9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3C47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412E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54</w:t>
            </w:r>
          </w:p>
        </w:tc>
      </w:tr>
      <w:tr w:rsidR="00C72191" w:rsidRPr="00AD2B60" w14:paraId="11D6CF6E"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740BBE"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Cowan et al.</w:t>
            </w:r>
          </w:p>
          <w:p w14:paraId="39F367AB"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{"citationID":"NMdd2a5N","properties":{"formattedCitation":"\\super 45\\nosupersub{}","plainCitation":"45","noteIndex":0},"citationItems":[{"id":1033,"uris":["http://zotero.org/users/1379219/items/C9E4BN25"],"itemData":{"id":1033,"type":"article-journal","abstract":"BACKGROUND: Strengthening engagement of female sex workers with health services is needed to eliminate HIV. We assessed the efficacy of a targeted combination intervention for female sex workers in Zimbabwe.\nMETHODS: We did a cluster-randomised trial from 2014 to 2016. Clusters were areas surrounding female sex worker clinics and were enrolled in matched pairs. Sites were randomly assigned (1:1) to receive usual care (free sexual-health services supported by peer educators, including HIV testing on demand, referral for antiretroviral therapy [ART], and health education) or an intervention that supported additional regular HIV testing, on-site initiation of ART, pre-exposure prophylaxis, adherence, and intensified community mobilisation. The primary outcome was the proportion of all female sex workers with HIV viral load 1000 copies per mL or greater, assessed through respondent-driven sampling surveys. We used an adapted cluster-summary approach to estimate risk differences. This trial is registered with Pan African Clinical Trials Registry, number PACTR201312000722390.\nRESULTS: We randomly assigned 14 clusters to usual care or the intervention (seven in each group). 3612 female sex workers attended clinics in the usual-care clusters and 4619 in the intervention clusters during the study. Half as many were tested (1151 vs 2606) and diagnosed as being HIV positive (546 vs 1052) in the usual-care clusters. The proportion of all female sex workers with viral loads of 1000 copies per mL or greater fell in both study groups (from 421 [30%] of 1363 to 279 [19%] of 1443 in the usual-care group and from 399 [30%] of 1303 to 240 [16%] of 1439 in the intervention group), but with a risk difference at the end of the assessment period of only -2·8% (95% CI -8·1 to 2·5, p=0·23). Among HIV-positive women, the proportions with viral loads less than 1000 copies per mL were 590 (68%) of 869 in the usual-care group and 588 (72%) of 828 in the intervention group at the end of the assessment period, adjusted risk difference of 5·3% (95% CI -4·0 to 14·6, p=0·20). There were no adverse events.\nINTERPRETATION: Our intervention of a dedicated programme for female sex workers led to high levels of HIV diagnosis and treatment. Further research is needed to optimise programme content and intensity for the broader population.\nFUNDING: UN Population Fund (through Zimbabwe's Integrated Support Fund funded by UK Department for International Development, Irish Aid, and Swedish International Development Cooperation Agency).","container-title":"The lancet. HIV","DOI":"10.1016/S2352-3018(18)30111-5","ISSN":"2352-3018","issue":"8","journalAbbreviation":"Lancet HIV","language":"eng","note":"PMID: 30030134","page":"e417-e426","source":"PubMed","title":"Targeted combination prevention to support female sex workers in Zimbabwe accessing and adhering to antiretrovirals for treatment and prevention of HIV (SAPPH-IRe): a cluster-randomised trial","title-short":"Targeted combination prevention to support female sex workers in Zimbabwe accessing and adhering to antiretrovirals for treatment and prevention of HIV (SAPPH-IRe)","volume":"5","author":[{"family":"Cowan","given":"Frances M."},{"family":"Davey","given":"Calum"},{"family":"Fearon","given":"Elizabeth"},{"family":"Mushati","given":"Phillis"},{"family":"Dirawo","given":"Jeffrey"},{"family":"Chabata","given":"Sungai"},{"family":"Cambiano","given":"Valentina"},{"family":"Napierala","given":"Sue"},{"family":"Hanisch","given":"Dagmar"},{"family":"Wong-Gruenwald","given":"Ramona"},{"family":"Masuka","given":"Nyasha"},{"family":"Mabugo","given":"Travor"},{"family":"Hatzold","given":"Karin"},{"family":"Mugurungi","given":"Owen"},{"family":"Busza","given":"Joanna"},{"family":"Phillips","given":"Andrew"},{"family":"Hargreaves","given":"James R."}],"issued":{"date-parts":[["2018",8]]}}}],"schema":"https://github.com/citation-style-language/schema/raw/master/csl-citation.json"}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45</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DCD77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Randomized controlled trial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31A5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557BB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777FE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72C71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4D950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BF4A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C692B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F6AE8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9322A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A61D6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C2576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9ED3B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E000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C31A5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77</w:t>
            </w:r>
          </w:p>
        </w:tc>
      </w:tr>
      <w:tr w:rsidR="00C72191" w:rsidRPr="00AD2B60" w14:paraId="41EA063D"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0758B"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Brody et al.</w:t>
            </w:r>
          </w:p>
          <w:p w14:paraId="560A4A62"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2022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{"citationID":"kJXy9Qg1","properties":{"formattedCitation":"\\super 43\\nosupersub{}","plainCitation":"43","noteIndex":0},"citationItems":[{"id":1031,"uris":["http://zotero.org/users/1379219/items/VPSXXVFJ"],"itemData":{"id":1031,"type":"article-journal","abstract":"BACKGROUND: Female entertainment workers (FEWs) in Cambodia experience a greater prevalence of human immunodeficiency virus (HIV), other sexually transmitted infections (STIs), psychological distress, substance abuse, and gender-based violence (GBV) than the general female population. Reaching FEWs with health education and linking them to services has been difficult because of their hidden and stigmatized status.\nOBJECTIVE: This study evaluated the efficacy of the Mobile Link intervention in improving FEWs' health by engaging and connecting them to existing HIV, sexual and reproductive health, and GBV services.\nMETHODS: A randomized controlled trial was conducted between March 2018 and June 2019 in the capital city and 3 other provinces in Cambodia. FEWs in the intervention arm received automated twice-weekly Short Message Service messages and voice messages with health information and direct links to outreach workers. The control group received the existing standard care, including free HIV and STI counseling and testing and a toll-free helpline staffed by trained counselors. We used a stratified random sampling method to select participants from 5 study sites in the 4 selected provinces. Initially, we randomly selected 600 participants from a list of 4000 FEWs by age group (18-24 and 25-30 years) and study site using a random number generator and enrolled them in person. The primary outcome measures included self-reported HIV and STI testing, condom use, and contraceptive use assessed through a face-to-face structured interview. We also measured secondary outcomes, including contact with outreach workers, escorted referral service use, forced drinking, and GBV experiences. Intervention effects were modeled using repeated measures, multilevel mixed-effects logistic regression.\nRESULTS: A total of 1118 participants were recruited and enrolled in the study. We included 218 FEWs in the intervention arm and 170 FEWs in the control arm in the per protocol analyses after removing 730 dropouts. Evidence of positive intervention effects was detected for the following secondary outcomes: contacting an outreach worker (at 30 weeks: adjusted odds ratio [AOR] 3.29, 95% CI 1.28-8.47), receiving an escorted referral (at 30 weeks: AOR 2.86, 95% CI 1.09-7.52; at 60 weeks: AOR 8.15, 95% CI 1.65-40.25), and never being forced to drink at work (at 60 weeks: AOR 3.95, 95% CI 1.62-9.60). Over time, no significant differences between intervention and control groups were observed for any primary outcomes in the fully adjusted models.\nCONCLUSIONS: The Mobile Link intervention effectively connected FEWs with outreach workers and escorted referrals but did not show an effect on primary outcomes. Reduced forced drinking at work was also significantly more extensive in the intervention group than in the control group. Longer-term messaging may increase access to services and impact FEWs' health outcomes in the future.\nTRIAL REGISTRATION: Clinicaltrials.gov NCT03117842; https://clinicaltrials.gov/ct2/show/NCT03117842.\nINTERNATIONAL REGISTERED REPORT IDENTIFIER (IRRID): RR2-10.1186/s13063-018-2614-7.","container-title":"Journal of Medical Internet Research","DOI":"10.2196/27696","ISSN":"1438-8871","issue":"1","journalAbbreviation":"J Med Internet Res","language":"eng","note":"PMID: 34982716\nPMCID: PMC8767471","page":"e27696","source":"PubMed","title":"A Mobile Intervention to Link Young Female Entertainment Workers in Cambodia to Health and Gender-Based Violence Services: Randomized Controlled Trial","title-short":"A Mobile Intervention to Link Young Female Entertainment Workers in Cambodia to Health and Gender-Based Violence Services","volume":"24","author":[{"family":"Brody","given":"Carinne"},{"family":"Chhoun","given":"Pheak"},{"family":"Tuot","given":"Sovannary"},{"family":"Fehrenbacher","given":"Anne E."},{"family":"Moran","given":"Alexander"},{"family":"Swendeman","given":"Dallas"},{"family":"Yi","given":"Siyan"}],"issued":{"date-parts":[["2022",1,4]]}}}],"schema":"https://github.com/citation-style-language/schema/raw/master/csl-citation.json"}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43</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D4793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Randomized controlled trial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3B87E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DA717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0421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548D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87F7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7F529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8F906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A4298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8B1B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25DB3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7EBB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AB12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B380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513EF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69</w:t>
            </w:r>
          </w:p>
        </w:tc>
      </w:tr>
      <w:tr w:rsidR="00C72191" w:rsidRPr="00AD2B60" w14:paraId="32984716"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FE30F2"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O’Farrell et al.</w:t>
            </w:r>
          </w:p>
          <w:p w14:paraId="37A8852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2008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{"citationID":"3ETpSNa8","properties":{"formattedCitation":"\\super 57\\nosupersub{}","plainCitation":"57","noteIndex":0},"citationItems":[{"id":1050,"uris":["http://zotero.org/users/1379219/items/5IFGZWL7"],"itemData":{"id":1050,"type":"article-journal","abstract":"The aim of this study was to assess changes in sexually transmitted infections (STI) related care following a STI project with a particular focus on registered brothel-based (direct) female sex workers (DFSWs) in four border provinces of Cambodia. A survey of health care facilities providing STI care was undertaken and the results compared with a baseline survey done two years previously. The main components of the project were: renovation of the STI clinics, STI training, formation of mobile teams, provision of STI drugs, and the introduction of basic laboratory tests at STI clinics. Interviews were held with health care providers and STI patients and a manual check was made of the STI register and special forms for DFSWs. Clinical management of STI cases was assessed for DFSWs, women with vaginal discharge and men with urethral discharge. Advice given to clients about condom use, partner notification and STI education was assessed and availability of STI drugs was reviewed. STI clinic attendance by DFSWs each month increased from 72% (296/412) to 93% (459/496). The proportion of DFSWs diagnosed with presumed STIs decreased from 86.5% (256/296) to 25.5% (117/459) and cervicitis from 32.8% (135/412) to 12.6% (58/459). The percentage of men attending STI clinics decreased from 26.9% (251/933) to 9.4% (102/1,080). The proportion of presumed STI cases/all cases attending health centers decreased from 7.0% (934/13,177) to 4.3% (739/17,224). The introduction of laboratory tests coincided with a marked reduction in DFSWs diagnosed with cervicitis. Further validation studies are required to determine whether this reduction was accompanied by a real decrease in gonorrhea and chlamydia.","container-title":"The Southeast Asian Journal of Tropical Medicine and Public Health","ISSN":"0125-1562","issue":"5","journalAbbreviation":"Southeast Asian J Trop Med Public Health","language":"eng","note":"PMID: 19058582","page":"867-875","source":"PubMed","title":"Changes in STI services following a community based STI-intervention project in Cambodia","volume":"39","author":[{"family":"O'Farrell","given":"Nigel"},{"family":"Sano","given":"Phal"},{"family":"Sopheap","given":"Seng"},{"family":"Heng","given":"Lon Say"},{"family":"Sun","given":"Ly Penh"},{"family":"Vun","given":"Mean Chhi"},{"family":"Fylkesnes","given":"Knut"},{"family":"Godwin","given":"Peter"}],"issued":{"date-parts":[["2008",9]]}}}],"schema":"https://github.com/citation-style-language/schema/raw/master/csl-citation.json"}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57</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865A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30C4F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1C10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7F0E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C1BE5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EDF3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6779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16675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87F68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0A2AF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E4C2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5B22A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DD90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CCD5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AD977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63</w:t>
            </w:r>
          </w:p>
        </w:tc>
      </w:tr>
      <w:tr w:rsidR="00C72191" w:rsidRPr="00AD2B60" w14:paraId="43953639"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BD9D5"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Reza-Paul et al.</w:t>
            </w:r>
          </w:p>
          <w:p w14:paraId="711074C0"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2008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{"citationID":"fEh1I4qf","properties":{"formattedCitation":"\\super 61\\nosupersub{}","plainCitation":"61","noteIndex":0},"citationItems":[{"id":1072,"uris":["http://zotero.org/users/1379219/items/D3X65LBS"],"itemData":{"id":1072,"type":"article-journal","abstract":"OBJECTIVE: To investigate the impact on sexual behaviour and sexually transmitted infections (STI) of a comprehensive community-led intervention programme for reducing sexual risk among female sex workers (FSW) in Mysore, India. The key programme components were: community mobilization and peer-mediated outreach; increasing access to and utilization of sexual health services; and enhancing the enabling environment to support programme activities.\nMETHODS: Two cross-sectional surveys among random samples of FSW were conducted 30 months apart, in 2004 and 2006.\nRESULTS: Of over 1000 women who sell sex in Mysore city, 429 participated in the survey at baseline and 425 at follow-up. The median age was 30 years, median duration in sex work 4 years, and the majority were street based (88%). Striking increases in condom use were seen between baseline and follow-up surveys: condom use at last sex with occasional clients was 65% versus 90%, P &lt; 0001; with repeat clients 53% versus 66%, P &lt; 0.001; and with regular partners 7% versus 30%, P &lt; 0.001. STI prevalence declined from baseline to follow-up: syphilis 25% versus 12%, P &lt; 0.001; trichomonas infection 33% versus 14%, P &lt; 0.001; chlamydial infection 11% versus 5%, P = 0.001; gonorrhoea 5% versus 2%, P = 0.03. HIV prevalence remained stable (26% versus 24%), and detuned assay testing suggested a decline in recent HIV infections.\nCONCLUSION: This comprehensive HIV preventive intervention empowering FSW has resulted in striking increases in reported condom use and a concomitant reduction in the prevalence of curable STI. This model should be replicated in similar urban settings across India.","container-title":"AIDS (London, England)","DOI":"10.1097/01.aids.0000343767.08197.18","ISSN":"1473-5571","journalAbbreviation":"AIDS","language":"eng","note":"PMID: 19098483","page":"S91-100","source":"PubMed","title":"Declines in risk behaviour and sexually transmitted infection prevalence following a community-led HIV preventive intervention among female sex workers in Mysore, India","volume":"22 Suppl 5","author":[{"family":"Reza-Paul","given":"Sushena"},{"family":"Beattie","given":"Tara"},{"family":"Syed","given":"Hafeez Ur Rahman"},{"family":"Venukumar","given":"Koppal T."},{"family":"Venugopal","given":"Mysore S."},{"family":"Fathima","given":"Mary P."},{"family":"Raghavendra","given":"H. R."},{"family":"Akram","given":"Pasha"},{"family":"Manjula","given":"Ramaiah"},{"family":"Lakshmi","given":"M."},{"family":"Isac","given":"Shajy"},{"family":"Ramesh","given":"Banadakoppa M."},{"family":"Washington","given":"Reynold"},{"family":"Mahagaonkar","given":"Sangameshwar B."},{"family":"Glynn","given":"Judith R."},{"family":"Blanchard","given":"James F."},{"family":"Moses","given":"Stephen"}],"issued":{"date-parts":[["2008",12]]}}}],"schema":"https://github.com/citation-style-language/schema/raw/master/csl-citation.json"}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61</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5BE8A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FA29A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D190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6EDB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9CE0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91F93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12E44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BAF0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6DE2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85A85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978BC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98B3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BF5D1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2B1C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4A7C7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75</w:t>
            </w:r>
          </w:p>
        </w:tc>
      </w:tr>
      <w:tr w:rsidR="00C72191" w:rsidRPr="00AD2B60" w14:paraId="625E0C43"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4DF881"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Garcia et al.</w:t>
            </w:r>
          </w:p>
          <w:p w14:paraId="204357DD"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{"citationID":"4Zy6GrlS","properties":{"formattedCitation":"\\super 60\\nosupersub{}","plainCitation":"60","noteIndex":0},"citationItems":[{"id":1063,"uris":["http://zotero.org/users/1379219/items/NBD5HHPQ"],"itemData":{"id":1063,"type":"article-journal","abstract":"Objective\nTo describe and compare trends in prevalence, sexual behaviour and HIV transmission knowledge data related to sexually transmitted infections (STI) and HIV in patients attending three STI clinics over an 8-year period in Escuintla Department, Guatemala.\n\nMethods\nSTI clinic attendees were classified into transmission groups as follows: female sex workers (FSW), men who have sex with men (MSM) and ‘high-risk heterosexuals’ (HRH). Annual cross-sectional analysis and multivariable Poisson regression adjusted for sociodemographic variables were used for prevalence comparisons and adjusted prevalence trends for HIV/STI outcomes and used for adjusted trends in proportions in sexual behaviour and HIV transmission knowledge outcomes. Endocervical swabs were obtained to detect trichomonas, chlamydia and neisseria infections. Serologies for syphilis and HIV were performed using rapid tests. For reactive HIV samples, positivity was confirmed by an ELISA. All reactive syphilis samples were further confirmed for diagnosis of active syphilis disease.\n\nResults\nFrom a total of 4027 clinic attendees, 3213 (79.78%) were FSW, 229 (5.69%) were MSM and 585 (14.53%) were HRH. The proportion of FSW, MSM and HRH who had a single visit was 56.42%, 57.23% and 91.10%, respectively. Overall, HIV prevalence was 2.10% in FSW, 8.17% in MSM and 4.12% in HRH. Prevalence trends in HIV and syphilis decreased in FSW. Prevalence trends in gonorrhoea did not decrease over time neither in FSW nor in HRH. Chlamydia and trichomonas infections in HRH showed an increase prevalence trend. In FSW, trends in condom use in last sexual intercourse with regular and occasional clients were above 93%.\n\nConclusions\nFSW show a decreasing trend in HIV, syphilis and chlamydia prevalence. Gonorrhoea prevalence in FSW and HRH did not decrease over time. HRH is a hard to engage population with low follow-up rates and high potential to act as a bridge population.","container-title":"BMJ Open","DOI":"10.1136/bmjopen-2018-022632","ISSN":"2044-6055","issue":"9","journalAbbreviation":"BMJ Open","note":"PMID: 30232112\nPMCID: PMC6150151","page":"e022632","source":"PubMed Central","title":"The UALE project: a cross-sectional approach for trends in HIV/STI prevalence among key populations attending STI clinics in Guatemala","title-short":"The UALE project","volume":"8","author":[{"family":"García","given":"Juan Ignacio"},{"family":"Sabidó","given":"Meritxell"},{"family":"Nikiforov","given":"Mikhail"},{"family":"Smith","given":"Adriana"},{"family":"Hernández","given":"Gabriela"},{"family":"Ortiz","given":"Rudy"},{"family":"Ardani","given":"Luis"},{"family":"Cajas","given":"Alba"},{"family":"Camey","given":"Elsy"},{"family":"Torrelles","given":"Jordi B"},{"family":"Wang","given":"Shu-Hua"},{"family":"Campbell","given":"Colin N J"},{"family":"Folch","given":"Cinta"},{"family":"Casabona","given":"Jordi"}],"issued":{"date-parts":[["2018",9,19]]}}}],"schema":"https://github.com/citation-style-language/schema/raw/master/csl-citation.json"}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60</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8E7B7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Cohort Studies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22AD2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9FB8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141B2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62733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EB133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C359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FAB5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CA37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6C51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63250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9016B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C46BE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B8B2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C7218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73</w:t>
            </w:r>
          </w:p>
        </w:tc>
      </w:tr>
      <w:tr w:rsidR="00C72191" w:rsidRPr="00AD2B60" w14:paraId="2229B667"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094679"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Beattie et al.</w:t>
            </w:r>
          </w:p>
          <w:p w14:paraId="77E16B84"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2010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{"citationID":"vMwrfcpU","properties":{"formattedCitation":"\\super 41\\nosupersub{}","plainCitation":"41","noteIndex":0},"citationItems":[{"id":1047,"uris":["http://zotero.org/users/1379219/items/YA77Q7CG"],"itemData":{"id":1047,"type":"article-journal","abstract":"Violence against female sex workers (FSWs) can impede HIV prevention efforts and contravenes their human rights. We developed a multi-layered violence intervention targeting policy makers, secondary stakeholders (police, lawyers, media), and primary stakeholders (FSWs), as part of wider HIV prevention programming involving &gt;60,000 FSWs in Karnataka state. This study examined if violence against FSWs is associated with reduced condom use and increased STI/HIV risk, and if addressing violence against FSWs within a large-scale HIV prevention program can reduce levels of violence against them.","container-title":"BMC Public Health","DOI":"10.1186/1471-2458-10-476","ISSN":"1471-2458","issue":"1","journalAbbreviation":"BMC Public Health","page":"476","source":"BioMed Central","title":"Violence against female sex workers in Karnataka state, south India: impact on health, and reductions in violence following an intervention program","title-short":"Violence against female sex workers in Karnataka state, south India","volume":"10","author":[{"family":"Beattie","given":"Tara SH"},{"family":"Bhattacharjee","given":"Parinita"},{"family":"Ramesh","given":"BM"},{"family":"Gurnani","given":"Vandana"},{"family":"Anthony","given":"John"},{"family":"Isac","given":"Shajy"},{"family":"Mohan","given":"HL"},{"family":"Ramakrishnan","given":"Aparajita"},{"family":"Wheeler","given":"Tisha"},{"family":"Bradley","given":"Janet"},{"family":"Blanchard","given":"James F."},{"family":"Moses","given":"Stephen"}],"issued":{"date-parts":[["2010",8,11]]}}}],"schema":"https://github.com/citation-style-language/schema/raw/master/csl-citation.json"}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41</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E6A5C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3BD9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DC11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6859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109E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46383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85B0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F8A70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2BC98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FE72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4E26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5F15B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D1B89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A37D4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8FEF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75</w:t>
            </w:r>
          </w:p>
        </w:tc>
      </w:tr>
      <w:tr w:rsidR="00C72191" w:rsidRPr="00AD2B60" w14:paraId="40D72769"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474624"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Lafort</w:t>
            </w:r>
            <w:proofErr w:type="spellEnd"/>
            <w:r w:rsidRPr="00AD2B60">
              <w:rPr>
                <w:rFonts w:asciiTheme="minorHAnsi" w:hAnsiTheme="minorHAnsi" w:cstheme="minorHAnsi"/>
                <w:sz w:val="20"/>
                <w:szCs w:val="20"/>
              </w:rPr>
              <w:t xml:space="preserve"> et al.</w:t>
            </w:r>
          </w:p>
          <w:p w14:paraId="0A5A99D0"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{"citationID":"VlC3s80n","properties":{"formattedCitation":"\\super 50\\nosupersub{}","plainCitation":"50","noteIndex":0},"citationItems":[{"id":1061,"uris":["http://zotero.org/users/1379219/items/3NDHFFXH"],"itemData":{"id":1061,"type":"article-journal","abstract":"Background Female sex workers (FSWs) have high risks for adverse sexual and reproductive health (SRH) outcomes, yet low access to services. Within an implementation research project enhancing uptake of SRH services by FSWs, we piloted a ‘diagonal’ intervention, which combined strengthening of FSW-targeted services (vertical) with making public health facilities more FSW-friendly (horizontal), and tested its effect.Methods The study applied a convergent parallel mixed-methods design to assess changes in access to SRH services. Results of structured interviews with FSWs pre-intervention (N=311) and thereafter (N=404) were compared with the findings of eight post-intervention focus group discussions (FGD) with FSWs and two with FSW-peer educators. Results Marked and statistically significant rises occurred in consistent condom use with all partners (from 55.3% to 67.7%), ever use of female condoms (37.9% to 54.5%), being tested for HIV in the past six months (56.0% to 76.6%), using contraception (84.5% to 95.4%), ever screened for cervical cancer (0.0% to 16.9%) and having ≥10 contacts with a peer educator in the past year (0.5% to 24.45%). Increases mostly resulted from FSW-targeted outreach, with no rise detected in utilization of public health facilities. FGD participants reported that some facilities had become more FSW-friendly, but barriers such as stock-outs, being asked for bribes and disrespectful treatment persisted.Conclusion The combination of expanding FSW-targeted SRH services with improving access to the public health services, resulted in an overall increased uptake of services, but almost exclusively because of the strengthened targeted (vertical) outreach services. Utilization of public SRH services had not yet increased and many barriers to access remained. Our diagonal approach was thus only successful in its vertical component. Improving access to the general health services remains nevertheless important and further research is needed how to reduce barriers. Ideally, the combination approach should be maintained and more successful approaches to increase utilization of public services should be explored.","container-title":"Frontiers in Public Health","DOI":"10.3389/fpubh.2018.00109","ISSN":"2296-2565","journalAbbreviation":"Front. Public Health","language":"English","note":"publisher: Frontiers","source":"Frontiers","title":"Impact of a “Diagonal” Intervention on Uptake of Sexual and Reproductive Health Services by Female Sex Workers in Mozambique: A Mixed-Methods Implementation Study","title-short":"Impact of a “Diagonal” Intervention on Uptake of Sexual and Reproductive Health Services by Female Sex Workers in Mozambique","URL":"https://www.frontiersin.org/journals/public-health/articles/10.3389/fpubh.2018.00109/full","volume":"6","author":[{"family":"Lafort","given":"Yves"},{"family":"Lessitala","given":"Faustino"},{"family":"Ismael de Melo","given":"Malica Sofia"},{"family":"Griffin","given":"Sally"},{"family":"Chersich","given":"Matthew"},{"family":"Delva","given":"Wim"}],"accessed":{"date-parts":[["2025",10,15]]},"issued":{"date-parts":[["2018",4,18]]}}}],"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50</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CB860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E1564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B7507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97807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7F96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9873C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FA24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21E5C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789E3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59B6A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C14AB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5BEF6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FB05D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B423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864F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63</w:t>
            </w:r>
          </w:p>
        </w:tc>
      </w:tr>
      <w:tr w:rsidR="00C72191" w:rsidRPr="00AD2B60" w14:paraId="69B2EF21"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0FB765"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lastRenderedPageBreak/>
              <w:t>Lafort</w:t>
            </w:r>
            <w:proofErr w:type="spellEnd"/>
            <w:r w:rsidRPr="00AD2B60">
              <w:rPr>
                <w:rFonts w:asciiTheme="minorHAnsi" w:hAnsiTheme="minorHAnsi" w:cstheme="minorHAnsi"/>
                <w:sz w:val="20"/>
                <w:szCs w:val="20"/>
              </w:rPr>
              <w:t xml:space="preserve"> et al.</w:t>
            </w:r>
          </w:p>
          <w:p w14:paraId="0AFB65C7"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{"citationID":"vAhXtCS8","properties":{"formattedCitation":"\\super 49\\nosupersub{}","plainCitation":"49","noteIndex":0},"citationItems":[{"id":1058,"uris":["http://zotero.org/users/1379219/items/FMM75XYL"],"itemData":{"id":1058,"type":"article-journal","abstract":"Female sex workers (FSWs) in many settings have restricted access to sexual and reproductive health (SRH) services. We therefore conducted an implementation study to test a ‘diagonal’ intervention which combined strengthening of FSW-targeted services (vertical) with making public health facilities more FSW-friendly (horizontal). We piloted it over 18 months and then assessed its performance.","container-title":"BMC Health Services Research","DOI":"10.1186/s12913-018-3555-2","ISSN":"1472-6963","issue":"1","journalAbbreviation":"BMC Health Services Research","page":"752","source":"BioMed Central","title":"Feasibility, acceptability and potential sustainability of a ‘diagonal’ approach to health services for female sex workers in Mozambique","volume":"18","author":[{"family":"Lafort","given":"Yves"},{"family":"Ismael de Melo","given":"Malica Sofia"},{"family":"Lessitala","given":"Faustino"},{"family":"Griffin","given":"Sally"},{"family":"Chersich","given":"Matthew"},{"family":"Delva","given":"Wim"}],"issued":{"date-parts":[["2018",10,3]]}}}],"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49</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C2CB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CCC69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A913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D13A4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B58D1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24FE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F0DCC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52F2D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C256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74033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D09A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9663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2946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355F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366AF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25</w:t>
            </w:r>
          </w:p>
        </w:tc>
      </w:tr>
      <w:tr w:rsidR="00C72191" w:rsidRPr="00AD2B60" w14:paraId="66DCC979"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8CBDED"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Lafort</w:t>
            </w:r>
            <w:proofErr w:type="spellEnd"/>
            <w:r w:rsidRPr="00AD2B60">
              <w:rPr>
                <w:rFonts w:asciiTheme="minorHAnsi" w:hAnsiTheme="minorHAnsi" w:cstheme="minorHAnsi"/>
                <w:sz w:val="20"/>
                <w:szCs w:val="20"/>
              </w:rPr>
              <w:t xml:space="preserve"> et al.</w:t>
            </w:r>
          </w:p>
          <w:p w14:paraId="025EE705"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2018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{"citationID":"CKsroHbz","properties":{"formattedCitation":"\\super 48\\nosupersub{}","plainCitation":"48","noteIndex":0},"citationItems":[{"id":1069,"uris":["http://zotero.org/users/1379219/items/JGAXEYN6"],"itemData":{"id":1069,"type":"article-journal","abstract":"OBJECTIVES: To enhance uptake of sexual and reproductive health (SRH) services by female sex workers (FSWs), we conducted an implementation study in which we piloted and tested context-specific 'diagonal' interventions, combining vertical, targeted interventions with horizontally improved access to the general health services, in three cities in sub-Saharan Africa.\nMETHODS: We collected indicators of SRH service uptake through face-to-face interviews with approximately 400 FSWs, pre- and post-intervention, in Durban, South Africa; Tete, Mozambique; and Mombasa, Kenya, recruited by respondent-driven sampling. Changes in uptake were tested for their statistical significance using multivariate logistic regression models.\nRESULTS: In all cities, overall uptake of services increased. Having used all services for contraception, STI care, HIV testing, HIV care, cervical cancer screening and sexual violence, if needed, increased from 12.5% to 41.5% in Durban, 25.0% to 40.1% in Tete and 44.9% to 69.1% in Mombasa. Across cities, the effect was greatest in having been tested for HIV in the past six months which increased from 40.9% to 83.2% in Durban, 56.0% to 76.6% in Tete and 70.9% to 87.6% in Mombasa. In Tete and Mombasa, rise in SRH service use was almost entirely due to a greater uptake of targeted services. Only in Durban was there additionally an increase in the utilisation of general health services.\nCONCLUSION: SRH service utilisation improved in the short-term in three different sub-Saharan African contexts, primarily through vertical, targeted components. The long-term effectiveness of diagonal approaches, in particular on the use of general, horizontal health services, needs further investigation.","container-title":"Tropical medicine &amp; international health: TM &amp; IH","DOI":"10.1111/tmi.13072","ISSN":"1365-3156","issue":"7","journalAbbreviation":"Trop Med Int Health","language":"eng","note":"PMID: 29752836","page":"774-784","source":"PubMed","title":"Effect of a 'diagonal' intervention on uptake of HIV and reproductive health services by female sex workers in three sub-Saharan African cities","volume":"23","author":[{"family":"Lafort","given":"Yves"},{"family":"Greener","given":"Letitia"},{"family":"Lessitala","given":"Faustino"},{"family":"Chabeda","given":"Sophie"},{"family":"Greener","given":"Ross"},{"family":"Beksinska","given":"Mags"},{"family":"Gichangi","given":"Peter"},{"family":"Griffin","given":"Sally"},{"family":"Smit","given":"Jenni A."},{"family":"Chersich","given":"Matthew"},{"family":"Delva","given":"Wim"}],"issued":{"date-parts":[["2018",7]]}}}],"schema":"https://github.com/citation-style-language/schema/raw/master/csl-citation.json"}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48</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16DF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3F9E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67EE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7F9DB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3477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6A222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C542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2477C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1364C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0D360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DF66D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82E7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AE70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F06B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FD0586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75</w:t>
            </w:r>
          </w:p>
        </w:tc>
      </w:tr>
      <w:tr w:rsidR="00C72191" w:rsidRPr="00AD2B60" w14:paraId="157795C5"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2A2789"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Reza-Paul et al. 2019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{"citationID":"UwsrwHec","properties":{"formattedCitation":"\\super 58\\nosupersub{}","plainCitation":"58","noteIndex":0},"citationItems":[{"id":1066,"uris":["http://zotero.org/users/1379219/items/LSXHW69R"],"itemData":{"id":1066,"type":"article-journal","abstract":"Introduction\nWomen in developing countries continue to face barriers to accessing sexual and reproductive health (SRH) services, with marginalized women facing increased challenges to accessing care. The Diagonal Interventions to Fast-Forward Enhanced Reproductive Health (DIFFER) project implemented a package of interventions for female sex workers and women from the general population which integrated horizontal health services for the general population with existing vertical targeted interventions aimed at sex workers with an aim to improve SRH and HIV services. We present an outcome evaluation of the DIFFER project in terms of uptake rates for SRH services among sex workers in Mysore, India.\n\nMethods\nAshodaya Samithi, a sex worker-led organization, implemented the DIFFER strategy through their community-based clinic and a Well Women Clinic (WWC), established at a partner private hospital that provided SRH services for women living with HIV. Mixed methods were used to evaluate the intervention that included a baseline (2012–13) and end of project (2015–16) cross sectional surveys (CSS), focus group discussions (FGDs), key informant interviews, and analysis of service statistics from 2013–2016.\n\nResults\nThe CSS found that condom use, STI testing, and treatment were high before, and throughout the intervention; cervical cancer screening and treatment increased significantly, from 11.5% to 56% (aOR 9.85, p&lt;0.001) and HIV testing in the last 3 months increased from 26.3% to 73.3% (aOR 7.25, p&lt;0.001). The proportion of sex workers using any SRH service in the past year doubled from 25.7% to 51.4% (aOR 2.91, p&lt;0.001). Service statistics showed similar trends. The FGDs and key informant interviews showed that women and stakeholders held high levels of satisfaction with the strategy, and affirmed potential for scale up.\n\nConclusion\nThe DIFFER strategy demonstrated that SRH service uptake can occur in conjuction with HIV services offered to sex workers. This model of integrated service delivery has been accepted by policy makers and needs further analysis for scaling up.","container-title":"PLoS ONE","DOI":"10.1371/journal.pone.0218654","ISSN":"1932-6203","issue":"6","journalAbbreviation":"PLoS One","note":"PMID: 31226141\nPMCID: PMC6588234","page":"e0218654","source":"PubMed Central","title":"Delivering community-led integrated HIV and sexual and reproductive health services for sex workers: A mixed methods evaluation of the DIFFER study in Mysore, South India","title-short":"Delivering community-led integrated HIV and sexual and reproductive health services for sex workers","volume":"14","author":[{"family":"Reza-Paul","given":"Sushena"},{"family":"Lazarus","given":"Lisa"},{"family":"Maiya","given":"Raviprakash"},{"family":"Venukumar","given":"K. T."},{"family":"Lakshmi","given":"Bhagya"},{"family":"Roy","given":"Anuradha"},{"family":"Haldar","given":"Partha"},{"family":"Andina","given":"Michele"},{"family":"Lafort","given":"Yves"},{"family":"Lorway","given":"Robert"}],"issued":{"date-parts":[["2019",6,21]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58</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B80E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Cross-Sectional</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DA28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E0986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3FB0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01A07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6EC0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96B6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A97A3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C1E11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47AF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ECA5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B67A8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87429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137C7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99DB1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63</w:t>
            </w:r>
          </w:p>
        </w:tc>
      </w:tr>
      <w:tr w:rsidR="00C72191" w:rsidRPr="00AD2B60" w14:paraId="6356AF52"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B95CD1"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Lazarus et al.</w:t>
            </w:r>
          </w:p>
          <w:p w14:paraId="0D2A84E3"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2012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{"citationID":"kM9ELjDH","properties":{"formattedCitation":"\\super 51\\nosupersub{}","plainCitation":"51","noteIndex":0},"citationItems":[{"id":1017,"uris":["http://zotero.org/users/1379219/items/FTXV5ENV"],"itemData":{"id":1017,"type":"article-journal","abstract":"To meet the HIV prevention needs of sex workers in India, some community-based organizations have begun integrating peer education and community mobilization into community-led structural interventions. As the role of community-based organizations continues to expand into new service areas, it is important to understand how these new interventions are received. This agency assessment was done in collaboration with Ashodaya Samithi in 2009. Ashodaya Samithi is a community-based organization led by female, male, and transgendered sex workers. In the past year, HIV-positive sex workers of Ashodaya have registered their own organization, known as Ashraya. Based on qualitative findings, this study describes how community-based organizations can play an important role in improving access to care and antiretroviral treatment for sex workers. The rapid growth of Ashraya and its success at fostering social solidarity and large-scale structural interventions hold valuable lessons for community-based organizations and public health practitioners working in the field of HIV/AIDS.","container-title":"Journal of HIV/AIDS &amp; Social Services","DOI":"10.1080/15381501.2012.678132","ISSN":"1538-1501","issue":"2","note":"publisher: Taylor &amp; Francis\n_eprint: https://doi.org/10.1080/15381501.2012.678132","page":"152-168","source":"Taylor and Francis+NEJM","title":"Exploring the Role of Community-Based Peer Support in Improving Access to Care and Antiretroviral Treatment for Sex Workers in Mysore, India","volume":"11","author":[{"family":"Lazarus","given":"Lisa"},{"family":"Reza-Paul","given":"Sushena"},{"family":"Pasha","given":"Akram"},{"family":"Jairam","given":"Seema"},{"family":"Hafeez Ur Rahman","given":"Syed"},{"family":"O'Neil","given":"John"},{"family":"Lorway","given":"Robert"}],"issued":{"date-parts":[["2012",4,1]]}}}],"schema":"https://github.com/citation-style-language/schema/raw/master/csl-citation.json"}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51</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8AC7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D2D5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05F5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5610B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C890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B1F37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5E3E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96419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ED16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9492A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A943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A3E3E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6A24E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6768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9CEF34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90</w:t>
            </w:r>
          </w:p>
        </w:tc>
      </w:tr>
      <w:tr w:rsidR="00C72191" w:rsidRPr="00AD2B60" w14:paraId="40B3DB75"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90CB29"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Torri, 2014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{"citationID":"4TFYlE7u","properties":{"formattedCitation":"\\super 62\\nosupersub{}","plainCitation":"62","noteIndex":0},"citationItems":[{"id":1076,"uris":["http://zotero.org/users/1379219/items/LGGBBA6H"],"itemData":{"id":1076,"type":"article-journal","abstract":"Improving livelihoods through entrepreneurship activities and program implementation are increasingly considered as key drivers for enhancing health of the participants and reducing their proneness to diseases. Combined programs of entrepreneurship and health education have yet to be widely applied to the practice of promoting sexual health. However, there has been the emergence of small projects focused on both financial and educational aspects of sex workers. The objective of these programs is to favor the empowerment of vulnerable groups through skills training in order to decrease sexual risk among them. Considering the well-known structural links between poverty and HIV/AIDS, combined micro-enterprise development and health educational programs have been implemented among sex workers in order to reduce the risk of HIV/AIDS among these categories of women. This article aims to explore the potential of these combined programs of entrepreneurship and health education to create new models and strategies to improve sexual health among groups at greatest risk of infection such as the sex workers in Phnom Penh, Cambodia.","container-title":"International Journal of Health Promotion and Education","DOI":"10.1080/14635240.2014.890346","ISSN":"1463-5240","issue":"3","note":"publisher: Taylor &amp; Francis\n_eprint: https://doi.org/10.1080/14635240.2014.890346","page":"153-162","source":"Taylor and Francis+NEJM","title":"Micro-entrepreneurship programs and sexual health prevention among sex workers in Cambodia: is an integrative approach the way forward?","title-short":"Micro-entrepreneurship programs and sexual health prevention among sex workers in Cambodia","volume":"52","author":[{"family":"Torri","given":"Maria Costanza"}],"issued":{"date-parts":[["2014",5,4]]}}}],"schema":"https://github.com/citation-style-language/schema/raw/master/csl-citation.json"}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62</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CEACB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C5245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F6C4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BAB23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4E06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258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1EC8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8C6C4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22F38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E6498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0A48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5988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85A4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BAE8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3236A5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70</w:t>
            </w:r>
          </w:p>
        </w:tc>
      </w:tr>
      <w:tr w:rsidR="00C72191" w:rsidRPr="00AD2B60" w14:paraId="395A60A9"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F6EC66"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Dugas et al.</w:t>
            </w:r>
          </w:p>
          <w:p w14:paraId="71D7D72C"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2015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{"citationID":"rBr1Shcj","properties":{"formattedCitation":"\\super 46\\nosupersub{}","plainCitation":"46","noteIndex":0},"citationItems":[{"id":1013,"uris":["http://zotero.org/users/1379219/items/9HYLU4PR"],"itemData":{"id":1013,"type":"article-journal","abstract":"Background: \n          Regular voluntary counseling and testing is a key component of the fight against HIV/AIDS. In Benin, the project SIDA-1/2/3 established to decrease HIV/sexually transmitted infection (STIs) among female sex workers (FSWs), implemented a multifaceted intervention, including outreach activities. The objective of this article was to present potential advantages and limitations of 3 categories of outreach interventions designed to increase the use of testing services among FSWs in Benin.\n          Methods: \n          This analysis is based on ethnographic fieldwork conducted in Benin from June to December 2012.\n          Results: \n          Sixty-six FSWs and 24 health care workers were interviewed. Their narratives revealed 3 main factors impeding the development of appropriate HIV testing behavior. These negative elements can be positioned along a continuum of health care behaviors, with each stage of this continuum presenting its own challenges: fear or lack of motivation to use testing services, inaccessibility of care when the decision to go has been made, and a perceived lack of quality in the care offered at the health care center. Many of these needs seem to be addressed in the outreach strategies tested. However, the study also exposed some potential barriers or limitations to the success of these strategies when applied in this specific context, due to social disruption, mobility, access to care, and hard to reach population.\n          Conclusions: \n          To increase the use of testing services, an outreach strategy based on community workers or peer educators, along with improved access to testing services, would be well adapted to this context and appreciated by both FSWs and health care workers.","container-title":"JAIDS Journal of Acquired Immune Deficiency Syndromes","DOI":"10.1097/QAI.0000000000000463","ISSN":"1525-4135","language":"en-US","page":"S198","source":"journals.lww.com","title":"Outreach Strategies for the Promotion of HIV Testing and Care: Closing the Gap Between Health Services and Female Sex Workers in Benin","title-short":"Outreach Strategies for the Promotion of HIV Testing and Care","volume":"68","author":[{"family":"Dugas","given":"Marylène"},{"family":"Bédard","given":"Emmanuelle"},{"family":"Batona","given":"Georges"},{"family":"Kpatchavi","given":"Adolphe C."},{"family":"Guédou","given":"Fernand A."},{"family":"Dubé","given":"Eric"},{"family":"Alary","given":"Michel"}],"issued":{"date-parts":[["2015",3,1]]}}}],"schema":"https://github.com/citation-style-language/schema/raw/master/csl-citation.json"}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46</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66B63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68050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5190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EF3BE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DAC70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1CF1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41F7F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D1FC4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7B88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0297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43295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7005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F614B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850F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9A851E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80</w:t>
            </w:r>
          </w:p>
        </w:tc>
      </w:tr>
      <w:tr w:rsidR="00C72191" w:rsidRPr="00AD2B60" w14:paraId="10FD2B2D"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3AFC26"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Rosenberg &amp; </w:t>
            </w:r>
            <w:proofErr w:type="spellStart"/>
            <w:r w:rsidRPr="00AD2B60">
              <w:rPr>
                <w:rFonts w:asciiTheme="minorHAnsi" w:hAnsiTheme="minorHAnsi" w:cstheme="minorHAnsi"/>
                <w:sz w:val="20"/>
                <w:szCs w:val="20"/>
              </w:rPr>
              <w:t>Bakomeza</w:t>
            </w:r>
            <w:proofErr w:type="spellEnd"/>
          </w:p>
          <w:p w14:paraId="00E825F6"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2017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{"citationID":"fFwbNHqZ","properties":{"formattedCitation":"\\super 59\\nosupersub{}","plainCitation":"59","noteIndex":0},"citationItems":[{"id":1044,"uris":["http://zotero.org/users/1379219/items/A2RH8D98"],"itemData":{"id":1044,"type":"article-journal","abstract":"Although it is well known that refugees engage in sex work as a form of livelihood, stigma and silence around this issue persist within humanitarian circles. As a result, these refugees' sexual and reproductive health and rights, and related vulnerabilities, remain overlooked. Their protection and health needs, which are significant, often go unmet at the field level. In 2016, the Women's Refugee Commission and Reproductive Health Uganda partnered to pilot a peer-education intervention tailored to meet the needs of refugee women engaged in sex work in Kampala. Findings from the pilot project suggest the feasibility of adapting existing rights-based and evidence-informed interventions with sex workers to humanitarian contexts. Findings further demonstrate how taking a community empowerment approach can facilitate these refugees' access to a range of critical information, services and support options - from information on how to use contraceptives, to referrals for friendly HIV testing and treatment, to peer counselling and protective peer networks.","container-title":"Reproductive Health Matters","DOI":"10.1080/09688080.2017.1405674","ISSN":"1460-9576","issue":"51","journalAbbreviation":"Reprod Health Matters","language":"eng","note":"PMID: 29231800","page":"95-102","source":"PubMed","title":"Let's talk about sex work in humanitarian settings: piloting a rights-based approach to working with refugee women selling sex in Kampala","title-short":"Let's talk about sex work in humanitarian settings","volume":"25","author":[{"family":"Rosenberg","given":"Jennifer S."},{"family":"Bakomeza","given":"Denis"}],"issued":{"date-parts":[["2017",11]]}}}],"schema":"https://github.com/citation-style-language/schema/raw/master/csl-citation.json"}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59</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04EDE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7EF8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1D7C0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B7B1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1E392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83B40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9E847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C1F0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FDF1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E0CA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A875A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B7563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73A39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7E4B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BEE534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80</w:t>
            </w:r>
          </w:p>
        </w:tc>
      </w:tr>
      <w:tr w:rsidR="00C72191" w:rsidRPr="00AD2B60" w14:paraId="61EF9A5A"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6E1E29"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Ampt</w:t>
            </w:r>
            <w:proofErr w:type="spellEnd"/>
            <w:r w:rsidRPr="00AD2B60">
              <w:rPr>
                <w:rFonts w:asciiTheme="minorHAnsi" w:hAnsiTheme="minorHAnsi" w:cstheme="minorHAnsi"/>
                <w:sz w:val="20"/>
                <w:szCs w:val="20"/>
              </w:rPr>
              <w:t xml:space="preserve"> et al.</w:t>
            </w:r>
          </w:p>
          <w:p w14:paraId="2A87E94E"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2020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{"citationID":"UYjJD8pm","properties":{"formattedCitation":"\\super 40\\nosupersub{}","plainCitation":"40","noteIndex":0},"citationItems":[{"id":1055,"uris":["http://zotero.org/users/1379219/items/BQW83BII"],"itemData":{"id":1055,"type":"article-journal","abstract":"BACKGROUND: Female sex workers (FSWs) have high rates of both unintended pregnancy and HIV, but few health promotion interventions address their contraceptive needs or other sexual and reproductive health and rights (SRHR) concerns. A broader approach integrates contraceptive promotion with HIV and sexually transmitted infection (STI) prevention and management, alcohol awareness, gender-based violence and rights, and health care utilization. The Women's Health Intervention using SMS for Preventing Pregnancy (WHISPER) mobile phone intervention uses a participatory development approach and behavior change theory to address these high-priority concerns of FSWs in Mombasa, Kenya.\nOBJECTIVE: This paper aimed to (1) describe the process of development of the WHISPER intervention, its theoretical framework, key content domains and strategies and (2) explore workshop participants' responses to the proposed intervention, particularly with regard to message content, behavior change constructs, and feasibility and acceptability.\nMETHODS: The research team worked closely with FSWs in two phases of intervention development. First, we drafted content for three different types of messages based on a review of the literature and behavior change theories. Second, we piloted the intervention by conducting six workshops with 42 FSWs to test and refine message content and 12 interviews to assess the technical performance of the intervention. Workshop data were thematically analyzed using a mixed deductive and inductive approach.\nRESULTS: The intervention framework specified six SRHR domains that were viewed as highly relevant by FSWs. Reactions to intervention content revealed that social cognitive strategies to improve knowledge, outcome expectations, skills, and self-efficacy resonated well with workshop participants. Participants found the content empowering, and most said they would share the messages with others. The refined intervention was a 12-month SMS program consisting of informational and motivational messages, role model stories portraying behavior change among FSWs, and on-demand contraceptive information.\nCONCLUSIONS: Our results highlight the need for health promotion interventions that incorporate broader components of SRHR, not only HIV prevention. Using a theory-based, participatory approach, we developed a digital health intervention that reflects the complex reality of FSWs' lives and provides a feasible, acceptable approach for addressing SRHR concerns and needs. FSWs may benefit from health promotion interventions that provide relevant, actionable, and engaging content to support behavior change.","container-title":"JMIR mHealth and uHealth","DOI":"10.2196/15096","ISSN":"2291-5222","issue":"5","journalAbbreviation":"JMIR Mhealth Uhealth","language":"eng","note":"PMID: 32469326\nPMCID: PMC7293053","page":"e15096","source":"PubMed","title":"A Mobile Phone-Based Sexual and Reproductive Health Intervention for Female Sex Workers in Kenya: Development and Qualitative Study","title-short":"A Mobile Phone-Based Sexual and Reproductive Health Intervention for Female Sex Workers in Kenya","volume":"8","author":[{"family":"Ampt","given":"Frances H."},{"family":"L'Engle","given":"Kelly"},{"family":"Lim","given":"Megan S. C."},{"family":"Plourde","given":"Kate F."},{"family":"Mangone","given":"Emily"},{"family":"Mukanya","given":"Collins Mudogo"},{"family":"Gichangi","given":"Peter"},{"family":"Manguro","given":"Griffins"},{"family":"Hellard","given":"Margaret"},{"family":"Stoové","given":"Mark"},{"family":"Chersich","given":"Matthew F."},{"family":"Jaoko","given":"Walter"},{"family":"Agius","given":"Paul A."},{"family":"Temmerman","given":"Marleen"},{"family":"Wangari","given":"Winnie"},{"family":"Luchters","given":"Stanley"}],"issued":{"date-parts":[["2020",5,29]]}}}],"schema":"https://github.com/citation-style-language/schema/raw/master/csl-citation.json"}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40</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0E2A1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12BD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AAFA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101B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AB85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8EE80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829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04C01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93141"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365C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5457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9781F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627584"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3220B"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77DD8B6"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80</w:t>
            </w:r>
          </w:p>
        </w:tc>
      </w:tr>
      <w:tr w:rsidR="00C72191" w:rsidRPr="00AD2B60" w14:paraId="53882F8E"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15F8A" w14:textId="77777777" w:rsidR="00C72191" w:rsidRPr="00AD2B60" w:rsidRDefault="00C72191" w:rsidP="00192B09">
            <w:pPr>
              <w:spacing w:after="0" w:line="240" w:lineRule="auto"/>
              <w:rPr>
                <w:rFonts w:asciiTheme="minorHAnsi" w:hAnsiTheme="minorHAnsi" w:cstheme="minorHAnsi"/>
                <w:sz w:val="20"/>
                <w:szCs w:val="20"/>
              </w:rPr>
            </w:pPr>
            <w:proofErr w:type="spellStart"/>
            <w:r w:rsidRPr="00AD2B60">
              <w:rPr>
                <w:rFonts w:asciiTheme="minorHAnsi" w:hAnsiTheme="minorHAnsi" w:cstheme="minorHAnsi"/>
                <w:sz w:val="20"/>
                <w:szCs w:val="20"/>
              </w:rPr>
              <w:t>Mujugira</w:t>
            </w:r>
            <w:proofErr w:type="spellEnd"/>
            <w:r w:rsidRPr="00AD2B60">
              <w:rPr>
                <w:rFonts w:asciiTheme="minorHAnsi" w:hAnsiTheme="minorHAnsi" w:cstheme="minorHAnsi"/>
                <w:sz w:val="20"/>
                <w:szCs w:val="20"/>
              </w:rPr>
              <w:t xml:space="preserve"> et al. 2021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{"citationID":"NN3Mkafj","properties":{"formattedCitation":"\\super 55\\nosupersub{}","plainCitation":"55","noteIndex":0},"citationItems":[{"id":1021,"uris":["http://zotero.org/users/1379219/items/7RW72T95"],"itemData":{"id":1021,"type":"article-journal","abstract":"INTRODUCTION: HIV self-testing (HIVST) and oral pre-exposure prophylaxis (PrEP) are complementary, evidence-based, self-controlled HIV prevention tools that may be particularly appealing to sex workers. Understanding how HIVST and PrEP are perceived and used by sex workers and their intimate partners could inform prevention delivery for this population. We conducted qualitative interviews to examine ways in which HIVST and PrEP use influence prevention choices among sex workers in Uganda.\nMETHODS: Within a randomized trial of HIVST and PrEP among 110 HIV-negative cisgender women, cisgender men and transgender women sex workers (NCT03426670), we conducted 40 qualitative interviews with 30 sex workers and 10 intimate partners (June 2018 to January 2020). Sex worker interviews explored (a) experiences of using HIVST kits; (b) how HIVST was performed with sexual partners; (c) impact of HIVST on PrEP pill taking; and (d) sexual risk behaviours after HIVST. Partner interviews covered (i) introduction of HIVST; (ii) experiences of using HIVST; (iii) HIV status disclosure; and (iv) HIVST's effect on sexual behaviours. Data were analysed using an inductive content analytic approach centering on descriptive category development. Together, these categories detail the meaning of HIVST and PrEP for these qualitative participants.\nRESULTS: Using HIVST and PrEP was empowering for this group of sex workers and their partners. Three types of empowerment were observed: (a) economic; (b) relational; and (c) sexual health. (i) Using HIVST and PrEP made sex without condoms safer. Sex workers could charge more for condomless sex, which was empowering economically. (ii) Self-testing restored trust in partners' fidelity upon being reunited after a separation. This trust, in combination with condomless sex made possible by PrEP use, restored intimacy, empowering partnered relationships. (iii) HIVST and PrEP enabled sex workers to take control of their HIV prevention efforts and avoid the stigma of public clinic visits. In this way they were empowered to protect their sexual health.\nCONCLUSIONS: In this sample, sex workers' use of HIVST and PrEP benefitted not only prevention efforts, but also economic and relational empowerment. Understanding these larger benefits and communicating them to stakeholders could strengthen uptake and use of combination prevention interventions in this marginalized population.","container-title":"Journal of the International AIDS Society","DOI":"10.1002/jia2.25782","ISSN":"1758-2652","issue":"9","journalAbbreviation":"J Int AIDS Soc","language":"eng","note":"PMID: 34473405\nPMCID: PMC8412089","page":"e25782","source":"PubMed","title":"HIV self-testing and oral pre-exposure prophylaxis are empowering for sex workers and their intimate partners: a qualitative study in Uganda","title-short":"HIV self-testing and oral pre-exposure prophylaxis are empowering for sex workers and their intimate partners","volume":"24","author":[{"family":"Mujugira","given":"Andrew"},{"family":"Nakyanzi","given":"Agnes"},{"family":"Kasiita","given":"Vicent"},{"family":"Kamusiime","given":"Brenda"},{"family":"Nalukwago","given":"Grace K."},{"family":"Nalumansi","given":"Alisaati"},{"family":"Twesigye","given":"Chris C."},{"family":"Muwonge","given":"Timothy R."},{"family":"Baeten","given":"Jared M."},{"family":"Wyatt","given":"Monique A."},{"family":"Haberer","given":"Jessica E."},{"family":"Ware","given":"Norma C."}],"issued":{"date-parts":[["2021",9]]}}}],"schema":"https://github.com/citation-style-language/schema/raw/master/csl-citation.json"}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55</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AF9B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0BA1E0"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DDC8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1EBD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0F41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1DD0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9C70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158E9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0C2D6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63CCE"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77EC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569CBC"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7C45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C43AF5"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B16C4C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80</w:t>
            </w:r>
          </w:p>
        </w:tc>
      </w:tr>
      <w:tr w:rsidR="00C72191" w:rsidRPr="00AD2B60" w14:paraId="35C799C1" w14:textId="77777777" w:rsidTr="00192B09">
        <w:trPr>
          <w:cantSplit/>
          <w:trHeight w:val="624"/>
        </w:trPr>
        <w:tc>
          <w:tcPr>
            <w:tcW w:w="155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9540F1"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Boisvert et al.</w:t>
            </w:r>
          </w:p>
          <w:p w14:paraId="3AE915AC" w14:textId="77777777" w:rsidR="00C72191" w:rsidRPr="00AD2B60" w:rsidRDefault="00C72191" w:rsidP="00192B09">
            <w:pPr>
              <w:spacing w:after="0" w:line="240" w:lineRule="auto"/>
              <w:rPr>
                <w:rFonts w:asciiTheme="minorHAnsi" w:hAnsiTheme="minorHAnsi" w:cstheme="minorHAnsi"/>
                <w:sz w:val="20"/>
                <w:szCs w:val="20"/>
              </w:rPr>
            </w:pPr>
            <w:r w:rsidRPr="00AD2B60">
              <w:rPr>
                <w:rFonts w:asciiTheme="minorHAnsi" w:hAnsiTheme="minorHAnsi" w:cstheme="minorHAnsi"/>
                <w:sz w:val="20"/>
                <w:szCs w:val="20"/>
              </w:rPr>
              <w:t xml:space="preserve">2022 </w:t>
            </w:r>
            <w:r w:rsidRPr="00AD2B60">
              <w:rPr>
                <w:rFonts w:asciiTheme="minorHAnsi" w:hAnsiTheme="minorHAnsi" w:cstheme="minorHAnsi"/>
                <w:sz w:val="20"/>
                <w:szCs w:val="20"/>
              </w:rPr>
              <w:fldChar w:fldCharType="begin"/>
            </w:r>
            <w:r w:rsidRPr="00AD2B60">
              <w:rPr>
                <w:rFonts w:asciiTheme="minorHAnsi" w:hAnsiTheme="minorHAnsi" w:cstheme="minorHAnsi"/>
                <w:sz w:val="20"/>
                <w:szCs w:val="20"/>
              </w:rPr>
              <w:instrText xml:space="preserve"> ADDIN ZOTERO_ITEM CSL_CITATION {"citationID":"OqffD5jd","properties":{"formattedCitation":"\\super 42\\nosupersub{}","plainCitation":"42","noteIndex":0},"citationItems":[{"id":1018,"uris":["http://zotero.org/users/1379219/items/NMWA5ZMM"],"itemData":{"id":1018,"type":"article-journal","abstract":"In Benin, the burden of HIV is disproportionately high among female sex workers (FSWs). HIV testing and knowledge of status are starting points for HIV treatment and prevention interventions. Despite the importance given to testing services in HIV control, its uptake among FSWs remains suboptimal in Benin. HIV self-testing (HIVST) may be useful for increasing testing rates in FSWs.","container-title":"BMC Public Health","DOI":"10.1186/s12889-022-12917-3","ISSN":"1471-2458","issue":"1","journalAbbreviation":"BMC Public Health","page":"589","source":"BioMed Central","title":"HIV self-testing implementation, distribution and use among female sex workers in Cotonou, Benin: a qualitative evaluation of acceptability and feasibility","title-short":"HIV self-testing implementation, distribution and use among female sex workers in Cotonou, Benin","volume":"22","author":[{"family":"Boisvert Moreau","given":"Marianne"},{"family":"Kintin","given":"Frédéric D."},{"family":"Atchekpe","given":"Septime"},{"family":"Batona","given":"Georges"},{"family":"Béhanzin","given":"Luc"},{"family":"Guédou","given":"Fernand A."},{"family":"Gagnon","given":"Marie-Pierre"},{"family":"Alary","given":"Michel"}],"issued":{"date-parts":[["2022",3,26]]}}}],"schema":"https://github.com/citation-style-language/schema/raw/master/csl-citation.json"} </w:instrText>
            </w:r>
            <w:r w:rsidRPr="00AD2B60">
              <w:rPr>
                <w:rFonts w:asciiTheme="minorHAnsi" w:hAnsiTheme="minorHAnsi" w:cstheme="minorHAnsi"/>
                <w:sz w:val="20"/>
                <w:szCs w:val="20"/>
              </w:rPr>
              <w:fldChar w:fldCharType="separate"/>
            </w:r>
            <w:r w:rsidRPr="00AD2B60">
              <w:rPr>
                <w:sz w:val="20"/>
                <w:vertAlign w:val="superscript"/>
              </w:rPr>
              <w:t>42</w:t>
            </w:r>
            <w:r w:rsidRPr="00AD2B60">
              <w:rPr>
                <w:rFonts w:asciiTheme="minorHAnsi" w:hAnsiTheme="minorHAnsi" w:cstheme="minorHAnsi"/>
                <w:sz w:val="20"/>
                <w:szCs w:val="20"/>
              </w:rPr>
              <w:fldChar w:fldCharType="end"/>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F1433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Qualitative research</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BBB9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48754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92F4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810A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4EB82"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B9D4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DE92A"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Not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16BC9D"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E8A08"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23B2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Yes</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755D0F"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FB9E7"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BA843"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442E7E9" w14:textId="77777777" w:rsidR="00C72191" w:rsidRPr="00AD2B60" w:rsidRDefault="00C72191" w:rsidP="00192B09">
            <w:pPr>
              <w:spacing w:after="0" w:line="240" w:lineRule="auto"/>
              <w:jc w:val="center"/>
              <w:rPr>
                <w:rFonts w:asciiTheme="minorHAnsi" w:hAnsiTheme="minorHAnsi" w:cstheme="minorHAnsi"/>
                <w:sz w:val="20"/>
                <w:szCs w:val="20"/>
              </w:rPr>
            </w:pPr>
            <w:r w:rsidRPr="00AD2B60">
              <w:rPr>
                <w:rFonts w:asciiTheme="minorHAnsi" w:hAnsiTheme="minorHAnsi" w:cstheme="minorHAnsi"/>
                <w:sz w:val="20"/>
                <w:szCs w:val="20"/>
              </w:rPr>
              <w:t>80</w:t>
            </w:r>
          </w:p>
        </w:tc>
      </w:tr>
    </w:tbl>
    <w:p w14:paraId="45625F39"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 Methodological quality was assessed using Joanna Briggs Institute (JBI) critical appraisal tools. Checklist criteria range from 8 to 13 items depending on the study design. For full details on the criteria, refer to the official JBI methodology guidelines.</w:t>
      </w:r>
      <w:r w:rsidRPr="00AD2B60">
        <w:rPr>
          <w:rFonts w:asciiTheme="minorHAnsi" w:hAnsiTheme="minorHAnsi" w:cstheme="minorHAnsi"/>
        </w:rPr>
        <w:fldChar w:fldCharType="begin"/>
      </w:r>
      <w:r w:rsidRPr="00AD2B60">
        <w:rPr>
          <w:rFonts w:asciiTheme="minorHAnsi" w:hAnsiTheme="minorHAnsi" w:cstheme="minorHAnsi"/>
        </w:rPr>
        <w:instrText xml:space="preserve"> ADDIN ZOTERO_ITEM CSL_CITATION {"citationID":"etS0qOeH","properties":{"formattedCitation":"\\super 15\\nosupersub{}","plainCitation":"15","noteIndex":0},"citationItems":[{"id":1008,"uris":["http://zotero.org/users/1379219/items/F9UJIHZ9"],"itemData":{"id":1008,"type":"webpage","container-title":"Critical appraisal tools","title":"Critical Appraisal Tools","URL":"https://jbi.global/critical-appraisal-tools","author":[{"family":"Joanna Briggs Institute","given":""}],"accessed":{"date-parts":[["2025",10,15]]},"issued":{"date-parts":[["2020"]]}}}],"schema":"https://github.com/citation-style-language/schema/raw/master/csl-citation.json"} </w:instrText>
      </w:r>
      <w:r w:rsidRPr="00AD2B60">
        <w:rPr>
          <w:rFonts w:asciiTheme="minorHAnsi" w:hAnsiTheme="minorHAnsi" w:cstheme="minorHAnsi"/>
        </w:rPr>
        <w:fldChar w:fldCharType="separate"/>
      </w:r>
      <w:r w:rsidRPr="00AD2B60">
        <w:rPr>
          <w:vertAlign w:val="superscript"/>
        </w:rPr>
        <w:t>15</w:t>
      </w:r>
      <w:r w:rsidRPr="00AD2B60">
        <w:rPr>
          <w:rFonts w:asciiTheme="minorHAnsi" w:hAnsiTheme="minorHAnsi" w:cstheme="minorHAnsi"/>
        </w:rPr>
        <w:fldChar w:fldCharType="end"/>
      </w:r>
    </w:p>
    <w:p w14:paraId="69EBECF0"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 The criterion does not apply to the study design.</w:t>
      </w:r>
    </w:p>
    <w:p w14:paraId="1AEDAE39" w14:textId="77777777" w:rsidR="00C72191" w:rsidRPr="00AD2B60"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Overall quality: percentage of “Yes” items out of the total applicable items.</w:t>
      </w:r>
    </w:p>
    <w:p w14:paraId="2B417DED" w14:textId="77777777" w:rsidR="00C72191" w:rsidRPr="00F45997" w:rsidRDefault="00C72191" w:rsidP="00C72191">
      <w:pPr>
        <w:spacing w:after="0" w:line="240" w:lineRule="auto"/>
        <w:jc w:val="both"/>
        <w:rPr>
          <w:rFonts w:asciiTheme="minorHAnsi" w:hAnsiTheme="minorHAnsi" w:cstheme="minorHAnsi"/>
        </w:rPr>
      </w:pPr>
      <w:r w:rsidRPr="00AD2B60">
        <w:rPr>
          <w:rFonts w:asciiTheme="minorHAnsi" w:hAnsiTheme="minorHAnsi" w:cstheme="minorHAnsi"/>
        </w:rPr>
        <w:t>N/A: Not applicable.</w:t>
      </w:r>
    </w:p>
    <w:p w14:paraId="0A88AFF0" w14:textId="77777777" w:rsidR="006C3386" w:rsidRDefault="00C72191">
      <w:bookmarkStart w:id="1" w:name="_GoBack"/>
      <w:bookmarkEnd w:id="1"/>
    </w:p>
    <w:sectPr w:rsidR="006C3386" w:rsidSect="00B834F2">
      <w:pgSz w:w="12240" w:h="15840"/>
      <w:pgMar w:top="1417" w:right="1608" w:bottom="1417" w:left="993"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4F02"/>
    <w:multiLevelType w:val="multilevel"/>
    <w:tmpl w:val="A232E98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EC29B2"/>
    <w:multiLevelType w:val="multilevel"/>
    <w:tmpl w:val="751C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52BE0"/>
    <w:multiLevelType w:val="multilevel"/>
    <w:tmpl w:val="F06E2A76"/>
    <w:lvl w:ilvl="0">
      <w:start w:val="1"/>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3" w15:restartNumberingAfterBreak="0">
    <w:nsid w:val="29C10EA4"/>
    <w:multiLevelType w:val="multilevel"/>
    <w:tmpl w:val="4CB8B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F00288"/>
    <w:multiLevelType w:val="multilevel"/>
    <w:tmpl w:val="99D05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84E1D"/>
    <w:multiLevelType w:val="multilevel"/>
    <w:tmpl w:val="FFFC2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92231C"/>
    <w:multiLevelType w:val="hybridMultilevel"/>
    <w:tmpl w:val="1E786D80"/>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7" w15:restartNumberingAfterBreak="0">
    <w:nsid w:val="3C1D72DC"/>
    <w:multiLevelType w:val="multilevel"/>
    <w:tmpl w:val="7DD0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83672"/>
    <w:multiLevelType w:val="multilevel"/>
    <w:tmpl w:val="CDF82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3A6727"/>
    <w:multiLevelType w:val="multilevel"/>
    <w:tmpl w:val="378A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9C4050"/>
    <w:multiLevelType w:val="multilevel"/>
    <w:tmpl w:val="16287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2D1D25"/>
    <w:multiLevelType w:val="multilevel"/>
    <w:tmpl w:val="B6F8F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9"/>
  </w:num>
  <w:num w:numId="3">
    <w:abstractNumId w:val="0"/>
  </w:num>
  <w:num w:numId="4">
    <w:abstractNumId w:val="2"/>
  </w:num>
  <w:num w:numId="5">
    <w:abstractNumId w:val="5"/>
  </w:num>
  <w:num w:numId="6">
    <w:abstractNumId w:val="4"/>
  </w:num>
  <w:num w:numId="7">
    <w:abstractNumId w:val="6"/>
  </w:num>
  <w:num w:numId="8">
    <w:abstractNumId w:val="1"/>
  </w:num>
  <w:num w:numId="9">
    <w:abstractNumId w:val="7"/>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91"/>
    <w:rsid w:val="00C72191"/>
    <w:rsid w:val="00D335DF"/>
    <w:rsid w:val="00E224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7967"/>
  <w15:chartTrackingRefBased/>
  <w15:docId w15:val="{E2B96453-8F7C-40F3-8617-2B2A2FE0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2191"/>
    <w:rPr>
      <w:rFonts w:ascii="Calibri" w:eastAsia="Calibri" w:hAnsi="Calibri" w:cs="Calibri"/>
      <w:lang w:val="en-US" w:eastAsia="es-CO"/>
    </w:rPr>
  </w:style>
  <w:style w:type="paragraph" w:styleId="Ttulo1">
    <w:name w:val="heading 1"/>
    <w:basedOn w:val="Normal"/>
    <w:next w:val="Normal"/>
    <w:link w:val="Ttulo1Car"/>
    <w:uiPriority w:val="9"/>
    <w:qFormat/>
    <w:rsid w:val="00C72191"/>
    <w:pPr>
      <w:keepNext/>
      <w:keepLines/>
      <w:spacing w:after="120" w:line="240" w:lineRule="auto"/>
      <w:outlineLvl w:val="0"/>
    </w:pPr>
    <w:rPr>
      <w:b/>
      <w:sz w:val="36"/>
      <w:szCs w:val="36"/>
    </w:rPr>
  </w:style>
  <w:style w:type="paragraph" w:styleId="Ttulo2">
    <w:name w:val="heading 2"/>
    <w:basedOn w:val="Normal"/>
    <w:next w:val="Normal"/>
    <w:link w:val="Ttulo2Car"/>
    <w:uiPriority w:val="9"/>
    <w:semiHidden/>
    <w:unhideWhenUsed/>
    <w:qFormat/>
    <w:rsid w:val="00C72191"/>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C72191"/>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72191"/>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C72191"/>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C7219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2191"/>
    <w:rPr>
      <w:rFonts w:ascii="Calibri" w:eastAsia="Calibri" w:hAnsi="Calibri" w:cs="Calibri"/>
      <w:b/>
      <w:sz w:val="36"/>
      <w:szCs w:val="36"/>
      <w:lang w:val="en-US" w:eastAsia="es-CO"/>
    </w:rPr>
  </w:style>
  <w:style w:type="character" w:customStyle="1" w:styleId="Ttulo2Car">
    <w:name w:val="Título 2 Car"/>
    <w:basedOn w:val="Fuentedeprrafopredeter"/>
    <w:link w:val="Ttulo2"/>
    <w:uiPriority w:val="9"/>
    <w:semiHidden/>
    <w:rsid w:val="00C72191"/>
    <w:rPr>
      <w:rFonts w:ascii="Calibri" w:eastAsia="Calibri" w:hAnsi="Calibri" w:cs="Calibri"/>
      <w:b/>
      <w:sz w:val="36"/>
      <w:szCs w:val="36"/>
      <w:lang w:val="en-US" w:eastAsia="es-CO"/>
    </w:rPr>
  </w:style>
  <w:style w:type="character" w:customStyle="1" w:styleId="Ttulo3Car">
    <w:name w:val="Título 3 Car"/>
    <w:basedOn w:val="Fuentedeprrafopredeter"/>
    <w:link w:val="Ttulo3"/>
    <w:uiPriority w:val="9"/>
    <w:rsid w:val="00C72191"/>
    <w:rPr>
      <w:rFonts w:ascii="Calibri" w:eastAsia="Calibri" w:hAnsi="Calibri" w:cs="Calibri"/>
      <w:b/>
      <w:sz w:val="28"/>
      <w:szCs w:val="28"/>
      <w:lang w:val="en-US" w:eastAsia="es-CO"/>
    </w:rPr>
  </w:style>
  <w:style w:type="character" w:customStyle="1" w:styleId="Ttulo4Car">
    <w:name w:val="Título 4 Car"/>
    <w:basedOn w:val="Fuentedeprrafopredeter"/>
    <w:link w:val="Ttulo4"/>
    <w:uiPriority w:val="9"/>
    <w:semiHidden/>
    <w:rsid w:val="00C72191"/>
    <w:rPr>
      <w:rFonts w:ascii="Calibri" w:eastAsia="Calibri" w:hAnsi="Calibri" w:cs="Calibri"/>
      <w:b/>
      <w:sz w:val="24"/>
      <w:szCs w:val="24"/>
      <w:lang w:val="en-US" w:eastAsia="es-CO"/>
    </w:rPr>
  </w:style>
  <w:style w:type="character" w:customStyle="1" w:styleId="Ttulo5Car">
    <w:name w:val="Título 5 Car"/>
    <w:basedOn w:val="Fuentedeprrafopredeter"/>
    <w:link w:val="Ttulo5"/>
    <w:uiPriority w:val="9"/>
    <w:semiHidden/>
    <w:rsid w:val="00C72191"/>
    <w:rPr>
      <w:rFonts w:ascii="Calibri" w:eastAsia="Calibri" w:hAnsi="Calibri" w:cs="Calibri"/>
      <w:b/>
      <w:lang w:val="en-US" w:eastAsia="es-CO"/>
    </w:rPr>
  </w:style>
  <w:style w:type="character" w:customStyle="1" w:styleId="Ttulo6Car">
    <w:name w:val="Título 6 Car"/>
    <w:basedOn w:val="Fuentedeprrafopredeter"/>
    <w:link w:val="Ttulo6"/>
    <w:uiPriority w:val="9"/>
    <w:semiHidden/>
    <w:rsid w:val="00C72191"/>
    <w:rPr>
      <w:rFonts w:ascii="Calibri" w:eastAsia="Calibri" w:hAnsi="Calibri" w:cs="Calibri"/>
      <w:b/>
      <w:sz w:val="20"/>
      <w:szCs w:val="20"/>
      <w:lang w:val="en-US" w:eastAsia="es-CO"/>
    </w:rPr>
  </w:style>
  <w:style w:type="table" w:customStyle="1" w:styleId="TableNormal">
    <w:name w:val="TableNormal"/>
    <w:rsid w:val="00C72191"/>
    <w:rPr>
      <w:rFonts w:ascii="Calibri" w:eastAsia="Calibri" w:hAnsi="Calibri" w:cs="Calibri"/>
      <w:lang w:val="en"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C72191"/>
    <w:pPr>
      <w:keepNext/>
      <w:keepLines/>
      <w:spacing w:before="480" w:after="120"/>
    </w:pPr>
    <w:rPr>
      <w:b/>
      <w:sz w:val="72"/>
      <w:szCs w:val="72"/>
    </w:rPr>
  </w:style>
  <w:style w:type="character" w:customStyle="1" w:styleId="TtuloCar">
    <w:name w:val="Título Car"/>
    <w:basedOn w:val="Fuentedeprrafopredeter"/>
    <w:link w:val="Ttulo"/>
    <w:uiPriority w:val="10"/>
    <w:rsid w:val="00C72191"/>
    <w:rPr>
      <w:rFonts w:ascii="Calibri" w:eastAsia="Calibri" w:hAnsi="Calibri" w:cs="Calibri"/>
      <w:b/>
      <w:sz w:val="72"/>
      <w:szCs w:val="72"/>
      <w:lang w:val="en-US" w:eastAsia="es-CO"/>
    </w:rPr>
  </w:style>
  <w:style w:type="character" w:customStyle="1" w:styleId="highlight">
    <w:name w:val="highlight"/>
    <w:basedOn w:val="Fuentedeprrafopredeter"/>
    <w:rsid w:val="00C72191"/>
  </w:style>
  <w:style w:type="paragraph" w:styleId="Prrafodelista">
    <w:name w:val="List Paragraph"/>
    <w:basedOn w:val="Normal"/>
    <w:uiPriority w:val="34"/>
    <w:qFormat/>
    <w:rsid w:val="00C72191"/>
    <w:pPr>
      <w:ind w:left="720"/>
      <w:contextualSpacing/>
    </w:pPr>
  </w:style>
  <w:style w:type="paragraph" w:customStyle="1" w:styleId="p">
    <w:name w:val="p"/>
    <w:basedOn w:val="Normal"/>
    <w:rsid w:val="00C7219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72191"/>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C72191"/>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C72191"/>
    <w:rPr>
      <w:rFonts w:ascii="Georgia" w:eastAsia="Georgia" w:hAnsi="Georgia" w:cs="Georgia"/>
      <w:i/>
      <w:color w:val="666666"/>
      <w:sz w:val="48"/>
      <w:szCs w:val="48"/>
      <w:lang w:val="en-US" w:eastAsia="es-CO"/>
    </w:rPr>
  </w:style>
  <w:style w:type="paragraph" w:styleId="Textocomentario">
    <w:name w:val="annotation text"/>
    <w:basedOn w:val="Normal"/>
    <w:link w:val="TextocomentarioCar"/>
    <w:uiPriority w:val="99"/>
    <w:unhideWhenUsed/>
    <w:rsid w:val="00C72191"/>
    <w:pPr>
      <w:spacing w:line="240" w:lineRule="auto"/>
    </w:pPr>
    <w:rPr>
      <w:sz w:val="20"/>
      <w:szCs w:val="20"/>
    </w:rPr>
  </w:style>
  <w:style w:type="character" w:customStyle="1" w:styleId="TextocomentarioCar">
    <w:name w:val="Texto comentario Car"/>
    <w:basedOn w:val="Fuentedeprrafopredeter"/>
    <w:link w:val="Textocomentario"/>
    <w:uiPriority w:val="99"/>
    <w:rsid w:val="00C72191"/>
    <w:rPr>
      <w:rFonts w:ascii="Calibri" w:eastAsia="Calibri" w:hAnsi="Calibri" w:cs="Calibri"/>
      <w:sz w:val="20"/>
      <w:szCs w:val="20"/>
      <w:lang w:val="en-US" w:eastAsia="es-CO"/>
    </w:rPr>
  </w:style>
  <w:style w:type="character" w:styleId="Refdecomentario">
    <w:name w:val="annotation reference"/>
    <w:basedOn w:val="Fuentedeprrafopredeter"/>
    <w:uiPriority w:val="99"/>
    <w:semiHidden/>
    <w:unhideWhenUsed/>
    <w:rsid w:val="00C72191"/>
    <w:rPr>
      <w:sz w:val="16"/>
      <w:szCs w:val="16"/>
    </w:rPr>
  </w:style>
  <w:style w:type="character" w:styleId="Hipervnculo">
    <w:name w:val="Hyperlink"/>
    <w:basedOn w:val="Fuentedeprrafopredeter"/>
    <w:uiPriority w:val="99"/>
    <w:unhideWhenUsed/>
    <w:rsid w:val="00C72191"/>
    <w:rPr>
      <w:color w:val="0563C1" w:themeColor="hyperlink"/>
      <w:u w:val="single"/>
    </w:rPr>
  </w:style>
  <w:style w:type="character" w:styleId="Mencinsinresolver">
    <w:name w:val="Unresolved Mention"/>
    <w:basedOn w:val="Fuentedeprrafopredeter"/>
    <w:uiPriority w:val="99"/>
    <w:semiHidden/>
    <w:unhideWhenUsed/>
    <w:rsid w:val="00C72191"/>
    <w:rPr>
      <w:color w:val="605E5C"/>
      <w:shd w:val="clear" w:color="auto" w:fill="E1DFDD"/>
    </w:rPr>
  </w:style>
  <w:style w:type="paragraph" w:customStyle="1" w:styleId="Default">
    <w:name w:val="Default"/>
    <w:rsid w:val="00C7219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aconcuadrcula">
    <w:name w:val="Table Grid"/>
    <w:basedOn w:val="Tablanormal"/>
    <w:uiPriority w:val="39"/>
    <w:rsid w:val="00C72191"/>
    <w:pPr>
      <w:spacing w:after="0" w:line="240" w:lineRule="auto"/>
    </w:pPr>
    <w:rPr>
      <w:rFonts w:ascii="Calibri" w:eastAsia="Calibri" w:hAnsi="Calibri" w:cs="Calibri"/>
      <w:lang w:val="en" w:eastAsia="es-CO"/>
    </w:rPr>
    <w:tblPr/>
  </w:style>
  <w:style w:type="paragraph" w:styleId="Asuntodelcomentario">
    <w:name w:val="annotation subject"/>
    <w:basedOn w:val="Textocomentario"/>
    <w:next w:val="Textocomentario"/>
    <w:link w:val="AsuntodelcomentarioCar"/>
    <w:uiPriority w:val="99"/>
    <w:semiHidden/>
    <w:unhideWhenUsed/>
    <w:rsid w:val="00C72191"/>
    <w:rPr>
      <w:b/>
      <w:bCs/>
    </w:rPr>
  </w:style>
  <w:style w:type="character" w:customStyle="1" w:styleId="AsuntodelcomentarioCar">
    <w:name w:val="Asunto del comentario Car"/>
    <w:basedOn w:val="TextocomentarioCar"/>
    <w:link w:val="Asuntodelcomentario"/>
    <w:uiPriority w:val="99"/>
    <w:semiHidden/>
    <w:rsid w:val="00C72191"/>
    <w:rPr>
      <w:rFonts w:ascii="Calibri" w:eastAsia="Calibri" w:hAnsi="Calibri" w:cs="Calibri"/>
      <w:b/>
      <w:bCs/>
      <w:sz w:val="20"/>
      <w:szCs w:val="20"/>
      <w:lang w:val="en-US" w:eastAsia="es-CO"/>
    </w:rPr>
  </w:style>
  <w:style w:type="paragraph" w:styleId="Textodeglobo">
    <w:name w:val="Balloon Text"/>
    <w:basedOn w:val="Normal"/>
    <w:link w:val="TextodegloboCar"/>
    <w:uiPriority w:val="99"/>
    <w:semiHidden/>
    <w:unhideWhenUsed/>
    <w:rsid w:val="00C721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191"/>
    <w:rPr>
      <w:rFonts w:ascii="Segoe UI" w:eastAsia="Calibri" w:hAnsi="Segoe UI" w:cs="Segoe UI"/>
      <w:sz w:val="18"/>
      <w:szCs w:val="18"/>
      <w:lang w:val="en-US" w:eastAsia="es-CO"/>
    </w:rPr>
  </w:style>
  <w:style w:type="paragraph" w:styleId="Bibliografa">
    <w:name w:val="Bibliography"/>
    <w:basedOn w:val="Normal"/>
    <w:next w:val="Normal"/>
    <w:uiPriority w:val="37"/>
    <w:unhideWhenUsed/>
    <w:rsid w:val="00C72191"/>
    <w:pPr>
      <w:tabs>
        <w:tab w:val="left" w:pos="384"/>
      </w:tabs>
      <w:spacing w:after="240" w:line="240" w:lineRule="auto"/>
      <w:ind w:left="384" w:hanging="384"/>
    </w:pPr>
    <w:rPr>
      <w:rFonts w:asciiTheme="minorHAnsi" w:eastAsiaTheme="minorHAnsi" w:hAnsiTheme="minorHAnsi" w:cstheme="minorBidi"/>
      <w:lang w:val="es-CO" w:eastAsia="en-US"/>
    </w:rPr>
  </w:style>
  <w:style w:type="character" w:styleId="Hipervnculovisitado">
    <w:name w:val="FollowedHyperlink"/>
    <w:basedOn w:val="Fuentedeprrafopredeter"/>
    <w:uiPriority w:val="99"/>
    <w:semiHidden/>
    <w:unhideWhenUsed/>
    <w:rsid w:val="00C72191"/>
    <w:rPr>
      <w:color w:val="954F72" w:themeColor="followedHyperlink"/>
      <w:u w:val="single"/>
    </w:rPr>
  </w:style>
  <w:style w:type="paragraph" w:styleId="Encabezado">
    <w:name w:val="header"/>
    <w:basedOn w:val="Normal"/>
    <w:link w:val="EncabezadoCar"/>
    <w:uiPriority w:val="99"/>
    <w:unhideWhenUsed/>
    <w:rsid w:val="00C721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2191"/>
    <w:rPr>
      <w:rFonts w:ascii="Calibri" w:eastAsia="Calibri" w:hAnsi="Calibri" w:cs="Calibri"/>
      <w:lang w:val="en-US" w:eastAsia="es-CO"/>
    </w:rPr>
  </w:style>
  <w:style w:type="paragraph" w:styleId="Piedepgina">
    <w:name w:val="footer"/>
    <w:basedOn w:val="Normal"/>
    <w:link w:val="PiedepginaCar"/>
    <w:uiPriority w:val="99"/>
    <w:unhideWhenUsed/>
    <w:rsid w:val="00C721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2191"/>
    <w:rPr>
      <w:rFonts w:ascii="Calibri" w:eastAsia="Calibri" w:hAnsi="Calibri" w:cs="Calibri"/>
      <w:lang w:val="en-US" w:eastAsia="es-CO"/>
    </w:rPr>
  </w:style>
  <w:style w:type="paragraph" w:styleId="HTMLconformatoprevio">
    <w:name w:val="HTML Preformatted"/>
    <w:basedOn w:val="Normal"/>
    <w:link w:val="HTMLconformatoprevioCar"/>
    <w:uiPriority w:val="99"/>
    <w:semiHidden/>
    <w:unhideWhenUsed/>
    <w:rsid w:val="00C72191"/>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C72191"/>
    <w:rPr>
      <w:rFonts w:ascii="Consolas" w:eastAsia="Calibri" w:hAnsi="Consolas" w:cs="Calibri"/>
      <w:sz w:val="20"/>
      <w:szCs w:val="20"/>
      <w:lang w:val="en-US" w:eastAsia="es-CO"/>
    </w:rPr>
  </w:style>
  <w:style w:type="paragraph" w:styleId="Revisin">
    <w:name w:val="Revision"/>
    <w:hidden/>
    <w:uiPriority w:val="99"/>
    <w:semiHidden/>
    <w:rsid w:val="00C72191"/>
    <w:pPr>
      <w:spacing w:after="0" w:line="240" w:lineRule="auto"/>
    </w:pPr>
    <w:rPr>
      <w:rFonts w:ascii="Calibri" w:eastAsia="Calibri" w:hAnsi="Calibri" w:cs="Calibri"/>
      <w:lang w:val="en" w:eastAsia="es-CO"/>
    </w:rPr>
  </w:style>
  <w:style w:type="character" w:styleId="Textoennegrita">
    <w:name w:val="Strong"/>
    <w:basedOn w:val="Fuentedeprrafopredeter"/>
    <w:uiPriority w:val="22"/>
    <w:qFormat/>
    <w:rsid w:val="00C72191"/>
    <w:rPr>
      <w:b/>
      <w:bCs/>
    </w:rPr>
  </w:style>
  <w:style w:type="table" w:customStyle="1" w:styleId="TableNormal1">
    <w:name w:val="Table Normal1"/>
    <w:rsid w:val="00C72191"/>
    <w:rPr>
      <w:rFonts w:ascii="Calibri" w:eastAsia="Calibri" w:hAnsi="Calibri" w:cs="Calibri"/>
      <w:lang w:val="en" w:eastAsia="es-CO"/>
    </w:rPr>
    <w:tblPr>
      <w:tblCellMar>
        <w:top w:w="0" w:type="dxa"/>
        <w:left w:w="0" w:type="dxa"/>
        <w:bottom w:w="0" w:type="dxa"/>
        <w:right w:w="0" w:type="dxa"/>
      </w:tblCellMar>
    </w:tblPr>
  </w:style>
  <w:style w:type="character" w:customStyle="1" w:styleId="y2iqfc">
    <w:name w:val="y2iqfc"/>
    <w:basedOn w:val="Fuentedeprrafopredeter"/>
    <w:rsid w:val="00C72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704263559FC6548BD288283575EDAD8" ma:contentTypeVersion="18" ma:contentTypeDescription="Crear nuevo documento." ma:contentTypeScope="" ma:versionID="9a4c8ed5217156fbf51b4a3fc5d57515">
  <xsd:schema xmlns:xsd="http://www.w3.org/2001/XMLSchema" xmlns:xs="http://www.w3.org/2001/XMLSchema" xmlns:p="http://schemas.microsoft.com/office/2006/metadata/properties" xmlns:ns3="847f3826-a425-43aa-a10e-248d9a81c14c" xmlns:ns4="3a7ed528-62ae-4e2f-b539-3ae02f7da543" targetNamespace="http://schemas.microsoft.com/office/2006/metadata/properties" ma:root="true" ma:fieldsID="d0fe0e4f0f8ac5e1756073555659b9e7" ns3:_="" ns4:_="">
    <xsd:import namespace="847f3826-a425-43aa-a10e-248d9a81c14c"/>
    <xsd:import namespace="3a7ed528-62ae-4e2f-b539-3ae02f7da5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3826-a425-43aa-a10e-248d9a81c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ed528-62ae-4e2f-b539-3ae02f7da543"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47f3826-a425-43aa-a10e-248d9a81c14c" xsi:nil="true"/>
  </documentManagement>
</p:properties>
</file>

<file path=customXml/itemProps1.xml><?xml version="1.0" encoding="utf-8"?>
<ds:datastoreItem xmlns:ds="http://schemas.openxmlformats.org/officeDocument/2006/customXml" ds:itemID="{A20B9341-F80C-4FDE-81C8-6D47FF99E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3826-a425-43aa-a10e-248d9a81c14c"/>
    <ds:schemaRef ds:uri="3a7ed528-62ae-4e2f-b539-3ae02f7da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25295-6A9F-4EC4-999C-80CE270EFB54}">
  <ds:schemaRefs>
    <ds:schemaRef ds:uri="http://schemas.microsoft.com/sharepoint/v3/contenttype/forms"/>
  </ds:schemaRefs>
</ds:datastoreItem>
</file>

<file path=customXml/itemProps3.xml><?xml version="1.0" encoding="utf-8"?>
<ds:datastoreItem xmlns:ds="http://schemas.openxmlformats.org/officeDocument/2006/customXml" ds:itemID="{407D3D03-CA0A-452A-8907-27283EC117AD}">
  <ds:schemaRefs>
    <ds:schemaRef ds:uri="http://www.w3.org/XML/1998/namespace"/>
    <ds:schemaRef ds:uri="3a7ed528-62ae-4e2f-b539-3ae02f7da543"/>
    <ds:schemaRef ds:uri="http://schemas.microsoft.com/office/2006/metadata/properties"/>
    <ds:schemaRef ds:uri="http://schemas.microsoft.com/office/infopath/2007/PartnerControls"/>
    <ds:schemaRef ds:uri="847f3826-a425-43aa-a10e-248d9a81c14c"/>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30410</Words>
  <Characters>167260</Characters>
  <Application>Microsoft Office Word</Application>
  <DocSecurity>0</DocSecurity>
  <Lines>1393</Lines>
  <Paragraphs>394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CRISTINA GARCES PALACIO</dc:creator>
  <cp:keywords/>
  <dc:description/>
  <cp:lastModifiedBy>ISABEL CRISTINA GARCES PALACIO</cp:lastModifiedBy>
  <cp:revision>1</cp:revision>
  <dcterms:created xsi:type="dcterms:W3CDTF">2026-02-19T15:59:00Z</dcterms:created>
  <dcterms:modified xsi:type="dcterms:W3CDTF">2026-02-19T16:08:00Z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0x0101006704263559FC6548BD288283575EDAD8</vt:lpwstr>
  </property>
</Properties>
</file>