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1F1A9">
      <w:pPr>
        <w:spacing w:line="360" w:lineRule="auto"/>
        <w:rPr>
          <w:rFonts w:hint="default" w:ascii="Times New Roman" w:hAnsi="Times New Roman" w:cs="Times New Roman"/>
          <w:b/>
          <w:bCs/>
        </w:rPr>
      </w:pPr>
      <w:r>
        <w:rPr>
          <w:rFonts w:hint="default" w:ascii="Times New Roman" w:hAnsi="Times New Roman" w:cs="Times New Roman"/>
          <w:b/>
          <w:bCs/>
        </w:rPr>
        <w:t>Dear Editor,</w:t>
      </w:r>
    </w:p>
    <w:p w14:paraId="33729625">
      <w:pPr>
        <w:spacing w:line="360" w:lineRule="auto"/>
        <w:ind w:firstLine="420" w:firstLineChars="200"/>
        <w:rPr>
          <w:rFonts w:hint="default" w:ascii="Times New Roman" w:hAnsi="Times New Roman" w:cs="Times New Roman"/>
          <w:b w:val="0"/>
          <w:bCs w:val="0"/>
        </w:rPr>
      </w:pPr>
      <w:r>
        <w:rPr>
          <w:rFonts w:hint="default" w:ascii="Times New Roman" w:hAnsi="Times New Roman" w:cs="Times New Roman"/>
          <w:b w:val="0"/>
          <w:bCs w:val="0"/>
        </w:rPr>
        <w:t>Our research team hereby submits a detailed explanation regarding the sample recruitment methodology, representativeness of the sample, analysis of sample variations, and handling of missing data. This is supplemented by Figure 1 (Flowchart of Research Participant Recruitment and Data Collection) for clear illustration.</w:t>
      </w:r>
    </w:p>
    <w:p w14:paraId="724FE297">
      <w:pPr>
        <w:spacing w:line="360" w:lineRule="auto"/>
        <w:rPr>
          <w:rFonts w:hint="default" w:ascii="Times New Roman" w:hAnsi="Times New Roman" w:cs="Times New Roman"/>
          <w:b/>
          <w:bCs/>
        </w:rPr>
      </w:pPr>
      <w:r>
        <w:rPr>
          <w:rFonts w:hint="default" w:ascii="Times New Roman" w:hAnsi="Times New Roman" w:cs="Times New Roman"/>
          <w:b/>
          <w:bCs/>
        </w:rPr>
        <w:t>The explanation is as follows:</w:t>
      </w:r>
    </w:p>
    <w:p w14:paraId="2FAB1EC2">
      <w:pPr>
        <w:spacing w:line="360" w:lineRule="auto"/>
        <w:ind w:firstLine="420" w:firstLineChars="200"/>
        <w:rPr>
          <w:rFonts w:hint="default" w:ascii="Times New Roman" w:hAnsi="Times New Roman" w:cs="Times New Roman"/>
        </w:rPr>
      </w:pPr>
      <w:r>
        <w:rPr>
          <w:rFonts w:hint="default" w:ascii="Times New Roman" w:hAnsi="Times New Roman" w:cs="Times New Roman"/>
        </w:rPr>
        <w:t xml:space="preserve">The current study was </w:t>
      </w:r>
      <w:bookmarkStart w:id="0" w:name="_GoBack"/>
      <w:bookmarkEnd w:id="0"/>
      <w:r>
        <w:rPr>
          <w:rFonts w:hint="default" w:ascii="Times New Roman" w:hAnsi="Times New Roman" w:cs="Times New Roman"/>
        </w:rPr>
        <w:t>a clustered, school-based cross-sectional survey of primary school children in south-central China. Assuming a 30% prevalence of meeting WHO recommendations for MVPA, type I error (=0.05), power (=0.8), the sample size was 323. Because the survey employed a clustered design with students nested within schools, the sample size was adjusted by the design effect, calculated as 1 + (m – 1)ρ, where m represents the average number of sampled students per school and ρ is the intraclass correlation coefficient (ICC). Assuming m = 40 and ρ = 0.02 (for conservative considerations), the design effect was 1.78, yielding a required sample size of approximately 575. After inflating for an anticipated 10% without informed consent forms and 10% invalid rate, the final target sample size was 750 students.</w:t>
      </w:r>
    </w:p>
    <w:p w14:paraId="15272091">
      <w:pPr>
        <w:spacing w:line="360" w:lineRule="auto"/>
        <w:ind w:firstLine="420" w:firstLineChars="200"/>
        <w:rPr>
          <w:rFonts w:hint="default" w:ascii="Times New Roman" w:hAnsi="Times New Roman" w:cs="Times New Roman"/>
        </w:rPr>
      </w:pPr>
      <w:r>
        <w:rPr>
          <w:rFonts w:hint="default" w:ascii="Times New Roman" w:hAnsi="Times New Roman" w:cs="Times New Roman"/>
        </w:rPr>
        <w:t>The multiple-center surveys were conducted during March-September 2022. Based on multi-stage cluster sampling, six main urban districts in Changsha, Hunan Province were selected, and one primary school (grades 3–5, approximately 8–11 years old) was selected from each district. In the selected schools, one class in each grade was randomly selected to join the study. As one school under consideration is located in a suburban area, in which each class comprises approximately twenty children only, two classes from grade 3 and 4 at this school was selected to achieve equilibrium in the distribution of weighting between schools. Finally, a total of 800 children in 20 classes were recruited, and 750 children and their caregivers signed the informed consent form for voluntary participation in the study. We used accelerometers to measure the MVPA of the 750 children for 1 week, and asked children and their caregivers to complete the surveys together as a family unit. Among 750 distributed questionnaires, a total of 735 questionnaires were recovered and 706 questionnaires were valid (effective recovery rate = 96%). A questionnaire was considered valid if it had no missing data on core variables (SS, AM, CRMPA, CE, SE) and matched with valid accelerometer data (i.e., ≥3 valid weekdays or 1 valid weekend of wear time as defined in 2.3.2).”</w:t>
      </w:r>
    </w:p>
    <w:p w14:paraId="045651A6">
      <w:pPr>
        <w:jc w:val="cente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490845" cy="8465185"/>
            <wp:effectExtent l="0" t="0" r="5080" b="2540"/>
            <wp:docPr id="1" name="图片 1" descr="deepseek_mermaid_20251021_268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eepseek_mermaid_20251021_268731"/>
                    <pic:cNvPicPr>
                      <a:picLocks noChangeAspect="1"/>
                    </pic:cNvPicPr>
                  </pic:nvPicPr>
                  <pic:blipFill>
                    <a:blip r:embed="rId4"/>
                    <a:srcRect l="5905" t="973" r="59944" b="63967"/>
                    <a:stretch>
                      <a:fillRect/>
                    </a:stretch>
                  </pic:blipFill>
                  <pic:spPr>
                    <a:xfrm>
                      <a:off x="0" y="0"/>
                      <a:ext cx="5490845" cy="8465185"/>
                    </a:xfrm>
                    <a:prstGeom prst="rect">
                      <a:avLst/>
                    </a:prstGeom>
                  </pic:spPr>
                </pic:pic>
              </a:graphicData>
            </a:graphic>
          </wp:inline>
        </w:drawing>
      </w:r>
    </w:p>
    <w:p w14:paraId="156F448A">
      <w:pPr>
        <w:jc w:val="center"/>
        <w:rPr>
          <w:rFonts w:hint="eastAsia" w:ascii="Times New Roman" w:hAnsi="Times New Roman" w:cs="Times New Roman" w:eastAsiaTheme="minorEastAsia"/>
          <w:b/>
          <w:bCs/>
          <w:lang w:eastAsia="zh-CN"/>
        </w:rPr>
      </w:pPr>
      <w:r>
        <w:rPr>
          <w:rFonts w:hint="default" w:ascii="Times New Roman" w:hAnsi="Times New Roman" w:cs="Times New Roman"/>
          <w:b/>
          <w:bCs/>
        </w:rPr>
        <w:t>Figure 1 Flowchart of Research Participant Recruitment and Data Collection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FB1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2025-10-21T08:39:35Z</dcterms:created>
  <dc:creator>Win10</dc:creator>
  <cp:lastModifiedBy>L.X.Y</cp:lastModifiedBy>
  <dcterms:modified xsi:type="dcterms:W3CDTF">2025-10-21T09:04:57Z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eyJoZGlkIjoiZmIzMTJiOTUxYjE5NmY3YTBlYTgwMGMxOTJlZmE1MTgiLCJ1c2VySWQiOiI0MzE2NTk1NTYifQ==</vt:lpwstr>
  </property>
  <property fmtid="{D5CDD505-2E9C-101B-9397-08002B2CF9AE}" pid="4" name="ICV">
    <vt:lpwstr>5AAE172BCD004A3EB8BE6D64F8E7A4A1_12</vt:lpwstr>
  </property>
</Properties>
</file>