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111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Table S2</w:t>
      </w:r>
      <w:bookmarkStart w:id="6" w:name="_GoBack"/>
      <w:bookmarkEnd w:id="6"/>
      <w:r>
        <w:rPr>
          <w:rFonts w:hint="default" w:ascii="Times New Roman" w:hAnsi="Times New Roman" w:cs="Times New Roman"/>
          <w:b/>
          <w:bCs/>
          <w:sz w:val="18"/>
          <w:szCs w:val="18"/>
        </w:rPr>
        <w:t xml:space="preserve"> Reliability and validity summary for the adapted questionnaire (n = 706)</w:t>
      </w:r>
    </w:p>
    <w:tbl>
      <w:tblPr>
        <w:tblStyle w:val="5"/>
        <w:tblW w:w="56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7"/>
        <w:gridCol w:w="646"/>
        <w:gridCol w:w="1221"/>
        <w:gridCol w:w="2023"/>
        <w:gridCol w:w="663"/>
        <w:gridCol w:w="2899"/>
      </w:tblGrid>
      <w:tr w14:paraId="24FF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blHeader/>
          <w:jc w:val="center"/>
        </w:trPr>
        <w:tc>
          <w:tcPr>
            <w:tcW w:w="1118" w:type="pct"/>
            <w:tcBorders>
              <w:top w:val="single" w:color="auto" w:sz="12" w:space="0"/>
              <w:left w:val="nil"/>
              <w:bottom w:val="single" w:color="auto" w:sz="4" w:space="0"/>
              <w:right w:val="nil"/>
            </w:tcBorders>
            <w:vAlign w:val="center"/>
          </w:tcPr>
          <w:p w14:paraId="5028866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sz w:val="18"/>
                <w:szCs w:val="18"/>
                <w:vertAlign w:val="baseline"/>
              </w:rPr>
            </w:pPr>
            <w:r>
              <w:rPr>
                <w:rFonts w:hint="default" w:ascii="Times New Roman" w:hAnsi="Times New Roman" w:eastAsia="宋体" w:cs="Times New Roman"/>
                <w:b/>
                <w:bCs/>
                <w:kern w:val="0"/>
                <w:sz w:val="18"/>
                <w:szCs w:val="18"/>
                <w:lang w:val="en-US" w:eastAsia="zh-CN" w:bidi="ar"/>
              </w:rPr>
              <w:t>Construct</w:t>
            </w:r>
          </w:p>
        </w:tc>
        <w:tc>
          <w:tcPr>
            <w:tcW w:w="336" w:type="pct"/>
            <w:tcBorders>
              <w:top w:val="single" w:color="auto" w:sz="12" w:space="0"/>
              <w:left w:val="nil"/>
              <w:bottom w:val="single" w:color="auto" w:sz="4" w:space="0"/>
              <w:right w:val="nil"/>
            </w:tcBorders>
            <w:vAlign w:val="center"/>
          </w:tcPr>
          <w:p w14:paraId="7F98F52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sz w:val="18"/>
                <w:szCs w:val="18"/>
                <w:vertAlign w:val="baseline"/>
              </w:rPr>
            </w:pPr>
            <w:r>
              <w:rPr>
                <w:rFonts w:hint="default" w:ascii="Times New Roman" w:hAnsi="Times New Roman" w:eastAsia="宋体" w:cs="Times New Roman"/>
                <w:b/>
                <w:bCs/>
                <w:kern w:val="0"/>
                <w:sz w:val="18"/>
                <w:szCs w:val="18"/>
                <w:lang w:val="en-US" w:eastAsia="zh-CN" w:bidi="ar"/>
              </w:rPr>
              <w:t>Items</w:t>
            </w:r>
          </w:p>
        </w:tc>
        <w:tc>
          <w:tcPr>
            <w:tcW w:w="636" w:type="pct"/>
            <w:tcBorders>
              <w:top w:val="single" w:color="auto" w:sz="12" w:space="0"/>
              <w:left w:val="nil"/>
              <w:bottom w:val="single" w:color="auto" w:sz="4" w:space="0"/>
              <w:right w:val="nil"/>
            </w:tcBorders>
            <w:vAlign w:val="center"/>
          </w:tcPr>
          <w:p w14:paraId="1AB79D1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sz w:val="18"/>
                <w:szCs w:val="18"/>
                <w:vertAlign w:val="baseline"/>
              </w:rPr>
            </w:pPr>
            <w:r>
              <w:rPr>
                <w:rFonts w:hint="default" w:ascii="Times New Roman" w:hAnsi="Times New Roman" w:eastAsia="宋体" w:cs="Times New Roman"/>
                <w:b/>
                <w:bCs/>
                <w:kern w:val="0"/>
                <w:sz w:val="18"/>
                <w:szCs w:val="18"/>
                <w:lang w:val="en-US" w:eastAsia="zh-CN" w:bidi="ar"/>
              </w:rPr>
              <w:t>Cronbach’sα</w:t>
            </w:r>
          </w:p>
        </w:tc>
        <w:tc>
          <w:tcPr>
            <w:tcW w:w="1053" w:type="pct"/>
            <w:tcBorders>
              <w:top w:val="single" w:color="auto" w:sz="12" w:space="0"/>
              <w:left w:val="nil"/>
              <w:bottom w:val="single" w:color="auto" w:sz="4" w:space="0"/>
              <w:right w:val="nil"/>
            </w:tcBorders>
            <w:vAlign w:val="center"/>
          </w:tcPr>
          <w:p w14:paraId="438ABB0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sz w:val="18"/>
                <w:szCs w:val="18"/>
                <w:vertAlign w:val="baseline"/>
              </w:rPr>
            </w:pPr>
            <w:r>
              <w:rPr>
                <w:rFonts w:hint="default" w:ascii="Times New Roman" w:hAnsi="Times New Roman" w:eastAsia="宋体" w:cs="Times New Roman"/>
                <w:b/>
                <w:bCs/>
                <w:kern w:val="0"/>
                <w:sz w:val="18"/>
                <w:szCs w:val="18"/>
                <w:lang w:val="en-US" w:eastAsia="zh-CN" w:bidi="ar"/>
              </w:rPr>
              <w:t>Composite Reliability</w:t>
            </w:r>
            <w:r>
              <w:rPr>
                <w:rFonts w:hint="eastAsia" w:ascii="Times New Roman" w:hAnsi="Times New Roman" w:eastAsia="宋体" w:cs="Times New Roman"/>
                <w:b/>
                <w:bCs/>
                <w:kern w:val="0"/>
                <w:sz w:val="18"/>
                <w:szCs w:val="18"/>
                <w:lang w:val="en-US" w:eastAsia="zh-CN" w:bidi="ar"/>
              </w:rPr>
              <w:t xml:space="preserve"> </w:t>
            </w:r>
            <w:r>
              <w:rPr>
                <w:rFonts w:hint="default" w:ascii="Times New Roman" w:hAnsi="Times New Roman" w:eastAsia="宋体" w:cs="Times New Roman"/>
                <w:b/>
                <w:bCs/>
                <w:kern w:val="0"/>
                <w:sz w:val="18"/>
                <w:szCs w:val="18"/>
                <w:lang w:val="en-US" w:eastAsia="zh-CN" w:bidi="ar"/>
              </w:rPr>
              <w:t>(CR)</w:t>
            </w:r>
          </w:p>
        </w:tc>
        <w:tc>
          <w:tcPr>
            <w:tcW w:w="345" w:type="pct"/>
            <w:tcBorders>
              <w:top w:val="single" w:color="auto" w:sz="12" w:space="0"/>
              <w:left w:val="nil"/>
              <w:bottom w:val="single" w:color="auto" w:sz="4" w:space="0"/>
              <w:right w:val="nil"/>
            </w:tcBorders>
            <w:vAlign w:val="center"/>
          </w:tcPr>
          <w:p w14:paraId="2175590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sz w:val="18"/>
                <w:szCs w:val="18"/>
                <w:vertAlign w:val="baseline"/>
              </w:rPr>
            </w:pPr>
            <w:r>
              <w:rPr>
                <w:rFonts w:hint="default" w:ascii="Times New Roman" w:hAnsi="Times New Roman" w:eastAsia="宋体" w:cs="Times New Roman"/>
                <w:b/>
                <w:bCs/>
                <w:kern w:val="0"/>
                <w:sz w:val="18"/>
                <w:szCs w:val="18"/>
                <w:lang w:val="en-US" w:eastAsia="zh-CN" w:bidi="ar"/>
              </w:rPr>
              <w:t>AVE</w:t>
            </w:r>
          </w:p>
        </w:tc>
        <w:tc>
          <w:tcPr>
            <w:tcW w:w="1509" w:type="pct"/>
            <w:tcBorders>
              <w:top w:val="single" w:color="auto" w:sz="12" w:space="0"/>
              <w:left w:val="nil"/>
              <w:bottom w:val="single" w:color="auto" w:sz="4" w:space="0"/>
              <w:right w:val="nil"/>
            </w:tcBorders>
            <w:vAlign w:val="center"/>
          </w:tcPr>
          <w:p w14:paraId="2BF2596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sz w:val="18"/>
                <w:szCs w:val="18"/>
                <w:vertAlign w:val="baseline"/>
              </w:rPr>
            </w:pPr>
            <w:r>
              <w:rPr>
                <w:rFonts w:hint="default" w:ascii="Times New Roman" w:hAnsi="Times New Roman" w:eastAsia="宋体" w:cs="Times New Roman"/>
                <w:b/>
                <w:bCs/>
                <w:kern w:val="0"/>
                <w:sz w:val="18"/>
                <w:szCs w:val="18"/>
                <w:lang w:val="en-US" w:eastAsia="zh-CN" w:bidi="ar"/>
              </w:rPr>
              <w:t>Standardized factor loading range</w:t>
            </w:r>
          </w:p>
        </w:tc>
      </w:tr>
      <w:tr w14:paraId="402D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18" w:type="pct"/>
            <w:tcBorders>
              <w:top w:val="single" w:color="auto" w:sz="4" w:space="0"/>
              <w:left w:val="nil"/>
              <w:bottom w:val="nil"/>
              <w:right w:val="nil"/>
            </w:tcBorders>
            <w:vAlign w:val="center"/>
          </w:tcPr>
          <w:p w14:paraId="3C9BFC73">
            <w:pPr>
              <w:keepNext w:val="0"/>
              <w:keepLines w:val="0"/>
              <w:widowControl/>
              <w:suppressLineNumbers w:val="0"/>
              <w:snapToGrid w:val="0"/>
              <w:spacing w:line="360" w:lineRule="auto"/>
              <w:ind w:left="0" w:leftChars="0" w:right="0" w:rightChars="0" w:firstLine="0" w:firstLineChars="0"/>
              <w:jc w:val="center"/>
              <w:rPr>
                <w:rFonts w:hint="eastAsia"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Social Support</w:t>
            </w:r>
            <w:r>
              <w:rPr>
                <w:rFonts w:hint="eastAsia" w:ascii="Times New Roman" w:hAnsi="Times New Roman" w:eastAsia="宋体" w:cs="Times New Roman"/>
                <w:b w:val="0"/>
                <w:bCs w:val="0"/>
                <w:kern w:val="0"/>
                <w:sz w:val="18"/>
                <w:szCs w:val="18"/>
                <w:lang w:val="en-US" w:eastAsia="zh-CN" w:bidi="ar"/>
              </w:rPr>
              <w:t xml:space="preserve"> </w:t>
            </w:r>
          </w:p>
          <w:p w14:paraId="4167C12F">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(SS)</w:t>
            </w:r>
          </w:p>
        </w:tc>
        <w:tc>
          <w:tcPr>
            <w:tcW w:w="336" w:type="pct"/>
            <w:tcBorders>
              <w:top w:val="single" w:color="auto" w:sz="4" w:space="0"/>
              <w:left w:val="nil"/>
              <w:bottom w:val="nil"/>
              <w:right w:val="nil"/>
            </w:tcBorders>
            <w:vAlign w:val="center"/>
          </w:tcPr>
          <w:p w14:paraId="4651001D">
            <w:pPr>
              <w:keepNext w:val="0"/>
              <w:keepLines w:val="0"/>
              <w:widowControl/>
              <w:suppressLineNumbers w:val="0"/>
              <w:snapToGrid w:val="0"/>
              <w:spacing w:line="360" w:lineRule="auto"/>
              <w:ind w:left="0" w:leftChars="0" w:right="0" w:rightChars="0" w:firstLine="0" w:firstLineChars="0"/>
              <w:jc w:val="center"/>
              <w:rPr>
                <w:rFonts w:hint="eastAsia" w:ascii="Times New Roman" w:hAnsi="Times New Roman" w:eastAsia="宋体" w:cs="Times New Roman"/>
                <w:b w:val="0"/>
                <w:bCs w:val="0"/>
                <w:sz w:val="18"/>
                <w:szCs w:val="18"/>
                <w:vertAlign w:val="baseline"/>
                <w:lang w:val="en-US" w:eastAsia="zh-CN"/>
              </w:rPr>
            </w:pPr>
            <w:r>
              <w:rPr>
                <w:rFonts w:hint="eastAsia" w:ascii="Times New Roman" w:hAnsi="Times New Roman" w:eastAsia="宋体" w:cs="Times New Roman"/>
                <w:b w:val="0"/>
                <w:bCs w:val="0"/>
                <w:sz w:val="18"/>
                <w:szCs w:val="18"/>
                <w:vertAlign w:val="baseline"/>
                <w:lang w:val="en-US" w:eastAsia="zh-CN"/>
              </w:rPr>
              <w:t>4</w:t>
            </w:r>
          </w:p>
        </w:tc>
        <w:tc>
          <w:tcPr>
            <w:tcW w:w="636" w:type="pct"/>
            <w:tcBorders>
              <w:top w:val="single" w:color="auto" w:sz="4" w:space="0"/>
              <w:left w:val="nil"/>
              <w:bottom w:val="nil"/>
              <w:right w:val="nil"/>
            </w:tcBorders>
            <w:vAlign w:val="center"/>
          </w:tcPr>
          <w:p w14:paraId="128E1831">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0.83</w:t>
            </w:r>
          </w:p>
        </w:tc>
        <w:tc>
          <w:tcPr>
            <w:tcW w:w="1053" w:type="pct"/>
            <w:tcBorders>
              <w:top w:val="single" w:color="auto" w:sz="4" w:space="0"/>
              <w:left w:val="nil"/>
              <w:bottom w:val="nil"/>
              <w:right w:val="nil"/>
            </w:tcBorders>
            <w:vAlign w:val="center"/>
          </w:tcPr>
          <w:p w14:paraId="04EFCD74">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0.85</w:t>
            </w:r>
          </w:p>
        </w:tc>
        <w:tc>
          <w:tcPr>
            <w:tcW w:w="345" w:type="pct"/>
            <w:tcBorders>
              <w:top w:val="single" w:color="auto" w:sz="4" w:space="0"/>
              <w:left w:val="nil"/>
              <w:bottom w:val="nil"/>
              <w:right w:val="nil"/>
            </w:tcBorders>
            <w:vAlign w:val="center"/>
          </w:tcPr>
          <w:p w14:paraId="5C262E5C">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0.54</w:t>
            </w:r>
          </w:p>
        </w:tc>
        <w:tc>
          <w:tcPr>
            <w:tcW w:w="1509" w:type="pct"/>
            <w:tcBorders>
              <w:top w:val="single" w:color="auto" w:sz="4" w:space="0"/>
              <w:left w:val="nil"/>
              <w:bottom w:val="nil"/>
              <w:right w:val="nil"/>
            </w:tcBorders>
            <w:vAlign w:val="center"/>
          </w:tcPr>
          <w:p w14:paraId="099A8C7E">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0.62–0.81</w:t>
            </w:r>
          </w:p>
        </w:tc>
      </w:tr>
      <w:tr w14:paraId="6461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18" w:type="pct"/>
            <w:tcBorders>
              <w:top w:val="nil"/>
              <w:left w:val="nil"/>
              <w:bottom w:val="nil"/>
              <w:right w:val="nil"/>
            </w:tcBorders>
            <w:vAlign w:val="center"/>
          </w:tcPr>
          <w:p w14:paraId="67C8214F">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Autonomous Motivation</w:t>
            </w:r>
            <w:r>
              <w:rPr>
                <w:rFonts w:hint="eastAsia" w:ascii="Times New Roman" w:hAnsi="Times New Roman" w:eastAsia="宋体" w:cs="Times New Roman"/>
                <w:b w:val="0"/>
                <w:bCs w:val="0"/>
                <w:kern w:val="0"/>
                <w:sz w:val="18"/>
                <w:szCs w:val="18"/>
                <w:lang w:val="en-US" w:eastAsia="zh-CN" w:bidi="ar"/>
              </w:rPr>
              <w:t xml:space="preserve"> </w:t>
            </w:r>
            <w:r>
              <w:rPr>
                <w:rFonts w:hint="default" w:ascii="Times New Roman" w:hAnsi="Times New Roman" w:eastAsia="宋体" w:cs="Times New Roman"/>
                <w:b w:val="0"/>
                <w:bCs w:val="0"/>
                <w:kern w:val="0"/>
                <w:sz w:val="18"/>
                <w:szCs w:val="18"/>
                <w:lang w:val="en-US" w:eastAsia="zh-CN" w:bidi="ar"/>
              </w:rPr>
              <w:t>(AM)</w:t>
            </w:r>
          </w:p>
        </w:tc>
        <w:tc>
          <w:tcPr>
            <w:tcW w:w="336" w:type="pct"/>
            <w:tcBorders>
              <w:top w:val="nil"/>
              <w:left w:val="nil"/>
              <w:bottom w:val="nil"/>
              <w:right w:val="nil"/>
            </w:tcBorders>
            <w:vAlign w:val="center"/>
          </w:tcPr>
          <w:p w14:paraId="1A1012A2">
            <w:pPr>
              <w:keepNext w:val="0"/>
              <w:keepLines w:val="0"/>
              <w:widowControl/>
              <w:suppressLineNumbers w:val="0"/>
              <w:snapToGrid w:val="0"/>
              <w:spacing w:line="360" w:lineRule="auto"/>
              <w:ind w:left="0" w:leftChars="0" w:right="0" w:rightChars="0" w:firstLine="0" w:firstLineChars="0"/>
              <w:jc w:val="center"/>
              <w:rPr>
                <w:rFonts w:hint="eastAsia" w:ascii="Times New Roman" w:hAnsi="Times New Roman" w:eastAsia="宋体" w:cs="Times New Roman"/>
                <w:b w:val="0"/>
                <w:bCs w:val="0"/>
                <w:sz w:val="18"/>
                <w:szCs w:val="18"/>
                <w:vertAlign w:val="baseline"/>
                <w:lang w:val="en-US" w:eastAsia="zh-CN"/>
              </w:rPr>
            </w:pPr>
            <w:r>
              <w:rPr>
                <w:rFonts w:hint="eastAsia" w:ascii="Times New Roman" w:hAnsi="Times New Roman" w:eastAsia="宋体" w:cs="Times New Roman"/>
                <w:b w:val="0"/>
                <w:bCs w:val="0"/>
                <w:sz w:val="18"/>
                <w:szCs w:val="18"/>
                <w:vertAlign w:val="baseline"/>
                <w:lang w:val="en-US" w:eastAsia="zh-CN"/>
              </w:rPr>
              <w:t>6</w:t>
            </w:r>
          </w:p>
        </w:tc>
        <w:tc>
          <w:tcPr>
            <w:tcW w:w="636" w:type="pct"/>
            <w:tcBorders>
              <w:top w:val="nil"/>
              <w:left w:val="nil"/>
              <w:bottom w:val="nil"/>
              <w:right w:val="nil"/>
            </w:tcBorders>
            <w:vAlign w:val="center"/>
          </w:tcPr>
          <w:p w14:paraId="5337A09D">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0.86</w:t>
            </w:r>
          </w:p>
        </w:tc>
        <w:tc>
          <w:tcPr>
            <w:tcW w:w="1053" w:type="pct"/>
            <w:tcBorders>
              <w:top w:val="nil"/>
              <w:left w:val="nil"/>
              <w:bottom w:val="nil"/>
              <w:right w:val="nil"/>
            </w:tcBorders>
            <w:vAlign w:val="center"/>
          </w:tcPr>
          <w:p w14:paraId="35B360E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0.88</w:t>
            </w:r>
          </w:p>
        </w:tc>
        <w:tc>
          <w:tcPr>
            <w:tcW w:w="345" w:type="pct"/>
            <w:tcBorders>
              <w:top w:val="nil"/>
              <w:left w:val="nil"/>
              <w:bottom w:val="nil"/>
              <w:right w:val="nil"/>
            </w:tcBorders>
            <w:vAlign w:val="center"/>
          </w:tcPr>
          <w:p w14:paraId="25D5234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0.59</w:t>
            </w:r>
          </w:p>
        </w:tc>
        <w:tc>
          <w:tcPr>
            <w:tcW w:w="1509" w:type="pct"/>
            <w:tcBorders>
              <w:top w:val="nil"/>
              <w:left w:val="nil"/>
              <w:bottom w:val="nil"/>
              <w:right w:val="nil"/>
            </w:tcBorders>
            <w:vAlign w:val="center"/>
          </w:tcPr>
          <w:p w14:paraId="2D735C1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0.65–0.84</w:t>
            </w:r>
          </w:p>
        </w:tc>
      </w:tr>
      <w:tr w14:paraId="5AA6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18" w:type="pct"/>
            <w:tcBorders>
              <w:top w:val="nil"/>
              <w:left w:val="nil"/>
              <w:bottom w:val="nil"/>
              <w:right w:val="nil"/>
            </w:tcBorders>
            <w:vAlign w:val="center"/>
          </w:tcPr>
          <w:p w14:paraId="3991679D">
            <w:pPr>
              <w:keepNext w:val="0"/>
              <w:keepLines w:val="0"/>
              <w:widowControl/>
              <w:suppressLineNumbers w:val="0"/>
              <w:snapToGrid w:val="0"/>
              <w:spacing w:line="360" w:lineRule="auto"/>
              <w:ind w:left="0" w:leftChars="0" w:right="0" w:rightChars="0" w:firstLine="0" w:firstLineChars="0"/>
              <w:jc w:val="center"/>
              <w:rPr>
                <w:rFonts w:hint="eastAsia"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Community</w:t>
            </w:r>
            <w:r>
              <w:rPr>
                <w:rFonts w:hint="eastAsia" w:ascii="Times New Roman" w:hAnsi="Times New Roman" w:eastAsia="宋体" w:cs="Times New Roman"/>
                <w:b w:val="0"/>
                <w:bCs w:val="0"/>
                <w:kern w:val="0"/>
                <w:sz w:val="18"/>
                <w:szCs w:val="18"/>
                <w:lang w:val="en-US" w:eastAsia="zh-CN" w:bidi="ar"/>
              </w:rPr>
              <w:t xml:space="preserve"> </w:t>
            </w:r>
            <w:r>
              <w:rPr>
                <w:rFonts w:hint="default" w:ascii="Times New Roman" w:hAnsi="Times New Roman" w:eastAsia="宋体" w:cs="Times New Roman"/>
                <w:b w:val="0"/>
                <w:bCs w:val="0"/>
                <w:kern w:val="0"/>
                <w:sz w:val="18"/>
                <w:szCs w:val="18"/>
                <w:lang w:val="en-US" w:eastAsia="zh-CN" w:bidi="ar"/>
              </w:rPr>
              <w:t>Environment</w:t>
            </w:r>
            <w:r>
              <w:rPr>
                <w:rFonts w:hint="eastAsia" w:ascii="Times New Roman" w:hAnsi="Times New Roman" w:eastAsia="宋体" w:cs="Times New Roman"/>
                <w:b w:val="0"/>
                <w:bCs w:val="0"/>
                <w:kern w:val="0"/>
                <w:sz w:val="18"/>
                <w:szCs w:val="18"/>
                <w:lang w:val="en-US" w:eastAsia="zh-CN" w:bidi="ar"/>
              </w:rPr>
              <w:t xml:space="preserve"> </w:t>
            </w:r>
          </w:p>
          <w:p w14:paraId="3FB9191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(CE)</w:t>
            </w:r>
          </w:p>
        </w:tc>
        <w:tc>
          <w:tcPr>
            <w:tcW w:w="336" w:type="pct"/>
            <w:tcBorders>
              <w:top w:val="nil"/>
              <w:left w:val="nil"/>
              <w:bottom w:val="nil"/>
              <w:right w:val="nil"/>
            </w:tcBorders>
            <w:vAlign w:val="center"/>
          </w:tcPr>
          <w:p w14:paraId="31F1189C">
            <w:pPr>
              <w:keepNext w:val="0"/>
              <w:keepLines w:val="0"/>
              <w:widowControl/>
              <w:suppressLineNumbers w:val="0"/>
              <w:snapToGrid w:val="0"/>
              <w:spacing w:line="360" w:lineRule="auto"/>
              <w:ind w:left="0" w:leftChars="0" w:right="0" w:rightChars="0" w:firstLine="0" w:firstLineChars="0"/>
              <w:jc w:val="center"/>
              <w:rPr>
                <w:rFonts w:hint="eastAsia" w:ascii="Times New Roman" w:hAnsi="Times New Roman" w:eastAsia="宋体" w:cs="Times New Roman"/>
                <w:b w:val="0"/>
                <w:bCs w:val="0"/>
                <w:sz w:val="18"/>
                <w:szCs w:val="18"/>
                <w:vertAlign w:val="baseline"/>
                <w:lang w:val="en-US" w:eastAsia="zh-CN"/>
              </w:rPr>
            </w:pPr>
            <w:r>
              <w:rPr>
                <w:rFonts w:hint="eastAsia" w:ascii="Times New Roman" w:hAnsi="Times New Roman" w:eastAsia="宋体" w:cs="Times New Roman"/>
                <w:b w:val="0"/>
                <w:bCs w:val="0"/>
                <w:sz w:val="18"/>
                <w:szCs w:val="18"/>
                <w:vertAlign w:val="baseline"/>
                <w:lang w:val="en-US" w:eastAsia="zh-CN"/>
              </w:rPr>
              <w:t>4</w:t>
            </w:r>
          </w:p>
        </w:tc>
        <w:tc>
          <w:tcPr>
            <w:tcW w:w="636" w:type="pct"/>
            <w:tcBorders>
              <w:top w:val="nil"/>
              <w:left w:val="nil"/>
              <w:bottom w:val="nil"/>
              <w:right w:val="nil"/>
            </w:tcBorders>
            <w:vAlign w:val="center"/>
          </w:tcPr>
          <w:p w14:paraId="79D804D1">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0.81</w:t>
            </w:r>
          </w:p>
        </w:tc>
        <w:tc>
          <w:tcPr>
            <w:tcW w:w="1053" w:type="pct"/>
            <w:tcBorders>
              <w:top w:val="nil"/>
              <w:left w:val="nil"/>
              <w:bottom w:val="nil"/>
              <w:right w:val="nil"/>
            </w:tcBorders>
            <w:vAlign w:val="center"/>
          </w:tcPr>
          <w:p w14:paraId="64D2667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0.84</w:t>
            </w:r>
          </w:p>
        </w:tc>
        <w:tc>
          <w:tcPr>
            <w:tcW w:w="345" w:type="pct"/>
            <w:tcBorders>
              <w:top w:val="nil"/>
              <w:left w:val="nil"/>
              <w:bottom w:val="nil"/>
              <w:right w:val="nil"/>
            </w:tcBorders>
            <w:vAlign w:val="center"/>
          </w:tcPr>
          <w:p w14:paraId="5E38569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0.52</w:t>
            </w:r>
          </w:p>
        </w:tc>
        <w:tc>
          <w:tcPr>
            <w:tcW w:w="1509" w:type="pct"/>
            <w:tcBorders>
              <w:top w:val="nil"/>
              <w:left w:val="nil"/>
              <w:bottom w:val="nil"/>
              <w:right w:val="nil"/>
            </w:tcBorders>
            <w:vAlign w:val="center"/>
          </w:tcPr>
          <w:p w14:paraId="2DFFDACB">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0.61–0.78</w:t>
            </w:r>
          </w:p>
        </w:tc>
      </w:tr>
      <w:tr w14:paraId="5338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18" w:type="pct"/>
            <w:tcBorders>
              <w:top w:val="nil"/>
              <w:left w:val="nil"/>
              <w:bottom w:val="nil"/>
              <w:right w:val="nil"/>
            </w:tcBorders>
            <w:vAlign w:val="center"/>
          </w:tcPr>
          <w:p w14:paraId="0FAFD952">
            <w:pPr>
              <w:keepNext w:val="0"/>
              <w:keepLines w:val="0"/>
              <w:widowControl/>
              <w:suppressLineNumbers w:val="0"/>
              <w:snapToGrid w:val="0"/>
              <w:spacing w:line="360" w:lineRule="auto"/>
              <w:ind w:left="0" w:leftChars="0" w:right="0" w:rightChars="0" w:firstLine="0" w:firstLineChars="0"/>
              <w:jc w:val="center"/>
              <w:rPr>
                <w:rFonts w:hint="eastAsia"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School Environment</w:t>
            </w:r>
          </w:p>
          <w:p w14:paraId="5E100B63">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(SE)</w:t>
            </w:r>
          </w:p>
        </w:tc>
        <w:tc>
          <w:tcPr>
            <w:tcW w:w="336" w:type="pct"/>
            <w:tcBorders>
              <w:top w:val="nil"/>
              <w:left w:val="nil"/>
              <w:bottom w:val="nil"/>
              <w:right w:val="nil"/>
            </w:tcBorders>
            <w:vAlign w:val="center"/>
          </w:tcPr>
          <w:p w14:paraId="046814E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4</w:t>
            </w:r>
          </w:p>
        </w:tc>
        <w:tc>
          <w:tcPr>
            <w:tcW w:w="636" w:type="pct"/>
            <w:tcBorders>
              <w:top w:val="nil"/>
              <w:left w:val="nil"/>
              <w:bottom w:val="nil"/>
              <w:right w:val="nil"/>
            </w:tcBorders>
            <w:vAlign w:val="center"/>
          </w:tcPr>
          <w:p w14:paraId="339D8C2A">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0.84</w:t>
            </w:r>
          </w:p>
        </w:tc>
        <w:tc>
          <w:tcPr>
            <w:tcW w:w="1053" w:type="pct"/>
            <w:tcBorders>
              <w:top w:val="nil"/>
              <w:left w:val="nil"/>
              <w:bottom w:val="nil"/>
              <w:right w:val="nil"/>
            </w:tcBorders>
            <w:vAlign w:val="center"/>
          </w:tcPr>
          <w:p w14:paraId="6E50448F">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0.86</w:t>
            </w:r>
          </w:p>
        </w:tc>
        <w:tc>
          <w:tcPr>
            <w:tcW w:w="345" w:type="pct"/>
            <w:tcBorders>
              <w:top w:val="nil"/>
              <w:left w:val="nil"/>
              <w:bottom w:val="nil"/>
              <w:right w:val="nil"/>
            </w:tcBorders>
            <w:vAlign w:val="center"/>
          </w:tcPr>
          <w:p w14:paraId="7249DA3E">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0.56</w:t>
            </w:r>
          </w:p>
        </w:tc>
        <w:tc>
          <w:tcPr>
            <w:tcW w:w="1509" w:type="pct"/>
            <w:tcBorders>
              <w:top w:val="nil"/>
              <w:left w:val="nil"/>
              <w:bottom w:val="nil"/>
              <w:right w:val="nil"/>
            </w:tcBorders>
            <w:vAlign w:val="center"/>
          </w:tcPr>
          <w:p w14:paraId="5B2FDD1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0.63–0.80</w:t>
            </w:r>
          </w:p>
        </w:tc>
      </w:tr>
      <w:tr w14:paraId="3639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118" w:type="pct"/>
            <w:tcBorders>
              <w:top w:val="nil"/>
              <w:left w:val="nil"/>
              <w:bottom w:val="single" w:color="auto" w:sz="12" w:space="0"/>
              <w:right w:val="nil"/>
            </w:tcBorders>
            <w:vAlign w:val="center"/>
          </w:tcPr>
          <w:p w14:paraId="4489909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Style w:val="7"/>
                <w:rFonts w:hint="default" w:ascii="Times New Roman" w:hAnsi="Times New Roman" w:eastAsia="宋体" w:cs="Times New Roman"/>
                <w:b w:val="0"/>
                <w:bCs w:val="0"/>
                <w:kern w:val="0"/>
                <w:sz w:val="18"/>
                <w:szCs w:val="18"/>
                <w:lang w:val="en-US" w:eastAsia="zh-CN" w:bidi="ar"/>
              </w:rPr>
              <w:t>Total(scale)</w:t>
            </w:r>
          </w:p>
        </w:tc>
        <w:tc>
          <w:tcPr>
            <w:tcW w:w="336" w:type="pct"/>
            <w:tcBorders>
              <w:top w:val="nil"/>
              <w:left w:val="nil"/>
              <w:bottom w:val="single" w:color="auto" w:sz="12" w:space="0"/>
              <w:right w:val="nil"/>
            </w:tcBorders>
            <w:vAlign w:val="center"/>
          </w:tcPr>
          <w:p w14:paraId="295C23B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18</w:t>
            </w:r>
          </w:p>
        </w:tc>
        <w:tc>
          <w:tcPr>
            <w:tcW w:w="636" w:type="pct"/>
            <w:tcBorders>
              <w:top w:val="nil"/>
              <w:left w:val="nil"/>
              <w:bottom w:val="single" w:color="auto" w:sz="12" w:space="0"/>
              <w:right w:val="nil"/>
            </w:tcBorders>
            <w:vAlign w:val="center"/>
          </w:tcPr>
          <w:p w14:paraId="35D7710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Style w:val="7"/>
                <w:rFonts w:hint="default" w:ascii="Times New Roman" w:hAnsi="Times New Roman" w:eastAsia="宋体" w:cs="Times New Roman"/>
                <w:b w:val="0"/>
                <w:bCs w:val="0"/>
                <w:kern w:val="0"/>
                <w:sz w:val="18"/>
                <w:szCs w:val="18"/>
                <w:lang w:val="en-US" w:eastAsia="zh-CN" w:bidi="ar"/>
              </w:rPr>
              <w:t>0.89</w:t>
            </w:r>
          </w:p>
        </w:tc>
        <w:tc>
          <w:tcPr>
            <w:tcW w:w="1053" w:type="pct"/>
            <w:tcBorders>
              <w:top w:val="nil"/>
              <w:left w:val="nil"/>
              <w:bottom w:val="single" w:color="auto" w:sz="12" w:space="0"/>
              <w:right w:val="nil"/>
            </w:tcBorders>
            <w:vAlign w:val="center"/>
          </w:tcPr>
          <w:p w14:paraId="4B9B7A1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w:t>
            </w:r>
          </w:p>
        </w:tc>
        <w:tc>
          <w:tcPr>
            <w:tcW w:w="345" w:type="pct"/>
            <w:tcBorders>
              <w:top w:val="nil"/>
              <w:left w:val="nil"/>
              <w:bottom w:val="single" w:color="auto" w:sz="12" w:space="0"/>
              <w:right w:val="nil"/>
            </w:tcBorders>
            <w:vAlign w:val="center"/>
          </w:tcPr>
          <w:p w14:paraId="4D66367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w:t>
            </w:r>
          </w:p>
        </w:tc>
        <w:tc>
          <w:tcPr>
            <w:tcW w:w="1509" w:type="pct"/>
            <w:tcBorders>
              <w:top w:val="nil"/>
              <w:left w:val="nil"/>
              <w:bottom w:val="single" w:color="auto" w:sz="12" w:space="0"/>
              <w:right w:val="nil"/>
            </w:tcBorders>
            <w:vAlign w:val="center"/>
          </w:tcPr>
          <w:p w14:paraId="4846922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sz w:val="18"/>
                <w:szCs w:val="18"/>
                <w:vertAlign w:val="baseline"/>
              </w:rPr>
            </w:pPr>
            <w:r>
              <w:rPr>
                <w:rFonts w:hint="default" w:ascii="Times New Roman" w:hAnsi="Times New Roman" w:eastAsia="宋体" w:cs="Times New Roman"/>
                <w:b w:val="0"/>
                <w:bCs w:val="0"/>
                <w:kern w:val="0"/>
                <w:sz w:val="18"/>
                <w:szCs w:val="18"/>
                <w:lang w:val="en-US" w:eastAsia="zh-CN" w:bidi="ar"/>
              </w:rPr>
              <w:t>—</w:t>
            </w:r>
          </w:p>
        </w:tc>
      </w:tr>
    </w:tbl>
    <w:p w14:paraId="6BE85474">
      <w:pPr>
        <w:spacing w:line="360" w:lineRule="auto"/>
        <w:jc w:val="both"/>
        <w:rPr>
          <w:rFonts w:hint="default" w:ascii="Times New Roman" w:hAnsi="Times New Roman" w:cs="Times New Roman"/>
          <w:b/>
          <w:bCs/>
          <w:sz w:val="18"/>
          <w:szCs w:val="18"/>
        </w:rPr>
      </w:pPr>
      <w:r>
        <w:rPr>
          <w:rFonts w:hint="default" w:ascii="Times New Roman" w:hAnsi="Times New Roman" w:cs="Times New Roman"/>
          <w:b/>
          <w:bCs/>
          <w:sz w:val="18"/>
          <w:szCs w:val="18"/>
          <w:u w:val="none"/>
        </w:rPr>
        <w:t>Note:</w:t>
      </w:r>
      <w:r>
        <w:rPr>
          <w:rFonts w:hint="default" w:ascii="Times New Roman" w:hAnsi="Times New Roman" w:cs="Times New Roman"/>
          <w:b w:val="0"/>
          <w:bCs w:val="0"/>
          <w:sz w:val="18"/>
          <w:szCs w:val="18"/>
          <w:u w:val="none"/>
          <w:lang w:val="en-US" w:eastAsia="zh-CN"/>
        </w:rPr>
        <w:t xml:space="preserve"> ① </w:t>
      </w:r>
      <w:r>
        <w:rPr>
          <w:rFonts w:hint="default" w:ascii="Times New Roman" w:hAnsi="Times New Roman" w:cs="Times New Roman"/>
          <w:b w:val="0"/>
          <w:bCs w:val="0"/>
          <w:sz w:val="18"/>
          <w:szCs w:val="18"/>
          <w:u w:val="none"/>
        </w:rPr>
        <w:t>Cronbach’s α &gt; 0.7</w:t>
      </w:r>
      <w:r>
        <w:rPr>
          <w:rFonts w:hint="default" w:ascii="Times New Roman" w:hAnsi="Times New Roman" w:cs="Times New Roman"/>
          <w:sz w:val="18"/>
          <w:szCs w:val="18"/>
          <w:u w:val="none"/>
        </w:rPr>
        <w:t xml:space="preserve">0 indicates acceptable internal consistency. </w:t>
      </w:r>
      <w:r>
        <w:rPr>
          <w:rFonts w:hint="default" w:ascii="Times New Roman" w:hAnsi="Times New Roman" w:cs="Times New Roman"/>
          <w:sz w:val="18"/>
          <w:szCs w:val="18"/>
          <w:u w:val="none"/>
          <w:lang w:val="en-US" w:eastAsia="zh-CN"/>
        </w:rPr>
        <w:t xml:space="preserve">② </w:t>
      </w:r>
      <w:r>
        <w:rPr>
          <w:rFonts w:hint="default" w:ascii="Times New Roman" w:hAnsi="Times New Roman" w:cs="Times New Roman"/>
          <w:sz w:val="18"/>
          <w:szCs w:val="18"/>
          <w:u w:val="none"/>
        </w:rPr>
        <w:t>CR &gt; 0.70 and AVE &gt; 0.50 indicate satisfactory convergent validity.</w:t>
      </w:r>
      <w:r>
        <w:rPr>
          <w:rFonts w:hint="default" w:ascii="Times New Roman" w:hAnsi="Times New Roman" w:cs="Times New Roman"/>
          <w:sz w:val="18"/>
          <w:szCs w:val="18"/>
          <w:highlight w:val="none"/>
          <w:u w:val="none"/>
          <w:lang w:val="en-US" w:eastAsia="zh-CN"/>
        </w:rPr>
        <w:t xml:space="preserve"> </w:t>
      </w:r>
      <w:r>
        <w:rPr>
          <w:rFonts w:hint="default" w:ascii="Times New Roman" w:hAnsi="Times New Roman" w:cs="Times New Roman"/>
          <w:b w:val="0"/>
          <w:bCs w:val="0"/>
          <w:sz w:val="18"/>
          <w:szCs w:val="18"/>
          <w:highlight w:val="none"/>
          <w:u w:val="none"/>
          <w:lang w:val="en-US" w:eastAsia="zh-CN"/>
        </w:rPr>
        <w:t>③ CFA (four-factor model) fit: χ²/df = 2.41; CFI = 0.94; TLI = 0.93; RMSEA = 0.045 (9</w:t>
      </w:r>
      <w:r>
        <w:rPr>
          <w:rFonts w:hint="eastAsia" w:ascii="Times New Roman" w:hAnsi="Times New Roman" w:cs="Times New Roman"/>
          <w:b w:val="0"/>
          <w:bCs w:val="0"/>
          <w:sz w:val="18"/>
          <w:szCs w:val="18"/>
          <w:highlight w:val="none"/>
          <w:u w:val="none"/>
          <w:lang w:val="en-US" w:eastAsia="zh-CN"/>
        </w:rPr>
        <w:t>5</w:t>
      </w:r>
      <w:r>
        <w:rPr>
          <w:rFonts w:hint="default" w:ascii="Times New Roman" w:hAnsi="Times New Roman" w:cs="Times New Roman"/>
          <w:b w:val="0"/>
          <w:bCs w:val="0"/>
          <w:sz w:val="18"/>
          <w:szCs w:val="18"/>
          <w:highlight w:val="none"/>
          <w:u w:val="none"/>
          <w:lang w:val="en-US" w:eastAsia="zh-CN"/>
        </w:rPr>
        <w:t>% CI: 0.038–0.052); SRMR = 0.041.</w:t>
      </w:r>
    </w:p>
    <w:p w14:paraId="54DE6984">
      <w:pPr>
        <w:spacing w:line="360" w:lineRule="auto"/>
        <w:rPr>
          <w:rFonts w:hint="default" w:ascii="Times New Roman" w:hAnsi="Times New Roman" w:cs="Times New Roman"/>
          <w:b/>
          <w:bCs/>
          <w:sz w:val="21"/>
          <w:szCs w:val="21"/>
        </w:rPr>
      </w:pPr>
    </w:p>
    <w:p w14:paraId="4190ACAF">
      <w:pPr>
        <w:spacing w:line="360" w:lineRule="auto"/>
        <w:rPr>
          <w:rFonts w:hint="default" w:ascii="Times New Roman" w:hAnsi="Times New Roman" w:cs="Times New Roman"/>
          <w:sz w:val="21"/>
          <w:szCs w:val="21"/>
        </w:rPr>
      </w:pPr>
      <w:r>
        <w:rPr>
          <w:rFonts w:hint="default" w:ascii="Times New Roman" w:hAnsi="Times New Roman" w:cs="Times New Roman"/>
          <w:b/>
          <w:bCs/>
          <w:sz w:val="21"/>
          <w:szCs w:val="21"/>
        </w:rPr>
        <w:t>Table S2. Explanation</w:t>
      </w:r>
      <w:r>
        <w:rPr>
          <w:rFonts w:hint="eastAsia" w:ascii="Times New Roman" w:hAnsi="Times New Roman" w:cs="Times New Roman"/>
          <w:b/>
          <w:bCs/>
          <w:sz w:val="21"/>
          <w:szCs w:val="21"/>
          <w:lang w:val="en-US" w:eastAsia="zh-CN"/>
        </w:rPr>
        <w:t>:</w:t>
      </w:r>
    </w:p>
    <w:p w14:paraId="44FFC472">
      <w:pPr>
        <w:spacing w:line="360" w:lineRule="auto"/>
        <w:ind w:firstLine="420" w:firstLineChars="200"/>
        <w:rPr>
          <w:rFonts w:hint="default" w:ascii="Times New Roman" w:hAnsi="Times New Roman" w:cs="Times New Roman"/>
          <w:sz w:val="21"/>
          <w:szCs w:val="21"/>
          <w:lang w:val="en-US" w:eastAsia="zh-CN"/>
        </w:rPr>
      </w:pPr>
      <w:r>
        <w:rPr>
          <w:rFonts w:hint="default" w:ascii="Times New Roman" w:hAnsi="Times New Roman" w:cs="Times New Roman"/>
          <w:sz w:val="21"/>
          <w:szCs w:val="21"/>
        </w:rPr>
        <w:t xml:space="preserve">Based on a total of 706 valid questionnaires, the reliability and validity of the adapted questionnaire were examined prior to hypothesis testing (Table S2). Internal consistency reliability was assessed using Cronbach’s alpha coefficients. The results indicated good to excellent reliability across all dimensions, with Cronbach’s α values of 0.83 for Social Support (SS), 0.86 for Autonomous Motivation (AM), 0.81 for Community Environment (CE), and 0.84 for School Environment (SE). The overall scale demonstrated high internal consistency (α = 0.89), exceeding the commonly accepted threshold of 0.70 for acceptable reliability </w:t>
      </w:r>
      <w:r>
        <w:rPr>
          <w:rFonts w:hint="default" w:ascii="Times New Roman" w:hAnsi="Times New Roman" w:cs="Times New Roman"/>
          <w:sz w:val="21"/>
          <w:szCs w:val="21"/>
          <w:lang w:val="en-US"/>
        </w:rPr>
        <w:fldChar w:fldCharType="begin"/>
      </w:r>
      <w:r>
        <w:rPr>
          <w:rFonts w:hint="default" w:ascii="Times New Roman" w:hAnsi="Times New Roman" w:cs="Times New Roman"/>
          <w:sz w:val="21"/>
          <w:szCs w:val="21"/>
          <w:lang w:val="en-US"/>
        </w:rPr>
        <w:instrText xml:space="preserve"> REF _Ref30382 \r \h </w:instrText>
      </w:r>
      <w:r>
        <w:rPr>
          <w:rFonts w:hint="default" w:ascii="Times New Roman" w:hAnsi="Times New Roman" w:cs="Times New Roman"/>
          <w:sz w:val="21"/>
          <w:szCs w:val="21"/>
          <w:lang w:val="en-US"/>
        </w:rPr>
        <w:fldChar w:fldCharType="separate"/>
      </w:r>
      <w:r>
        <w:rPr>
          <w:rFonts w:hint="default" w:ascii="Times New Roman" w:hAnsi="Times New Roman" w:cs="Times New Roman"/>
          <w:sz w:val="21"/>
          <w:szCs w:val="21"/>
          <w:lang w:val="en-US"/>
        </w:rPr>
        <w:t>[1]</w:t>
      </w:r>
      <w:r>
        <w:rPr>
          <w:rFonts w:hint="default" w:ascii="Times New Roman" w:hAnsi="Times New Roman" w:cs="Times New Roman"/>
          <w:sz w:val="21"/>
          <w:szCs w:val="21"/>
          <w:lang w:val="en-US"/>
        </w:rPr>
        <w:fldChar w:fldCharType="end"/>
      </w: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 xml:space="preserve">Construct validity was evaluated using confirmatory factor analysis (CFA). The hypothesized four-factor model showed an acceptable to good fit to the data (χ²/df = 2.41, CFI = 0.94, TLI = 0.93, RMSEA = 0.045, SRMR = 0.041), meeting recommended cutoff criteria for model fit </w:t>
      </w: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REF _Ref30581 \r \h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lang w:val="en-US" w:eastAsia="zh-CN"/>
        </w:rPr>
        <w:t>[2]</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xml:space="preserve">. All standardized factor loadings were statistically significant (p &lt; 0.001) and exceeded 0.60, indicating adequate item–construct relationships </w:t>
      </w: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REF _Ref30617 \r \h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lang w:val="en-US" w:eastAsia="zh-CN"/>
        </w:rPr>
        <w:t>[3]</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xml:space="preserve">. Convergent validity was further supported, as the average variance extracted (AVE) values for all constructs were greater than 0.50 and composite reliability (CR) values exceeded 0.70, consistent with established recommendations </w:t>
      </w: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REF _Ref30663 \r \h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Taken together, these results indicate that the adapted questionnaire demonstrates satisfactory reliability and construct validity when applied to a child population.</w:t>
      </w:r>
    </w:p>
    <w:p w14:paraId="56FAAB95">
      <w:pPr>
        <w:spacing w:line="360" w:lineRule="auto"/>
        <w:jc w:val="both"/>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rPr>
        <w:t>Short explanatory notes (for Additional file 2)</w:t>
      </w:r>
      <w:r>
        <w:rPr>
          <w:rFonts w:hint="eastAsia" w:ascii="Times New Roman" w:hAnsi="Times New Roman" w:cs="Times New Roman"/>
          <w:b/>
          <w:bCs/>
          <w:sz w:val="21"/>
          <w:szCs w:val="21"/>
          <w:lang w:val="en-US" w:eastAsia="zh-CN"/>
        </w:rPr>
        <w:t>:</w:t>
      </w:r>
    </w:p>
    <w:p w14:paraId="08E73619">
      <w:pPr>
        <w:numPr>
          <w:ilvl w:val="0"/>
          <w:numId w:val="1"/>
        </w:numPr>
        <w:spacing w:line="360" w:lineRule="auto"/>
        <w:ind w:firstLine="422" w:firstLineChars="200"/>
        <w:jc w:val="both"/>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Scope of statistics reported: </w:t>
      </w:r>
      <w:r>
        <w:rPr>
          <w:rFonts w:hint="default" w:ascii="Times New Roman" w:hAnsi="Times New Roman" w:cs="Times New Roman"/>
          <w:b w:val="0"/>
          <w:bCs w:val="0"/>
          <w:sz w:val="21"/>
          <w:szCs w:val="21"/>
          <w:lang w:val="en-US" w:eastAsia="zh-CN"/>
        </w:rPr>
        <w:t>Table S2 reports internal consistency reliability (Cronbach’s α), composite reliability (CR), average variance extracted (AVE), standardized factor-loading ranges for each construct, and confirmatory factor analysis (CFA) fit indices for the pre-specified four-factor model. These statistics directly assess the reliability and construct validity of the adapted instrument in the present child sample (n = 706).</w:t>
      </w:r>
    </w:p>
    <w:p w14:paraId="44B847F2">
      <w:pPr>
        <w:numPr>
          <w:ilvl w:val="0"/>
          <w:numId w:val="1"/>
        </w:numPr>
        <w:spacing w:line="360" w:lineRule="auto"/>
        <w:ind w:firstLine="422" w:firstLineChars="200"/>
        <w:jc w:val="both"/>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Rationale for not conducting formal I-CVI / S-CVI quantification: </w:t>
      </w:r>
      <w:r>
        <w:rPr>
          <w:rFonts w:hint="default" w:ascii="Times New Roman" w:hAnsi="Times New Roman" w:cs="Times New Roman"/>
          <w:b w:val="0"/>
          <w:bCs w:val="0"/>
          <w:sz w:val="21"/>
          <w:szCs w:val="21"/>
          <w:lang w:val="en-US" w:eastAsia="zh-CN"/>
        </w:rPr>
        <w:t xml:space="preserve">The questionnaire used in this study represents a linguistic and age-appropriate adaptation of the scale developed by Dai et al., which was originally designed and validated for adolescents </w:t>
      </w:r>
      <w:r>
        <w:rPr>
          <w:rFonts w:hint="eastAsia" w:ascii="Times New Roman" w:hAnsi="Times New Roman" w:cs="Times New Roman"/>
          <w:b w:val="0"/>
          <w:bCs w:val="0"/>
          <w:sz w:val="21"/>
          <w:szCs w:val="21"/>
          <w:lang w:val="en-US" w:eastAsia="zh-CN"/>
        </w:rPr>
        <w:fldChar w:fldCharType="begin"/>
      </w:r>
      <w:r>
        <w:rPr>
          <w:rFonts w:hint="eastAsia" w:ascii="Times New Roman" w:hAnsi="Times New Roman" w:cs="Times New Roman"/>
          <w:b w:val="0"/>
          <w:bCs w:val="0"/>
          <w:sz w:val="21"/>
          <w:szCs w:val="21"/>
          <w:lang w:val="en-US" w:eastAsia="zh-CN"/>
        </w:rPr>
        <w:instrText xml:space="preserve"> REF _Ref10725 \r \h </w:instrText>
      </w:r>
      <w:r>
        <w:rPr>
          <w:rFonts w:hint="eastAsia" w:ascii="Times New Roman" w:hAnsi="Times New Roman" w:cs="Times New Roman"/>
          <w:b w:val="0"/>
          <w:bCs w:val="0"/>
          <w:sz w:val="21"/>
          <w:szCs w:val="21"/>
          <w:lang w:val="en-US" w:eastAsia="zh-CN"/>
        </w:rPr>
        <w:fldChar w:fldCharType="separate"/>
      </w:r>
      <w:r>
        <w:rPr>
          <w:rFonts w:hint="eastAsia" w:ascii="Times New Roman" w:hAnsi="Times New Roman" w:cs="Times New Roman"/>
          <w:b w:val="0"/>
          <w:bCs w:val="0"/>
          <w:sz w:val="21"/>
          <w:szCs w:val="21"/>
          <w:lang w:val="en-US" w:eastAsia="zh-CN"/>
        </w:rPr>
        <w:t>[5]</w:t>
      </w:r>
      <w:r>
        <w:rPr>
          <w:rFonts w:hint="eastAsia" w:ascii="Times New Roman" w:hAnsi="Times New Roman" w:cs="Times New Roman"/>
          <w:b w:val="0"/>
          <w:bCs w:val="0"/>
          <w:sz w:val="21"/>
          <w:szCs w:val="21"/>
          <w:lang w:val="en-US" w:eastAsia="zh-CN"/>
        </w:rPr>
        <w:fldChar w:fldCharType="end"/>
      </w:r>
      <w:r>
        <w:rPr>
          <w:rFonts w:hint="default" w:ascii="Times New Roman" w:hAnsi="Times New Roman" w:cs="Times New Roman"/>
          <w:b w:val="0"/>
          <w:bCs w:val="0"/>
          <w:sz w:val="21"/>
          <w:szCs w:val="21"/>
          <w:lang w:val="en-US" w:eastAsia="zh-CN"/>
        </w:rPr>
        <w:t xml:space="preserve">, rather than a newly developed instrument. Adaptations were limited to wording simplification and the removal of items clearly inapplicable to children. In line with methodological guidance and recent systematic reviews, such theory-consistent adaptations prioritize transparent documentation of item inclusion and confirmatory validation over repeating a full expert-based I-CVI/S-CVI procedure, unless specifically requested by reviewers </w:t>
      </w:r>
      <w:r>
        <w:rPr>
          <w:rFonts w:hint="eastAsia" w:ascii="Times New Roman" w:hAnsi="Times New Roman" w:cs="Times New Roman"/>
          <w:b w:val="0"/>
          <w:bCs w:val="0"/>
          <w:sz w:val="21"/>
          <w:szCs w:val="21"/>
          <w:lang w:val="en-US" w:eastAsia="zh-CN"/>
        </w:rPr>
        <w:fldChar w:fldCharType="begin"/>
      </w:r>
      <w:r>
        <w:rPr>
          <w:rFonts w:hint="eastAsia" w:ascii="Times New Roman" w:hAnsi="Times New Roman" w:cs="Times New Roman"/>
          <w:b w:val="0"/>
          <w:bCs w:val="0"/>
          <w:sz w:val="21"/>
          <w:szCs w:val="21"/>
          <w:lang w:val="en-US" w:eastAsia="zh-CN"/>
        </w:rPr>
        <w:instrText xml:space="preserve"> REF _Ref7777 \r \h </w:instrText>
      </w:r>
      <w:r>
        <w:rPr>
          <w:rFonts w:hint="eastAsia" w:ascii="Times New Roman" w:hAnsi="Times New Roman" w:cs="Times New Roman"/>
          <w:b w:val="0"/>
          <w:bCs w:val="0"/>
          <w:sz w:val="21"/>
          <w:szCs w:val="21"/>
          <w:lang w:val="en-US" w:eastAsia="zh-CN"/>
        </w:rPr>
        <w:fldChar w:fldCharType="separate"/>
      </w:r>
      <w:r>
        <w:rPr>
          <w:rFonts w:hint="eastAsia" w:ascii="Times New Roman" w:hAnsi="Times New Roman" w:cs="Times New Roman"/>
          <w:b w:val="0"/>
          <w:bCs w:val="0"/>
          <w:sz w:val="21"/>
          <w:szCs w:val="21"/>
          <w:lang w:val="en-US" w:eastAsia="zh-CN"/>
        </w:rPr>
        <w:t>[6]</w:t>
      </w:r>
      <w:r>
        <w:rPr>
          <w:rFonts w:hint="eastAsia" w:ascii="Times New Roman" w:hAnsi="Times New Roman" w:cs="Times New Roman"/>
          <w:b w:val="0"/>
          <w:bCs w:val="0"/>
          <w:sz w:val="21"/>
          <w:szCs w:val="21"/>
          <w:lang w:val="en-US" w:eastAsia="zh-CN"/>
        </w:rPr>
        <w:fldChar w:fldCharType="end"/>
      </w:r>
      <w:r>
        <w:rPr>
          <w:rFonts w:hint="default" w:ascii="Times New Roman" w:hAnsi="Times New Roman" w:cs="Times New Roman"/>
          <w:b w:val="0"/>
          <w:bCs w:val="0"/>
          <w:sz w:val="21"/>
          <w:szCs w:val="21"/>
          <w:lang w:val="en-US" w:eastAsia="zh-CN"/>
        </w:rPr>
        <w:t>. The complete list of items administered is provided in Additional file 1 (Table S1).</w:t>
      </w:r>
    </w:p>
    <w:p w14:paraId="5FF60D3D">
      <w:pPr>
        <w:numPr>
          <w:ilvl w:val="0"/>
          <w:numId w:val="1"/>
        </w:numPr>
        <w:spacing w:line="360" w:lineRule="auto"/>
        <w:ind w:firstLine="422" w:firstLineChars="200"/>
        <w:jc w:val="both"/>
        <w:rPr>
          <w:rFonts w:hint="default" w:ascii="Times New Roman" w:hAnsi="Times New Roman" w:cs="Times New Roman"/>
          <w:b w:val="0"/>
          <w:bCs w:val="0"/>
          <w:sz w:val="21"/>
          <w:szCs w:val="21"/>
          <w:lang w:val="en-US" w:eastAsia="zh-CN"/>
        </w:rPr>
      </w:pPr>
      <w:r>
        <w:rPr>
          <w:rFonts w:hint="default" w:ascii="Times New Roman" w:hAnsi="Times New Roman" w:cs="Times New Roman"/>
          <w:b/>
          <w:bCs/>
          <w:sz w:val="21"/>
          <w:szCs w:val="21"/>
          <w:lang w:val="en-US" w:eastAsia="zh-CN"/>
        </w:rPr>
        <w:t xml:space="preserve">Rationale for using CFA rather than EFA: </w:t>
      </w:r>
      <w:r>
        <w:rPr>
          <w:rFonts w:hint="default" w:ascii="Times New Roman" w:hAnsi="Times New Roman" w:cs="Times New Roman"/>
          <w:b w:val="0"/>
          <w:bCs w:val="0"/>
          <w:sz w:val="21"/>
          <w:szCs w:val="21"/>
          <w:lang w:val="en-US" w:eastAsia="zh-CN"/>
        </w:rPr>
        <w:t>Because the original scale has a well-documented factor structure and the present adaptation preserved the underlying construct definitions, a confirmatory approach (CFA) was used to test whether the pre-specified four-factor model adequately fit the child data. The CFA results demonstrate acceptable to good model fit, with all standardized factor loadings ≥ 0.60, supporting the applicability of the original construct structure in the child sample. This approach is consistent with common psychometric practice for adaptations of validated measures.</w:t>
      </w:r>
    </w:p>
    <w:p w14:paraId="36DCF497">
      <w:pPr>
        <w:numPr>
          <w:ilvl w:val="0"/>
          <w:numId w:val="1"/>
        </w:numPr>
        <w:spacing w:line="360" w:lineRule="auto"/>
        <w:ind w:firstLine="422" w:firstLineChars="200"/>
        <w:jc w:val="both"/>
        <w:rPr>
          <w:rFonts w:hint="default" w:ascii="Times New Roman" w:hAnsi="Times New Roman" w:cs="Times New Roman"/>
          <w:b w:val="0"/>
          <w:bCs w:val="0"/>
          <w:sz w:val="21"/>
          <w:szCs w:val="21"/>
          <w:lang w:val="en-US" w:eastAsia="zh-CN"/>
        </w:rPr>
      </w:pPr>
      <w:r>
        <w:rPr>
          <w:rFonts w:hint="default" w:ascii="Times New Roman" w:hAnsi="Times New Roman" w:cs="Times New Roman"/>
          <w:b/>
          <w:bCs/>
          <w:sz w:val="21"/>
          <w:szCs w:val="21"/>
          <w:lang w:val="en-US" w:eastAsia="zh-CN"/>
        </w:rPr>
        <w:t xml:space="preserve">Convergent and discriminant validity: </w:t>
      </w:r>
      <w:r>
        <w:rPr>
          <w:rFonts w:hint="default" w:ascii="Times New Roman" w:hAnsi="Times New Roman" w:cs="Times New Roman"/>
          <w:b w:val="0"/>
          <w:bCs w:val="0"/>
          <w:sz w:val="21"/>
          <w:szCs w:val="21"/>
          <w:lang w:val="en-US" w:eastAsia="zh-CN"/>
        </w:rPr>
        <w:t>Convergent validity was evaluated using composite reliability (CR) and average variance extracted (AVE), with all constructs meeting recommended thresholds (CR &gt; 0.70; AVE ≥ 0.50). Discriminant validity was assessed using the Fornell–Larcker criterion, whereby the square root of AVE for each construct exceeded the corresponding inter-construct correlations. Based on these criteria, the results indicated adequate discriminant validity among the four constructs.</w:t>
      </w:r>
    </w:p>
    <w:p w14:paraId="7CC505D7">
      <w:pPr>
        <w:numPr>
          <w:ilvl w:val="0"/>
          <w:numId w:val="1"/>
        </w:numPr>
        <w:spacing w:line="360" w:lineRule="auto"/>
        <w:ind w:firstLine="422" w:firstLineChars="200"/>
        <w:jc w:val="both"/>
        <w:rPr>
          <w:rFonts w:hint="default" w:ascii="Times New Roman" w:hAnsi="Times New Roman" w:cs="Times New Roman"/>
          <w:b w:val="0"/>
          <w:bCs w:val="0"/>
          <w:sz w:val="21"/>
          <w:szCs w:val="21"/>
          <w:lang w:val="en-US" w:eastAsia="zh-CN"/>
        </w:rPr>
      </w:pPr>
      <w:r>
        <w:rPr>
          <w:rFonts w:hint="default" w:ascii="Times New Roman" w:hAnsi="Times New Roman" w:cs="Times New Roman"/>
          <w:b/>
          <w:bCs/>
          <w:sz w:val="21"/>
          <w:szCs w:val="21"/>
          <w:lang w:val="en-US" w:eastAsia="zh-CN"/>
        </w:rPr>
        <w:t xml:space="preserve">Test-retest reliability: </w:t>
      </w:r>
      <w:r>
        <w:rPr>
          <w:rFonts w:hint="default" w:ascii="Times New Roman" w:hAnsi="Times New Roman" w:cs="Times New Roman"/>
          <w:b w:val="0"/>
          <w:bCs w:val="0"/>
          <w:sz w:val="21"/>
          <w:szCs w:val="21"/>
          <w:lang w:val="en-US" w:eastAsia="zh-CN"/>
        </w:rPr>
        <w:t>Test</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retest reliability was not assessed in the current study. Owing to practical constraints related to the large-scale, school-based survey design and the family-assisted questionnaire completion process, repeated administration within a controlled time interval was not feasible. Although test–retest reliability is an important indicator of temporal stability, satisfactory internal consistency and confirmatory factor analysis results provide initial support for the reliability of the adapted instrument in this sample. Future studies may evaluate test–retest reliability in a subsample of approximately 50</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100 children using a 1</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2 week interval and report intraclass correlation coefficients (ICC; two-way mixed-effects model, absolute agreement).</w:t>
      </w:r>
    </w:p>
    <w:p w14:paraId="463F378E">
      <w:pPr>
        <w:numPr>
          <w:ilvl w:val="0"/>
          <w:numId w:val="1"/>
        </w:numPr>
        <w:spacing w:line="360" w:lineRule="auto"/>
        <w:ind w:firstLine="422" w:firstLineChars="200"/>
        <w:jc w:val="both"/>
        <w:rPr>
          <w:rFonts w:hint="default" w:ascii="Times New Roman" w:hAnsi="Times New Roman" w:cs="Times New Roman"/>
          <w:b w:val="0"/>
          <w:bCs w:val="0"/>
          <w:sz w:val="21"/>
          <w:szCs w:val="21"/>
          <w:lang w:val="en-US" w:eastAsia="zh-CN"/>
        </w:rPr>
      </w:pPr>
      <w:r>
        <w:rPr>
          <w:rFonts w:hint="default" w:ascii="Times New Roman" w:hAnsi="Times New Roman" w:cs="Times New Roman"/>
          <w:b/>
          <w:bCs/>
          <w:sz w:val="21"/>
          <w:szCs w:val="21"/>
          <w:lang w:val="en-US" w:eastAsia="zh-CN"/>
        </w:rPr>
        <w:t xml:space="preserve">Transparency statement: </w:t>
      </w:r>
      <w:r>
        <w:rPr>
          <w:rFonts w:hint="default" w:ascii="Times New Roman" w:hAnsi="Times New Roman" w:cs="Times New Roman"/>
          <w:b w:val="0"/>
          <w:bCs w:val="0"/>
          <w:sz w:val="21"/>
          <w:szCs w:val="21"/>
          <w:lang w:val="en-US" w:eastAsia="zh-CN"/>
        </w:rPr>
        <w:t>In accordance with the reporting recommendations summarized by Ke et al., this study provides transparent documentation of the final questionnaire items (Additional file 1: Table S1) and a comprehensive summary of reliability and validity statistics (Additional file 2: Table S2). These materials are intended to facilitate evaluation of the questionnaire adaptation and support replication in future research.</w:t>
      </w:r>
    </w:p>
    <w:p w14:paraId="1AF278CF">
      <w:pPr>
        <w:widowControl w:val="0"/>
        <w:numPr>
          <w:ilvl w:val="0"/>
          <w:numId w:val="0"/>
        </w:numPr>
        <w:spacing w:line="360" w:lineRule="auto"/>
        <w:jc w:val="both"/>
        <w:rPr>
          <w:rFonts w:hint="default" w:ascii="Times New Roman" w:hAnsi="Times New Roman" w:cs="Times New Roman"/>
          <w:b w:val="0"/>
          <w:bCs w:val="0"/>
          <w:sz w:val="21"/>
          <w:szCs w:val="21"/>
          <w:lang w:val="en-US" w:eastAsia="zh-CN"/>
        </w:rPr>
      </w:pPr>
    </w:p>
    <w:p w14:paraId="4F279CBC">
      <w:pPr>
        <w:spacing w:line="360" w:lineRule="auto"/>
        <w:jc w:val="both"/>
        <w:rPr>
          <w:rFonts w:hint="default" w:ascii="Times New Roman" w:hAnsi="Times New Roman" w:eastAsia="宋体" w:cs="Times New Roman"/>
          <w:b w:val="0"/>
          <w:bCs/>
          <w:color w:val="000000"/>
          <w:kern w:val="0"/>
          <w:sz w:val="21"/>
          <w:szCs w:val="21"/>
          <w:lang w:val="en-US" w:eastAsia="zh-CN"/>
        </w:rPr>
      </w:pPr>
      <w:r>
        <w:rPr>
          <w:rFonts w:hint="default" w:ascii="Times New Roman" w:hAnsi="Times New Roman" w:cs="Times New Roman"/>
          <w:b/>
          <w:bCs w:val="0"/>
          <w:sz w:val="21"/>
          <w:szCs w:val="21"/>
        </w:rPr>
        <w:t>The specific references are as follows</w:t>
      </w:r>
      <w:r>
        <w:rPr>
          <w:rFonts w:hint="default" w:ascii="Times New Roman" w:hAnsi="Times New Roman" w:cs="Times New Roman"/>
          <w:b/>
          <w:bCs w:val="0"/>
          <w:sz w:val="21"/>
          <w:szCs w:val="21"/>
          <w:lang w:val="en-US" w:eastAsia="zh-CN"/>
        </w:rPr>
        <w:t>:</w:t>
      </w:r>
    </w:p>
    <w:p w14:paraId="6A8776BE">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cs="Times New Roman"/>
          <w:b w:val="0"/>
          <w:bCs w:val="0"/>
          <w:sz w:val="21"/>
          <w:szCs w:val="21"/>
          <w:lang w:val="en-US" w:eastAsia="zh-CN"/>
        </w:rPr>
      </w:pPr>
      <w:bookmarkStart w:id="0" w:name="_Ref30382"/>
      <w:bookmarkStart w:id="1" w:name="_Ref7777"/>
      <w:r>
        <w:rPr>
          <w:rFonts w:hint="default" w:ascii="Times New Roman" w:hAnsi="Times New Roman" w:cs="Times New Roman"/>
          <w:b w:val="0"/>
          <w:bCs w:val="0"/>
          <w:sz w:val="21"/>
          <w:szCs w:val="21"/>
          <w:lang w:val="en-US" w:eastAsia="zh-CN"/>
        </w:rPr>
        <w:t>Nunnally JC, Bernstein IH.</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Psychometric theory. 3rd ed. New York: McGraw-Hill; 1994.</w:t>
      </w:r>
      <w:bookmarkEnd w:id="0"/>
    </w:p>
    <w:p w14:paraId="48CCAE5F">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cs="Times New Roman"/>
          <w:b w:val="0"/>
          <w:bCs w:val="0"/>
          <w:sz w:val="21"/>
          <w:szCs w:val="21"/>
          <w:lang w:val="en-US" w:eastAsia="zh-CN"/>
        </w:rPr>
      </w:pPr>
      <w:bookmarkStart w:id="2" w:name="_Ref30581"/>
      <w:r>
        <w:rPr>
          <w:rFonts w:hint="default" w:ascii="Times New Roman" w:hAnsi="Times New Roman" w:cs="Times New Roman"/>
          <w:b w:val="0"/>
          <w:bCs w:val="0"/>
          <w:sz w:val="21"/>
          <w:szCs w:val="21"/>
          <w:lang w:val="en-US" w:eastAsia="zh-CN"/>
        </w:rPr>
        <w:t>Hu LT, Bentler PM.</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Cutoff criteria for fit indexes in covariance structure analysis: Conventional criteria versus new alternatives.</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Struct Equ Modeling. 1999;6(1):1</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55.</w:t>
      </w:r>
      <w:bookmarkEnd w:id="2"/>
    </w:p>
    <w:p w14:paraId="77CDB78E">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cs="Times New Roman"/>
          <w:b w:val="0"/>
          <w:bCs w:val="0"/>
          <w:sz w:val="21"/>
          <w:szCs w:val="21"/>
          <w:lang w:val="en-US" w:eastAsia="zh-CN"/>
        </w:rPr>
      </w:pPr>
      <w:bookmarkStart w:id="3" w:name="_Ref30617"/>
      <w:r>
        <w:rPr>
          <w:rFonts w:hint="default" w:ascii="Times New Roman" w:hAnsi="Times New Roman" w:cs="Times New Roman"/>
          <w:b w:val="0"/>
          <w:bCs w:val="0"/>
          <w:sz w:val="21"/>
          <w:szCs w:val="21"/>
          <w:lang w:val="en-US" w:eastAsia="zh-CN"/>
        </w:rPr>
        <w:t>Hair JF, Black WC, Babin BJ, Anderson RE.</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Multivariate data analysis. 7th ed. Upper Saddle River (NJ): Pearson Education; 2010.</w:t>
      </w:r>
      <w:bookmarkEnd w:id="3"/>
    </w:p>
    <w:p w14:paraId="2E3B0CB7">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cs="Times New Roman"/>
          <w:b w:val="0"/>
          <w:bCs w:val="0"/>
          <w:sz w:val="21"/>
          <w:szCs w:val="21"/>
          <w:lang w:val="en-US" w:eastAsia="zh-CN"/>
        </w:rPr>
      </w:pPr>
      <w:bookmarkStart w:id="4" w:name="_Ref30663"/>
      <w:r>
        <w:rPr>
          <w:rFonts w:hint="default" w:ascii="Times New Roman" w:hAnsi="Times New Roman" w:cs="Times New Roman"/>
          <w:b w:val="0"/>
          <w:bCs w:val="0"/>
          <w:sz w:val="21"/>
          <w:szCs w:val="21"/>
          <w:lang w:val="en-US" w:eastAsia="zh-CN"/>
        </w:rPr>
        <w:t>Fornell C, Larcker DF.</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Evaluating structural equation models with unobservable variables and measurement error.</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J Mark Res. 1981;18(1):39</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50.</w:t>
      </w:r>
      <w:bookmarkEnd w:id="4"/>
    </w:p>
    <w:p w14:paraId="00C392B5">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Dai J., Chen H. Research on the Factors Affecting Adolescents' Extracurricular Physical Activities from the Perspective of Social Ecological Theory. Journal of Capital University of Physical Education and Sports, 20</w:t>
      </w:r>
      <w:r>
        <w:rPr>
          <w:rFonts w:hint="eastAsia" w:ascii="Times New Roman" w:hAnsi="Times New Roman" w:cs="Times New Roman"/>
          <w:b w:val="0"/>
          <w:bCs w:val="0"/>
          <w:sz w:val="21"/>
          <w:szCs w:val="21"/>
          <w:lang w:val="en-US" w:eastAsia="zh-CN"/>
        </w:rPr>
        <w:t>18</w:t>
      </w:r>
      <w:r>
        <w:rPr>
          <w:rFonts w:hint="default" w:ascii="Times New Roman" w:hAnsi="Times New Roman" w:cs="Times New Roman"/>
          <w:b w:val="0"/>
          <w:bCs w:val="0"/>
          <w:sz w:val="21"/>
          <w:szCs w:val="21"/>
          <w:lang w:val="en-US" w:eastAsia="zh-CN"/>
        </w:rPr>
        <w:t>, 30(4)</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 xml:space="preserve"> 371–377.</w:t>
      </w:r>
      <w:bookmarkEnd w:id="1"/>
    </w:p>
    <w:p w14:paraId="2BB6EDAC">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cs="Times New Roman"/>
          <w:b w:val="0"/>
          <w:bCs w:val="0"/>
          <w:sz w:val="16"/>
          <w:szCs w:val="16"/>
          <w:lang w:val="en-US" w:eastAsia="zh-CN"/>
        </w:rPr>
      </w:pPr>
      <w:bookmarkStart w:id="5" w:name="_Ref10725"/>
      <w:r>
        <w:rPr>
          <w:rFonts w:hint="default" w:ascii="Times New Roman" w:hAnsi="Times New Roman" w:cs="Times New Roman"/>
          <w:b w:val="0"/>
          <w:bCs w:val="0"/>
          <w:sz w:val="21"/>
          <w:szCs w:val="21"/>
          <w:lang w:val="en-US" w:eastAsia="zh-CN"/>
        </w:rPr>
        <w:t>Ke Y., Sun J., Li B., et al. Is the questionnaire valid? — A systematic analysis based on CSSCI</w:t>
      </w:r>
      <w:r>
        <w:rPr>
          <w:rFonts w:hint="default" w:ascii="Times New Roman" w:hAnsi="Times New Roman" w:cs="Times New Roman"/>
          <w:b w:val="0"/>
          <w:bCs w:val="0"/>
          <w:sz w:val="21"/>
          <w:szCs w:val="21"/>
          <w:lang w:val="en-US" w:eastAsia="zh-CN"/>
        </w:rPr>
        <w:noBreakHyphen/>
      </w:r>
      <w:r>
        <w:rPr>
          <w:rFonts w:hint="default" w:ascii="Times New Roman" w:hAnsi="Times New Roman" w:cs="Times New Roman"/>
          <w:b w:val="0"/>
          <w:bCs w:val="0"/>
          <w:sz w:val="21"/>
          <w:szCs w:val="21"/>
          <w:lang w:val="en-US" w:eastAsia="zh-CN"/>
        </w:rPr>
        <w:t>indexed sports journals from 2010 to 2020. Journal of Shanghai University of Sport, 2023, 47(2): 37</w:t>
      </w:r>
      <w:r>
        <w:rPr>
          <w:rFonts w:hint="default" w:ascii="Times New Roman" w:hAnsi="Times New Roman" w:cs="Times New Roman"/>
          <w:b w:val="0"/>
          <w:bCs w:val="0"/>
          <w:sz w:val="21"/>
          <w:szCs w:val="21"/>
          <w:lang w:val="en-US" w:eastAsia="zh-CN"/>
        </w:rPr>
        <w:noBreakHyphen/>
      </w:r>
      <w:r>
        <w:rPr>
          <w:rFonts w:hint="default" w:ascii="Times New Roman" w:hAnsi="Times New Roman" w:cs="Times New Roman"/>
          <w:b w:val="0"/>
          <w:bCs w:val="0"/>
          <w:sz w:val="21"/>
          <w:szCs w:val="21"/>
          <w:lang w:val="en-US" w:eastAsia="zh-CN"/>
        </w:rPr>
        <w:t>47.</w:t>
      </w:r>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588251"/>
    <w:multiLevelType w:val="singleLevel"/>
    <w:tmpl w:val="BE588251"/>
    <w:lvl w:ilvl="0" w:tentative="0">
      <w:start w:val="1"/>
      <w:numFmt w:val="decimal"/>
      <w:suff w:val="space"/>
      <w:lvlText w:val="(%1)"/>
      <w:lvlJc w:val="left"/>
      <w:rPr>
        <w:rFonts w:hint="default"/>
        <w:b/>
        <w:bCs/>
      </w:rPr>
    </w:lvl>
  </w:abstractNum>
  <w:abstractNum w:abstractNumId="1">
    <w:nsid w:val="7C5DF88E"/>
    <w:multiLevelType w:val="singleLevel"/>
    <w:tmpl w:val="7C5DF88E"/>
    <w:lvl w:ilvl="0" w:tentative="0">
      <w:start w:val="1"/>
      <w:numFmt w:val="decimal"/>
      <w:lvlText w:val="[%1]"/>
      <w:lvlJc w:val="left"/>
      <w:pPr>
        <w:tabs>
          <w:tab w:val="left" w:pos="420"/>
        </w:tabs>
      </w:pPr>
      <w:rPr>
        <w:rFonts w:hint="default" w:ascii="Times New Roman" w:hAnsi="Times New Roman" w:cs="Times New Roman"/>
        <w:sz w:val="21"/>
        <w:szCs w:val="21"/>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3B48E8"/>
    <w:rsid w:val="362D6D5A"/>
    <w:rsid w:val="39051F3E"/>
    <w:rsid w:val="3F373C95"/>
    <w:rsid w:val="44173C50"/>
    <w:rsid w:val="4792415F"/>
    <w:rsid w:val="577617BA"/>
    <w:rsid w:val="5F5A480F"/>
    <w:rsid w:val="68A032AD"/>
    <w:rsid w:val="70602DFE"/>
    <w:rsid w:val="761C3A02"/>
    <w:rsid w:val="774755DD"/>
    <w:rsid w:val="7DEC6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937</Words>
  <Characters>5815</Characters>
  <Lines>0</Lines>
  <Paragraphs>0</Paragraphs>
  <TotalTime>19</TotalTime>
  <ScaleCrop>false</ScaleCrop>
  <LinksUpToDate>false</LinksUpToDate>
  <CharactersWithSpaces>6697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2026-01-21T10:08:00Z</dcterms:created>
  <dc:creator>Win10</dc:creator>
  <cp:lastModifiedBy>L.X.Y</cp:lastModifiedBy>
  <dcterms:modified xsi:type="dcterms:W3CDTF">2026-01-25T11:32:01Z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eyJoZGlkIjoiZmIzMTJiOTUxYjE5NmY3YTBlYTgwMGMxOTJlZmE1MTgiLCJ1c2VySWQiOiI0MzE2NTk1NTYifQ==</vt:lpwstr>
  </property>
  <property fmtid="{D5CDD505-2E9C-101B-9397-08002B2CF9AE}" pid="4" name="ICV">
    <vt:lpwstr>349A9D3A2BB641FA80B6C4F93233011E_12</vt:lpwstr>
  </property>
</Properties>
</file>