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46C3A" w14:textId="77777777" w:rsidR="00C92C11" w:rsidRPr="004F1E3A" w:rsidRDefault="00C92C11" w:rsidP="00C92C11">
      <w:pPr>
        <w:spacing w:line="360" w:lineRule="auto"/>
        <w:jc w:val="both"/>
        <w:rPr>
          <w:rFonts w:ascii="Times New Roman" w:hAnsi="Times New Roman" w:cs="Times New Roman"/>
          <w:sz w:val="24"/>
          <w:szCs w:val="24"/>
        </w:rPr>
      </w:pPr>
      <w:r w:rsidRPr="00734394">
        <w:rPr>
          <w:rFonts w:ascii="Times New Roman" w:hAnsi="Times New Roman" w:cs="Times New Roman"/>
          <w:b/>
          <w:sz w:val="24"/>
          <w:szCs w:val="24"/>
        </w:rPr>
        <w:t xml:space="preserve">Table </w:t>
      </w:r>
      <w:r>
        <w:rPr>
          <w:rFonts w:ascii="Times New Roman" w:hAnsi="Times New Roman" w:cs="Times New Roman"/>
          <w:b/>
          <w:sz w:val="24"/>
          <w:szCs w:val="24"/>
        </w:rPr>
        <w:t>3</w:t>
      </w:r>
      <w:r w:rsidRPr="00734394">
        <w:rPr>
          <w:rFonts w:ascii="Times New Roman" w:hAnsi="Times New Roman" w:cs="Times New Roman"/>
          <w:b/>
          <w:sz w:val="24"/>
          <w:szCs w:val="24"/>
        </w:rPr>
        <w:t>.</w:t>
      </w:r>
      <w:r w:rsidRPr="004F1E3A">
        <w:rPr>
          <w:rFonts w:ascii="Times New Roman" w:hAnsi="Times New Roman" w:cs="Times New Roman"/>
          <w:sz w:val="24"/>
          <w:szCs w:val="24"/>
        </w:rPr>
        <w:t xml:space="preserve"> </w:t>
      </w:r>
      <w:r>
        <w:rPr>
          <w:rFonts w:ascii="Times New Roman" w:hAnsi="Times New Roman" w:cs="Times New Roman"/>
          <w:sz w:val="24"/>
          <w:szCs w:val="24"/>
        </w:rPr>
        <w:t>Cut-off values for the DASS-21's labels for depression, anxiety, and stress</w:t>
      </w:r>
      <w:r w:rsidRPr="004F1E3A">
        <w:rPr>
          <w:rFonts w:ascii="Times New Roman" w:hAnsi="Times New Roman" w:cs="Times New Roman"/>
          <w:sz w:val="24"/>
          <w:szCs w:val="24"/>
        </w:rPr>
        <w:t xml:space="preserve"> </w:t>
      </w:r>
      <w:r w:rsidRPr="004F1E3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{"citationID":"nSM96A99","properties":{"formattedCitation":"(Lovibond &amp; Lovibond, 1995)","plainCitation":"(Lovibond &amp; Lovibond, 1995)","noteIndex":0},"citationItems":[{"id":584,"uris":["http://zotero.org/users/local/ZSoZEHNk/items/CY6SWLJ7"],"itemData":{"id":584,"type":"article-journal","container-title":"Behaviour research and therapy","issue":"3","note":"number: 3","page":"335–343","title":"The structure of negative emotional states: Comparison of the Depression Anxiety Stress Scales (DASS) with the Beck Depression and Anxiety Inventories","title-short":"The structure of negative emotional states","volume":"33","author":[{"family":"Lovibond","given":"Peter F."},{"family":"Lovibond","given":"Sydney H."}],"issued":{"date-parts":[["1995"]]}}}],"schema":"https://github.com/citation-style-language/schema/raw/master/csl-citation.json"} </w:instrText>
      </w:r>
      <w:r w:rsidRPr="004F1E3A">
        <w:rPr>
          <w:rFonts w:ascii="Times New Roman" w:hAnsi="Times New Roman" w:cs="Times New Roman"/>
          <w:sz w:val="24"/>
          <w:szCs w:val="24"/>
        </w:rPr>
        <w:fldChar w:fldCharType="separate"/>
      </w:r>
      <w:r w:rsidRPr="00B67774">
        <w:rPr>
          <w:rFonts w:ascii="Times New Roman" w:hAnsi="Times New Roman" w:cs="Times New Roman"/>
          <w:sz w:val="24"/>
        </w:rPr>
        <w:t>(Lovibond &amp; Lovibond, 1995)</w:t>
      </w:r>
      <w:r w:rsidRPr="004F1E3A">
        <w:rPr>
          <w:rFonts w:ascii="Times New Roman" w:hAnsi="Times New Roman" w:cs="Times New Roman"/>
          <w:sz w:val="24"/>
          <w:szCs w:val="24"/>
        </w:rPr>
        <w:fldChar w:fldCharType="end"/>
      </w:r>
      <w:r w:rsidRPr="004F1E3A">
        <w:rPr>
          <w:rFonts w:ascii="Times New Roman" w:hAnsi="Times New Roman" w:cs="Times New Roman"/>
          <w:sz w:val="24"/>
          <w:szCs w:val="24"/>
        </w:rPr>
        <w:t>.</w:t>
      </w:r>
    </w:p>
    <w:tbl>
      <w:tblPr>
        <w:tblStyle w:val="TableGrid"/>
        <w:tblW w:w="5000" w:type="pct"/>
        <w:tblLook w:val="04A0" w:firstRow="1" w:lastRow="0" w:firstColumn="1" w:lastColumn="0" w:noHBand="0" w:noVBand="1"/>
      </w:tblPr>
      <w:tblGrid>
        <w:gridCol w:w="2426"/>
        <w:gridCol w:w="2426"/>
        <w:gridCol w:w="2428"/>
        <w:gridCol w:w="2070"/>
      </w:tblGrid>
      <w:tr w:rsidR="00C92C11" w:rsidRPr="004F1E3A" w14:paraId="7456064A" w14:textId="77777777" w:rsidTr="00BE1CBB">
        <w:trPr>
          <w:trHeight w:val="99"/>
        </w:trPr>
        <w:tc>
          <w:tcPr>
            <w:tcW w:w="1297" w:type="pct"/>
          </w:tcPr>
          <w:p w14:paraId="3CE8ED59"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b/>
                <w:bCs/>
              </w:rPr>
              <w:t>Severity Label</w:t>
            </w:r>
          </w:p>
        </w:tc>
        <w:tc>
          <w:tcPr>
            <w:tcW w:w="1297" w:type="pct"/>
          </w:tcPr>
          <w:p w14:paraId="4EE647F9"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b/>
                <w:bCs/>
              </w:rPr>
              <w:t xml:space="preserve">Depression </w:t>
            </w:r>
          </w:p>
        </w:tc>
        <w:tc>
          <w:tcPr>
            <w:tcW w:w="1298" w:type="pct"/>
          </w:tcPr>
          <w:p w14:paraId="7363F0B9"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b/>
                <w:bCs/>
              </w:rPr>
              <w:t xml:space="preserve">Anxiety </w:t>
            </w:r>
          </w:p>
        </w:tc>
        <w:tc>
          <w:tcPr>
            <w:tcW w:w="1107" w:type="pct"/>
          </w:tcPr>
          <w:p w14:paraId="5C16DE2B"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b/>
                <w:bCs/>
              </w:rPr>
              <w:t xml:space="preserve">Stress </w:t>
            </w:r>
          </w:p>
        </w:tc>
      </w:tr>
      <w:tr w:rsidR="00C92C11" w:rsidRPr="004F1E3A" w14:paraId="617FCF3C" w14:textId="77777777" w:rsidTr="00BE1CBB">
        <w:trPr>
          <w:trHeight w:val="99"/>
        </w:trPr>
        <w:tc>
          <w:tcPr>
            <w:tcW w:w="1297" w:type="pct"/>
          </w:tcPr>
          <w:p w14:paraId="233C2997"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rPr>
              <w:t xml:space="preserve">Normal </w:t>
            </w:r>
          </w:p>
        </w:tc>
        <w:tc>
          <w:tcPr>
            <w:tcW w:w="1297" w:type="pct"/>
          </w:tcPr>
          <w:p w14:paraId="56143E20"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0-9 </w:t>
            </w:r>
          </w:p>
        </w:tc>
        <w:tc>
          <w:tcPr>
            <w:tcW w:w="1298" w:type="pct"/>
          </w:tcPr>
          <w:p w14:paraId="61A03B46"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0-7 </w:t>
            </w:r>
          </w:p>
        </w:tc>
        <w:tc>
          <w:tcPr>
            <w:tcW w:w="1107" w:type="pct"/>
          </w:tcPr>
          <w:p w14:paraId="5B0ECA9D"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0-14 </w:t>
            </w:r>
          </w:p>
        </w:tc>
      </w:tr>
      <w:tr w:rsidR="00C92C11" w:rsidRPr="004F1E3A" w14:paraId="4E75D1B9" w14:textId="77777777" w:rsidTr="00BE1CBB">
        <w:trPr>
          <w:trHeight w:val="99"/>
        </w:trPr>
        <w:tc>
          <w:tcPr>
            <w:tcW w:w="1297" w:type="pct"/>
          </w:tcPr>
          <w:p w14:paraId="7F3E27B4"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rPr>
              <w:t xml:space="preserve">Mild </w:t>
            </w:r>
          </w:p>
        </w:tc>
        <w:tc>
          <w:tcPr>
            <w:tcW w:w="1297" w:type="pct"/>
          </w:tcPr>
          <w:p w14:paraId="0E862EB6"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10-13 </w:t>
            </w:r>
          </w:p>
        </w:tc>
        <w:tc>
          <w:tcPr>
            <w:tcW w:w="1298" w:type="pct"/>
          </w:tcPr>
          <w:p w14:paraId="4CBABB95"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8-9 </w:t>
            </w:r>
          </w:p>
        </w:tc>
        <w:tc>
          <w:tcPr>
            <w:tcW w:w="1107" w:type="pct"/>
          </w:tcPr>
          <w:p w14:paraId="32BB1733"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15-18 </w:t>
            </w:r>
          </w:p>
        </w:tc>
      </w:tr>
      <w:tr w:rsidR="00C92C11" w:rsidRPr="004F1E3A" w14:paraId="4F3C9092" w14:textId="77777777" w:rsidTr="00BE1CBB">
        <w:trPr>
          <w:trHeight w:val="99"/>
        </w:trPr>
        <w:tc>
          <w:tcPr>
            <w:tcW w:w="1297" w:type="pct"/>
          </w:tcPr>
          <w:p w14:paraId="18FB8A04"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rPr>
              <w:t xml:space="preserve">Moderate </w:t>
            </w:r>
          </w:p>
        </w:tc>
        <w:tc>
          <w:tcPr>
            <w:tcW w:w="1297" w:type="pct"/>
          </w:tcPr>
          <w:p w14:paraId="04EA6CD6"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14-20 </w:t>
            </w:r>
          </w:p>
        </w:tc>
        <w:tc>
          <w:tcPr>
            <w:tcW w:w="1298" w:type="pct"/>
          </w:tcPr>
          <w:p w14:paraId="305DF5C1"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10-14 </w:t>
            </w:r>
          </w:p>
        </w:tc>
        <w:tc>
          <w:tcPr>
            <w:tcW w:w="1107" w:type="pct"/>
          </w:tcPr>
          <w:p w14:paraId="1FA9C6CE"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19-25 </w:t>
            </w:r>
          </w:p>
        </w:tc>
      </w:tr>
      <w:tr w:rsidR="00C92C11" w:rsidRPr="004F1E3A" w14:paraId="0BAB15B7" w14:textId="77777777" w:rsidTr="00BE1CBB">
        <w:trPr>
          <w:trHeight w:val="99"/>
        </w:trPr>
        <w:tc>
          <w:tcPr>
            <w:tcW w:w="1297" w:type="pct"/>
          </w:tcPr>
          <w:p w14:paraId="618312AB"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rPr>
              <w:t xml:space="preserve">Severe </w:t>
            </w:r>
          </w:p>
        </w:tc>
        <w:tc>
          <w:tcPr>
            <w:tcW w:w="1297" w:type="pct"/>
          </w:tcPr>
          <w:p w14:paraId="7C701DF5"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21-27 </w:t>
            </w:r>
          </w:p>
        </w:tc>
        <w:tc>
          <w:tcPr>
            <w:tcW w:w="1298" w:type="pct"/>
          </w:tcPr>
          <w:p w14:paraId="743A3929"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15-19 </w:t>
            </w:r>
          </w:p>
        </w:tc>
        <w:tc>
          <w:tcPr>
            <w:tcW w:w="1107" w:type="pct"/>
          </w:tcPr>
          <w:p w14:paraId="78AFCF27"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26-33 </w:t>
            </w:r>
          </w:p>
        </w:tc>
      </w:tr>
      <w:tr w:rsidR="00C92C11" w:rsidRPr="004F1E3A" w14:paraId="2E62286A" w14:textId="77777777" w:rsidTr="00BE1CBB">
        <w:trPr>
          <w:trHeight w:val="99"/>
        </w:trPr>
        <w:tc>
          <w:tcPr>
            <w:tcW w:w="1297" w:type="pct"/>
          </w:tcPr>
          <w:p w14:paraId="3D6CBB69" w14:textId="77777777" w:rsidR="00C92C11" w:rsidRPr="004F1E3A" w:rsidRDefault="00C92C11" w:rsidP="00BE1CBB">
            <w:pPr>
              <w:pStyle w:val="Default"/>
              <w:rPr>
                <w:rFonts w:ascii="Times New Roman" w:hAnsi="Times New Roman" w:cs="Times New Roman"/>
                <w:b/>
                <w:bCs/>
              </w:rPr>
            </w:pPr>
            <w:r w:rsidRPr="004F1E3A">
              <w:rPr>
                <w:rFonts w:ascii="Times New Roman" w:hAnsi="Times New Roman" w:cs="Times New Roman"/>
              </w:rPr>
              <w:t xml:space="preserve">Extremely Severe </w:t>
            </w:r>
          </w:p>
        </w:tc>
        <w:tc>
          <w:tcPr>
            <w:tcW w:w="1297" w:type="pct"/>
          </w:tcPr>
          <w:p w14:paraId="0F5E9240"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28+ </w:t>
            </w:r>
          </w:p>
        </w:tc>
        <w:tc>
          <w:tcPr>
            <w:tcW w:w="1298" w:type="pct"/>
          </w:tcPr>
          <w:p w14:paraId="3A1D5254"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20+ </w:t>
            </w:r>
          </w:p>
        </w:tc>
        <w:tc>
          <w:tcPr>
            <w:tcW w:w="1107" w:type="pct"/>
          </w:tcPr>
          <w:p w14:paraId="11EC3962" w14:textId="77777777" w:rsidR="00C92C11" w:rsidRPr="004F1E3A" w:rsidRDefault="00C92C11" w:rsidP="00BE1CBB">
            <w:pPr>
              <w:pStyle w:val="Default"/>
              <w:rPr>
                <w:rFonts w:ascii="Times New Roman" w:hAnsi="Times New Roman" w:cs="Times New Roman"/>
              </w:rPr>
            </w:pPr>
            <w:r w:rsidRPr="004F1E3A">
              <w:rPr>
                <w:rFonts w:ascii="Times New Roman" w:hAnsi="Times New Roman" w:cs="Times New Roman"/>
              </w:rPr>
              <w:t xml:space="preserve">34+ </w:t>
            </w:r>
          </w:p>
        </w:tc>
      </w:tr>
    </w:tbl>
    <w:p w14:paraId="06B52CC0" w14:textId="77777777" w:rsidR="00C92C11" w:rsidRDefault="00C92C11" w:rsidP="00C92C11">
      <w:pPr>
        <w:spacing w:after="0" w:line="480" w:lineRule="auto"/>
        <w:jc w:val="both"/>
        <w:rPr>
          <w:rFonts w:ascii="Times New Roman" w:hAnsi="Times New Roman" w:cs="Times New Roman"/>
          <w:sz w:val="24"/>
          <w:szCs w:val="24"/>
        </w:rPr>
      </w:pPr>
    </w:p>
    <w:p w14:paraId="6F8264BD" w14:textId="77777777" w:rsidR="00C92C11" w:rsidRPr="009E0BFD" w:rsidRDefault="00C92C11" w:rsidP="00C92C11">
      <w:pPr>
        <w:spacing w:line="360" w:lineRule="auto"/>
        <w:jc w:val="both"/>
        <w:rPr>
          <w:rFonts w:ascii="Times New Roman" w:hAnsi="Times New Roman" w:cs="Times New Roman"/>
          <w:bCs/>
          <w:sz w:val="24"/>
          <w:szCs w:val="24"/>
        </w:rPr>
      </w:pPr>
      <w:r w:rsidRPr="009E0BFD">
        <w:rPr>
          <w:rFonts w:ascii="Times New Roman" w:hAnsi="Times New Roman" w:cs="Times New Roman"/>
          <w:b/>
          <w:sz w:val="24"/>
          <w:szCs w:val="24"/>
        </w:rPr>
        <w:t xml:space="preserve">Table </w:t>
      </w:r>
      <w:r>
        <w:rPr>
          <w:rFonts w:ascii="Times New Roman" w:hAnsi="Times New Roman" w:cs="Times New Roman"/>
          <w:b/>
          <w:sz w:val="24"/>
          <w:szCs w:val="24"/>
        </w:rPr>
        <w:t>4</w:t>
      </w:r>
      <w:r w:rsidRPr="009E0BFD">
        <w:rPr>
          <w:rFonts w:ascii="Times New Roman" w:hAnsi="Times New Roman" w:cs="Times New Roman"/>
          <w:sz w:val="24"/>
          <w:szCs w:val="24"/>
        </w:rPr>
        <w:t xml:space="preserve">. Likelihood of having a mental disorder (psychological distress) </w:t>
      </w:r>
      <w:r w:rsidRPr="009E0BFD">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{"citationID":"aR9Ea0QO","properties":{"formattedCitation":"(R. C. Kessler et al., 2002)","plainCitation":"(R. C. Kessler et al., 2002)","noteIndex":0},"citationItems":[{"id":5431,"uris":["http://zotero.org/users/local/ZSoZEHNk/items/5VNKUSMZ"],"itemData":{"id":5431,"type":"article-journal","abstract":"Background. A 10-question screening scale of psychological distress and a six-question short-form scale embedded within the 10-question scale were developed for the redesigned US National Health Interview Survey (NHIS).Methods. Initial pilot questions were administered in a US national mail survey (N = 1401). A reduced set of questions was subsequently administered in a US national telephone survey (N = 1574). The 10-question and six-question scales, which we refer to as the K10 and K6, were constructed from the reduced set of questions based on Item Response Theory models. The scales were subsequently validated in a two-stage clinical reappraisal survey (N = 1000 telephone screening interviews in the first stage followed by N = 153 face-to-face clinical interviews in the second stage that oversampled first-stage respondents who screened positive for emotional problems) in a local convenience sample. The second-stage sample was administered the screening scales along with the Structured Clinical Interview for DSM-IV (SCID). The K6 was subsequently included in the 1997 (N = 36116) and 1998 (N = 32440) US National Health Interview Survey, while the K10 was included in the 1997 (N = 10641) Australian National Survey of Mental Health and Well-Being.Results. Both the K10 and K6 have good precision in the 90th–99th percentile range of the population distribution (standard errors of standardized scores in the range 0·20–0·25) as well as consistent psychometric properties across major sociodemographic subsamples. The scales strongly discriminate between community cases and non-cases of DSM-IV/SCID disorders, with areas under the Receiver Operating Characteristic (ROC) curve of 0·87–0·88 for disorders having Global Assessment of Functioning (GAF) scores of 0–70 and 0·95–0·96 for disorders having GAF scores of 0–50.Conclusions. The brevity, strong psychometric properties, and ability to discriminate DSM-IV cases from non-cases make the K10 and K6 attractive for use in general-purpose health surveys. The scales are already being used in annual government health surveys in the US and Canada as well as in the WHO World Mental Health Surveys. Routine inclusion of either the K10 or K6 in clinical studies would create an important, and heretofore missing, crosswalk between community and clinical epidemiology.","container-title":"Psychological Medicine","DOI":"10.1017/S0033291702006074","ISSN":"1469-8978, 0033-2917","issue":"6","language":"en","page":"959-976","source":"Cambridge University Press","title":"Short screening scales to monitor population prevalences and trends in non-specific psychological distress","URL":"https://www.cambridge.org/core/journals/psychological-medicine/article/abs/short-screening-scales-to-monitor-population-prevalences-and-trends-in-nonspecific-psychological-distress/F141675CCD0E08C0FB98E01C006B4E0D","volume":"32","author":[{"family":"Kessler","given":"R. C."},{"family":"Andrews","given":"G."},{"family":"Colpe","given":"L. J."},{"family":"Hiripi","given":"E."},{"family":"Mroczek","given":"D. K."},{"family":"Normand","given":"S.-L. T."},{"family":"Walters","given":"E. E."},{"family":"Zaslavsky","given":"A. M."}],"accessed":{"date-parts":[["2025",2,19]]},"issued":{"date-parts":[["2002",8]]}}}],"schema":"https://github.com/citation-style-language/schema/raw/master/csl-citation.json"} </w:instrText>
      </w:r>
      <w:r w:rsidRPr="009E0BFD">
        <w:rPr>
          <w:rFonts w:ascii="Times New Roman" w:hAnsi="Times New Roman" w:cs="Times New Roman"/>
          <w:sz w:val="24"/>
          <w:szCs w:val="24"/>
        </w:rPr>
        <w:fldChar w:fldCharType="separate"/>
      </w:r>
      <w:r w:rsidRPr="000E798C">
        <w:rPr>
          <w:rFonts w:ascii="Times New Roman" w:hAnsi="Times New Roman" w:cs="Times New Roman"/>
          <w:sz w:val="24"/>
        </w:rPr>
        <w:t>(R. C. Kessler et al., 2002)</w:t>
      </w:r>
      <w:r w:rsidRPr="009E0BFD">
        <w:rPr>
          <w:rFonts w:ascii="Times New Roman" w:hAnsi="Times New Roman" w:cs="Times New Roman"/>
          <w:sz w:val="24"/>
          <w:szCs w:val="24"/>
        </w:rPr>
        <w:fldChar w:fldCharType="end"/>
      </w:r>
      <w:r w:rsidRPr="009E0BFD">
        <w:rPr>
          <w:rFonts w:ascii="Times New Roman" w:hAnsi="Times New Roman" w:cs="Times New Roman"/>
          <w:sz w:val="24"/>
          <w:szCs w:val="24"/>
        </w:rPr>
        <w:t>.</w:t>
      </w:r>
    </w:p>
    <w:tbl>
      <w:tblPr>
        <w:tblStyle w:val="TableGrid1"/>
        <w:tblW w:w="5000" w:type="pct"/>
        <w:tblLook w:val="04A0" w:firstRow="1" w:lastRow="0" w:firstColumn="1" w:lastColumn="0" w:noHBand="0" w:noVBand="1"/>
      </w:tblPr>
      <w:tblGrid>
        <w:gridCol w:w="4677"/>
        <w:gridCol w:w="4673"/>
      </w:tblGrid>
      <w:tr w:rsidR="00C92C11" w:rsidRPr="009E0BFD" w14:paraId="708DA8F0" w14:textId="77777777" w:rsidTr="00BE1CBB">
        <w:trPr>
          <w:trHeight w:val="99"/>
        </w:trPr>
        <w:tc>
          <w:tcPr>
            <w:tcW w:w="2501" w:type="pct"/>
          </w:tcPr>
          <w:p w14:paraId="785FA031" w14:textId="77777777" w:rsidR="00C92C11" w:rsidRPr="009E0BFD" w:rsidRDefault="00C92C11" w:rsidP="00BE1CBB">
            <w:pPr>
              <w:pStyle w:val="Default"/>
              <w:rPr>
                <w:rFonts w:ascii="Times New Roman" w:hAnsi="Times New Roman" w:cs="Times New Roman"/>
                <w:b/>
                <w:bCs/>
              </w:rPr>
            </w:pPr>
            <w:r w:rsidRPr="009E0BFD">
              <w:rPr>
                <w:rFonts w:ascii="Times New Roman" w:hAnsi="Times New Roman" w:cs="Times New Roman"/>
                <w:b/>
                <w:bCs/>
              </w:rPr>
              <w:t>Likelihood</w:t>
            </w:r>
          </w:p>
        </w:tc>
        <w:tc>
          <w:tcPr>
            <w:tcW w:w="2499" w:type="pct"/>
          </w:tcPr>
          <w:p w14:paraId="0791699F" w14:textId="77777777" w:rsidR="00C92C11" w:rsidRPr="009E0BFD" w:rsidRDefault="00C92C11" w:rsidP="00BE1CBB">
            <w:pPr>
              <w:pStyle w:val="Default"/>
              <w:rPr>
                <w:rFonts w:ascii="Times New Roman" w:hAnsi="Times New Roman" w:cs="Times New Roman"/>
                <w:b/>
                <w:bCs/>
              </w:rPr>
            </w:pPr>
            <w:r w:rsidRPr="009E0BFD">
              <w:rPr>
                <w:rFonts w:ascii="Times New Roman" w:hAnsi="Times New Roman" w:cs="Times New Roman"/>
                <w:b/>
                <w:bCs/>
              </w:rPr>
              <w:t>K10 Score range</w:t>
            </w:r>
          </w:p>
        </w:tc>
      </w:tr>
      <w:tr w:rsidR="00C92C11" w:rsidRPr="009E0BFD" w14:paraId="78B0379C" w14:textId="77777777" w:rsidTr="00BE1CBB">
        <w:trPr>
          <w:trHeight w:val="99"/>
        </w:trPr>
        <w:tc>
          <w:tcPr>
            <w:tcW w:w="2501" w:type="pct"/>
          </w:tcPr>
          <w:p w14:paraId="0596F787" w14:textId="77777777" w:rsidR="00C92C11" w:rsidRPr="009E0BFD" w:rsidRDefault="00C92C11" w:rsidP="00BE1CBB">
            <w:pPr>
              <w:pStyle w:val="Default"/>
              <w:rPr>
                <w:rFonts w:ascii="Times New Roman" w:hAnsi="Times New Roman" w:cs="Times New Roman"/>
                <w:b/>
                <w:bCs/>
              </w:rPr>
            </w:pPr>
            <w:r w:rsidRPr="009E0BFD">
              <w:rPr>
                <w:rFonts w:ascii="Times New Roman" w:hAnsi="Times New Roman" w:cs="Times New Roman"/>
              </w:rPr>
              <w:t>Likely to be well</w:t>
            </w:r>
          </w:p>
        </w:tc>
        <w:tc>
          <w:tcPr>
            <w:tcW w:w="2499" w:type="pct"/>
          </w:tcPr>
          <w:p w14:paraId="0BA29EBC" w14:textId="77777777" w:rsidR="00C92C11" w:rsidRPr="009E0BFD" w:rsidRDefault="00C92C11" w:rsidP="00BE1CBB">
            <w:pPr>
              <w:pStyle w:val="Default"/>
              <w:rPr>
                <w:rFonts w:ascii="Times New Roman" w:hAnsi="Times New Roman" w:cs="Times New Roman"/>
                <w:color w:val="auto"/>
              </w:rPr>
            </w:pPr>
            <w:r w:rsidRPr="009E0BFD">
              <w:rPr>
                <w:rFonts w:ascii="Times New Roman" w:hAnsi="Times New Roman" w:cs="Times New Roman"/>
                <w:color w:val="auto"/>
              </w:rPr>
              <w:t>10 - 19</w:t>
            </w:r>
          </w:p>
        </w:tc>
      </w:tr>
      <w:tr w:rsidR="00C92C11" w:rsidRPr="009E0BFD" w14:paraId="42FEF204" w14:textId="77777777" w:rsidTr="00BE1CBB">
        <w:trPr>
          <w:trHeight w:val="99"/>
        </w:trPr>
        <w:tc>
          <w:tcPr>
            <w:tcW w:w="2501" w:type="pct"/>
          </w:tcPr>
          <w:p w14:paraId="1B52470C" w14:textId="77777777" w:rsidR="00C92C11" w:rsidRPr="009E0BFD" w:rsidRDefault="00C92C11" w:rsidP="00BE1CBB">
            <w:pPr>
              <w:pStyle w:val="Default"/>
              <w:rPr>
                <w:rFonts w:ascii="Times New Roman" w:hAnsi="Times New Roman" w:cs="Times New Roman"/>
                <w:b/>
                <w:bCs/>
              </w:rPr>
            </w:pPr>
            <w:r w:rsidRPr="009E0BFD">
              <w:rPr>
                <w:rFonts w:ascii="Times New Roman" w:hAnsi="Times New Roman" w:cs="Times New Roman"/>
              </w:rPr>
              <w:t>Likely to have a mild disorder</w:t>
            </w:r>
          </w:p>
        </w:tc>
        <w:tc>
          <w:tcPr>
            <w:tcW w:w="2499" w:type="pct"/>
          </w:tcPr>
          <w:p w14:paraId="3E7C5613" w14:textId="77777777" w:rsidR="00C92C11" w:rsidRPr="009E0BFD" w:rsidRDefault="00C92C11" w:rsidP="00BE1CBB">
            <w:pPr>
              <w:pStyle w:val="Default"/>
              <w:rPr>
                <w:rFonts w:ascii="Times New Roman" w:hAnsi="Times New Roman" w:cs="Times New Roman"/>
                <w:color w:val="auto"/>
              </w:rPr>
            </w:pPr>
            <w:r w:rsidRPr="009E0BFD">
              <w:rPr>
                <w:rFonts w:ascii="Times New Roman" w:hAnsi="Times New Roman" w:cs="Times New Roman"/>
                <w:color w:val="auto"/>
              </w:rPr>
              <w:t>20 - 24</w:t>
            </w:r>
          </w:p>
        </w:tc>
      </w:tr>
      <w:tr w:rsidR="00C92C11" w:rsidRPr="009E0BFD" w14:paraId="5DE7B2C2" w14:textId="77777777" w:rsidTr="00BE1CBB">
        <w:trPr>
          <w:trHeight w:val="99"/>
        </w:trPr>
        <w:tc>
          <w:tcPr>
            <w:tcW w:w="2501" w:type="pct"/>
          </w:tcPr>
          <w:p w14:paraId="4997587F" w14:textId="77777777" w:rsidR="00C92C11" w:rsidRPr="009E0BFD" w:rsidRDefault="00C92C11" w:rsidP="00BE1CBB">
            <w:pPr>
              <w:pStyle w:val="Default"/>
              <w:rPr>
                <w:rFonts w:ascii="Times New Roman" w:hAnsi="Times New Roman" w:cs="Times New Roman"/>
                <w:b/>
                <w:bCs/>
              </w:rPr>
            </w:pPr>
            <w:r w:rsidRPr="009E0BFD">
              <w:rPr>
                <w:rFonts w:ascii="Times New Roman" w:hAnsi="Times New Roman" w:cs="Times New Roman"/>
              </w:rPr>
              <w:t>Likely to have a moderate disorder</w:t>
            </w:r>
          </w:p>
        </w:tc>
        <w:tc>
          <w:tcPr>
            <w:tcW w:w="2499" w:type="pct"/>
          </w:tcPr>
          <w:p w14:paraId="4E2AE032" w14:textId="77777777" w:rsidR="00C92C11" w:rsidRPr="009E0BFD" w:rsidRDefault="00C92C11" w:rsidP="00BE1CBB">
            <w:pPr>
              <w:pStyle w:val="Default"/>
              <w:rPr>
                <w:rFonts w:ascii="Times New Roman" w:hAnsi="Times New Roman" w:cs="Times New Roman"/>
                <w:color w:val="auto"/>
              </w:rPr>
            </w:pPr>
            <w:r w:rsidRPr="009E0BFD">
              <w:rPr>
                <w:rFonts w:ascii="Times New Roman" w:hAnsi="Times New Roman" w:cs="Times New Roman"/>
                <w:color w:val="auto"/>
              </w:rPr>
              <w:t>25 - 29</w:t>
            </w:r>
          </w:p>
        </w:tc>
      </w:tr>
      <w:tr w:rsidR="00C92C11" w:rsidRPr="009E0BFD" w14:paraId="0169AD6E" w14:textId="77777777" w:rsidTr="00BE1CBB">
        <w:trPr>
          <w:trHeight w:val="99"/>
        </w:trPr>
        <w:tc>
          <w:tcPr>
            <w:tcW w:w="2501" w:type="pct"/>
          </w:tcPr>
          <w:p w14:paraId="1CC19917" w14:textId="77777777" w:rsidR="00C92C11" w:rsidRPr="009E0BFD" w:rsidRDefault="00C92C11" w:rsidP="00BE1CBB">
            <w:pPr>
              <w:pStyle w:val="Default"/>
              <w:rPr>
                <w:rFonts w:ascii="Times New Roman" w:hAnsi="Times New Roman" w:cs="Times New Roman"/>
                <w:b/>
                <w:bCs/>
              </w:rPr>
            </w:pPr>
            <w:r w:rsidRPr="009E0BFD">
              <w:rPr>
                <w:rFonts w:ascii="Times New Roman" w:hAnsi="Times New Roman" w:cs="Times New Roman"/>
              </w:rPr>
              <w:t>Likely to have a severe disorder</w:t>
            </w:r>
          </w:p>
        </w:tc>
        <w:tc>
          <w:tcPr>
            <w:tcW w:w="2499" w:type="pct"/>
          </w:tcPr>
          <w:p w14:paraId="4A1ACE50" w14:textId="77777777" w:rsidR="00C92C11" w:rsidRPr="009E0BFD" w:rsidRDefault="00C92C11" w:rsidP="00BE1CBB">
            <w:pPr>
              <w:pStyle w:val="Default"/>
              <w:rPr>
                <w:rFonts w:ascii="Times New Roman" w:hAnsi="Times New Roman" w:cs="Times New Roman"/>
                <w:color w:val="auto"/>
              </w:rPr>
            </w:pPr>
            <w:r w:rsidRPr="009E0BFD">
              <w:rPr>
                <w:rFonts w:ascii="Times New Roman" w:hAnsi="Times New Roman" w:cs="Times New Roman"/>
                <w:color w:val="auto"/>
              </w:rPr>
              <w:t>30 - 50</w:t>
            </w:r>
          </w:p>
        </w:tc>
      </w:tr>
    </w:tbl>
    <w:p w14:paraId="4E2F0AAF" w14:textId="77777777" w:rsidR="00C92C11" w:rsidRPr="004F1E3A" w:rsidRDefault="00C92C11" w:rsidP="00C92C11">
      <w:pPr>
        <w:spacing w:after="0" w:line="480" w:lineRule="auto"/>
        <w:jc w:val="both"/>
        <w:rPr>
          <w:rFonts w:ascii="Times New Roman" w:hAnsi="Times New Roman" w:cs="Times New Roman"/>
          <w:sz w:val="24"/>
          <w:szCs w:val="24"/>
        </w:rPr>
      </w:pPr>
    </w:p>
    <w:p w14:paraId="326DF872" w14:textId="77777777" w:rsidR="008F7850" w:rsidRDefault="008F7850"/>
    <w:sectPr w:rsidR="008F7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Y0sDCxMDa0MDY3MzJU0lEKTi0uzszPAykwrAUAssZWPiwAAAA="/>
  </w:docVars>
  <w:rsids>
    <w:rsidRoot w:val="00C92C11"/>
    <w:rsid w:val="00074CF9"/>
    <w:rsid w:val="002B02FC"/>
    <w:rsid w:val="008F7850"/>
    <w:rsid w:val="00C92C11"/>
    <w:rsid w:val="00D564B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E387"/>
  <w15:chartTrackingRefBased/>
  <w15:docId w15:val="{AE10FAD1-167D-4A7A-9572-8BC74A53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C11"/>
    <w:rPr>
      <w:kern w:val="0"/>
      <w14:ligatures w14:val="none"/>
    </w:rPr>
  </w:style>
  <w:style w:type="paragraph" w:styleId="Heading1">
    <w:name w:val="heading 1"/>
    <w:basedOn w:val="Normal"/>
    <w:next w:val="Normal"/>
    <w:link w:val="Heading1Char"/>
    <w:uiPriority w:val="9"/>
    <w:qFormat/>
    <w:rsid w:val="00C92C11"/>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2C11"/>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2C11"/>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2C11"/>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92C11"/>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2C1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2C11"/>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2C11"/>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2C11"/>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C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2C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2C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2C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2C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2C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C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C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C11"/>
    <w:rPr>
      <w:rFonts w:eastAsiaTheme="majorEastAsia" w:cstheme="majorBidi"/>
      <w:color w:val="272727" w:themeColor="text1" w:themeTint="D8"/>
    </w:rPr>
  </w:style>
  <w:style w:type="paragraph" w:styleId="Title">
    <w:name w:val="Title"/>
    <w:basedOn w:val="Normal"/>
    <w:next w:val="Normal"/>
    <w:link w:val="TitleChar"/>
    <w:uiPriority w:val="10"/>
    <w:qFormat/>
    <w:rsid w:val="00C92C1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2C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2C1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2C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2C11"/>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92C11"/>
    <w:rPr>
      <w:i/>
      <w:iCs/>
      <w:color w:val="404040" w:themeColor="text1" w:themeTint="BF"/>
    </w:rPr>
  </w:style>
  <w:style w:type="paragraph" w:styleId="ListParagraph">
    <w:name w:val="List Paragraph"/>
    <w:basedOn w:val="Normal"/>
    <w:uiPriority w:val="34"/>
    <w:qFormat/>
    <w:rsid w:val="00C92C11"/>
    <w:pPr>
      <w:ind w:left="720"/>
      <w:contextualSpacing/>
    </w:pPr>
    <w:rPr>
      <w:kern w:val="2"/>
      <w14:ligatures w14:val="standardContextual"/>
    </w:rPr>
  </w:style>
  <w:style w:type="character" w:styleId="IntenseEmphasis">
    <w:name w:val="Intense Emphasis"/>
    <w:basedOn w:val="DefaultParagraphFont"/>
    <w:uiPriority w:val="21"/>
    <w:qFormat/>
    <w:rsid w:val="00C92C11"/>
    <w:rPr>
      <w:i/>
      <w:iCs/>
      <w:color w:val="0F4761" w:themeColor="accent1" w:themeShade="BF"/>
    </w:rPr>
  </w:style>
  <w:style w:type="paragraph" w:styleId="IntenseQuote">
    <w:name w:val="Intense Quote"/>
    <w:basedOn w:val="Normal"/>
    <w:next w:val="Normal"/>
    <w:link w:val="IntenseQuoteChar"/>
    <w:uiPriority w:val="30"/>
    <w:qFormat/>
    <w:rsid w:val="00C92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92C11"/>
    <w:rPr>
      <w:i/>
      <w:iCs/>
      <w:color w:val="0F4761" w:themeColor="accent1" w:themeShade="BF"/>
    </w:rPr>
  </w:style>
  <w:style w:type="character" w:styleId="IntenseReference">
    <w:name w:val="Intense Reference"/>
    <w:basedOn w:val="DefaultParagraphFont"/>
    <w:uiPriority w:val="32"/>
    <w:qFormat/>
    <w:rsid w:val="00C92C11"/>
    <w:rPr>
      <w:b/>
      <w:bCs/>
      <w:smallCaps/>
      <w:color w:val="0F4761" w:themeColor="accent1" w:themeShade="BF"/>
      <w:spacing w:val="5"/>
    </w:rPr>
  </w:style>
  <w:style w:type="paragraph" w:customStyle="1" w:styleId="Default">
    <w:name w:val="Default"/>
    <w:rsid w:val="00C92C11"/>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C92C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92C11"/>
    <w:pPr>
      <w:spacing w:after="0" w:line="240" w:lineRule="auto"/>
    </w:pPr>
    <w:rPr>
      <w:kern w:val="0"/>
      <w:sz w:val="24"/>
      <w:szCs w:val="30"/>
      <w:lang w:bidi="b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Md.Mostafizur Rahman</dc:creator>
  <cp:keywords/>
  <dc:description/>
  <cp:lastModifiedBy>Md.Mostafizur Rahman</cp:lastModifiedBy>
  <cp:revision>2</cp:revision>
  <dcterms:created xsi:type="dcterms:W3CDTF">2026-01-26T13:41:00Z</dcterms:created>
  <dcterms:modified xsi:type="dcterms:W3CDTF">2026-01-26T13:42:00Z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id="nkcotzam"/&gt;&lt;style id="http://www.zotero.org/styles/bmc-public-health" hasBibliography="1" bibliographyStyleHasBeenSet="0"/&gt;&lt;prefs&gt;&lt;pref name="fieldType" value="Field"/&gt;&lt;pref name="automaticJourna</vt:lpwstr>
  </property>
  <property fmtid="{D5CDD505-2E9C-101B-9397-08002B2CF9AE}" pid="3" name="ZOTERO_PREF_2">
    <vt:lpwstr>lAbbreviations" value="true"/&gt;&lt;/prefs&gt;&lt;/data&gt;</vt:lpwstr>
  </property>
</Properties>
</file>