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9"/>
        <w:tblW w:w="15359" w:type="dxa"/>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6"/>
        <w:gridCol w:w="731"/>
        <w:gridCol w:w="11582"/>
        <w:gridCol w:w="1260"/>
      </w:tblGrid>
      <w:tr w14:paraId="0E766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tblHeader/>
        </w:trPr>
        <w:tc>
          <w:tcPr>
            <w:tcW w:w="1786" w:type="dxa"/>
            <w:tcBorders>
              <w:top w:val="double" w:color="auto" w:sz="4" w:space="0"/>
              <w:left w:val="double" w:color="auto" w:sz="4" w:space="0"/>
              <w:bottom w:val="double" w:color="auto" w:sz="4" w:space="0"/>
            </w:tcBorders>
            <w:shd w:val="clear" w:color="auto" w:fill="63639A"/>
            <w:vAlign w:val="center"/>
          </w:tcPr>
          <w:p w14:paraId="763C8568">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bookmarkStart w:id="0" w:name="_GoBack"/>
            <w:r>
              <w:rPr>
                <w:rFonts w:hint="default" w:ascii="Times New Roman" w:hAnsi="Times New Roman" w:cs="Times New Roman"/>
                <w:b/>
                <w:bCs/>
                <w:color w:val="auto"/>
                <w:sz w:val="18"/>
                <w:szCs w:val="18"/>
                <w:highlight w:val="none"/>
              </w:rPr>
              <w:t>Section and Topic</w:t>
            </w:r>
          </w:p>
        </w:tc>
        <w:tc>
          <w:tcPr>
            <w:tcW w:w="731" w:type="dxa"/>
            <w:tcBorders>
              <w:top w:val="double" w:color="auto" w:sz="4" w:space="0"/>
              <w:bottom w:val="double" w:color="auto" w:sz="4" w:space="0"/>
            </w:tcBorders>
            <w:shd w:val="clear" w:color="auto" w:fill="63639A"/>
            <w:vAlign w:val="center"/>
          </w:tcPr>
          <w:p w14:paraId="7CB3A480">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Item #</w:t>
            </w:r>
          </w:p>
        </w:tc>
        <w:tc>
          <w:tcPr>
            <w:tcW w:w="11582" w:type="dxa"/>
            <w:tcBorders>
              <w:top w:val="double" w:color="auto" w:sz="4" w:space="0"/>
              <w:bottom w:val="double" w:color="auto" w:sz="4" w:space="0"/>
            </w:tcBorders>
            <w:shd w:val="clear" w:color="auto" w:fill="63639A"/>
            <w:vAlign w:val="center"/>
          </w:tcPr>
          <w:p w14:paraId="26A215DB">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b/>
                <w:bCs/>
                <w:color w:val="auto"/>
                <w:sz w:val="18"/>
                <w:szCs w:val="18"/>
                <w:highlight w:val="none"/>
              </w:rPr>
              <w:t>Checklist item</w:t>
            </w:r>
          </w:p>
        </w:tc>
        <w:tc>
          <w:tcPr>
            <w:tcW w:w="1260" w:type="dxa"/>
            <w:tcBorders>
              <w:top w:val="double" w:color="auto" w:sz="4" w:space="0"/>
              <w:bottom w:val="double" w:color="auto" w:sz="4" w:space="0"/>
              <w:right w:val="double" w:color="auto" w:sz="4" w:space="0"/>
            </w:tcBorders>
            <w:shd w:val="clear" w:color="auto" w:fill="63639A"/>
            <w:vAlign w:val="center"/>
          </w:tcPr>
          <w:p w14:paraId="416C631A">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b/>
                <w:bCs/>
                <w:color w:val="auto"/>
                <w:sz w:val="18"/>
                <w:szCs w:val="18"/>
                <w:highlight w:val="none"/>
              </w:rPr>
              <w:t>Location where item is reported</w:t>
            </w:r>
          </w:p>
        </w:tc>
      </w:tr>
      <w:tr w14:paraId="6BEC4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359" w:type="dxa"/>
            <w:gridSpan w:val="4"/>
            <w:tcBorders>
              <w:top w:val="double" w:color="auto" w:sz="4" w:space="0"/>
              <w:left w:val="double" w:color="auto" w:sz="4" w:space="0"/>
              <w:bottom w:val="double" w:color="auto" w:sz="4" w:space="0"/>
              <w:right w:val="double" w:color="auto" w:sz="4" w:space="0"/>
            </w:tcBorders>
            <w:shd w:val="clear" w:color="auto" w:fill="FFFFCC"/>
            <w:vAlign w:val="center"/>
          </w:tcPr>
          <w:p w14:paraId="59C90F58">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b/>
                <w:bCs/>
                <w:color w:val="auto"/>
                <w:sz w:val="18"/>
                <w:szCs w:val="18"/>
                <w:highlight w:val="none"/>
              </w:rPr>
              <w:t>TITLE</w:t>
            </w:r>
          </w:p>
        </w:tc>
      </w:tr>
      <w:tr w14:paraId="3696D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1786" w:type="dxa"/>
            <w:tcBorders>
              <w:top w:val="double" w:color="auto" w:sz="4" w:space="0"/>
              <w:left w:val="double" w:color="auto" w:sz="4" w:space="0"/>
              <w:bottom w:val="double" w:color="auto" w:sz="4" w:space="0"/>
            </w:tcBorders>
            <w:vAlign w:val="center"/>
          </w:tcPr>
          <w:p w14:paraId="54DE13A7">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Title</w:t>
            </w:r>
          </w:p>
        </w:tc>
        <w:tc>
          <w:tcPr>
            <w:tcW w:w="731" w:type="dxa"/>
            <w:tcBorders>
              <w:top w:val="double" w:color="auto" w:sz="4" w:space="0"/>
              <w:bottom w:val="double" w:color="auto" w:sz="4" w:space="0"/>
            </w:tcBorders>
            <w:vAlign w:val="center"/>
          </w:tcPr>
          <w:p w14:paraId="63DFCC67">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11582" w:type="dxa"/>
            <w:tcBorders>
              <w:top w:val="double" w:color="auto" w:sz="4" w:space="0"/>
              <w:bottom w:val="double" w:color="auto" w:sz="4" w:space="0"/>
            </w:tcBorders>
            <w:vAlign w:val="center"/>
          </w:tcPr>
          <w:p w14:paraId="2EBAEA09">
            <w:pPr>
              <w:pStyle w:val="15"/>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Comprehensive Effects and Dose-Response Relationship of Screen Exposure on University Students' Physical and Mental Health and Academic Performance in the Digital Age: A Systematic Review and Meta-Analysis</w:t>
            </w:r>
          </w:p>
        </w:tc>
        <w:tc>
          <w:tcPr>
            <w:tcW w:w="1260" w:type="dxa"/>
            <w:tcBorders>
              <w:top w:val="double" w:color="auto" w:sz="4" w:space="0"/>
              <w:bottom w:val="double" w:color="auto" w:sz="4" w:space="0"/>
              <w:right w:val="double" w:color="auto" w:sz="4" w:space="0"/>
            </w:tcBorders>
            <w:vAlign w:val="center"/>
          </w:tcPr>
          <w:p w14:paraId="64D1A7AA">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P1</w:t>
            </w:r>
          </w:p>
        </w:tc>
      </w:tr>
      <w:tr w14:paraId="6B67F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359" w:type="dxa"/>
            <w:gridSpan w:val="4"/>
            <w:tcBorders>
              <w:top w:val="double" w:color="auto" w:sz="4" w:space="0"/>
              <w:left w:val="double" w:color="auto" w:sz="4" w:space="0"/>
              <w:bottom w:val="double" w:color="auto" w:sz="4" w:space="0"/>
              <w:right w:val="double" w:color="auto" w:sz="4" w:space="0"/>
            </w:tcBorders>
            <w:shd w:val="clear" w:color="auto" w:fill="FFFFCC"/>
            <w:vAlign w:val="center"/>
          </w:tcPr>
          <w:p w14:paraId="68BDDCD3">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ABSTRACT</w:t>
            </w:r>
          </w:p>
        </w:tc>
      </w:tr>
      <w:tr w14:paraId="2D5C1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9" w:hRule="atLeast"/>
        </w:trPr>
        <w:tc>
          <w:tcPr>
            <w:tcW w:w="1786" w:type="dxa"/>
            <w:tcBorders>
              <w:top w:val="double" w:color="auto" w:sz="4" w:space="0"/>
              <w:left w:val="double" w:color="auto" w:sz="4" w:space="0"/>
              <w:bottom w:val="double" w:color="auto" w:sz="4" w:space="0"/>
            </w:tcBorders>
            <w:vAlign w:val="center"/>
          </w:tcPr>
          <w:p w14:paraId="1882C453">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Abstract</w:t>
            </w:r>
          </w:p>
        </w:tc>
        <w:tc>
          <w:tcPr>
            <w:tcW w:w="731" w:type="dxa"/>
            <w:tcBorders>
              <w:top w:val="double" w:color="auto" w:sz="4" w:space="0"/>
              <w:bottom w:val="double" w:color="auto" w:sz="4" w:space="0"/>
            </w:tcBorders>
            <w:vAlign w:val="center"/>
          </w:tcPr>
          <w:p w14:paraId="55970C60">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p>
        </w:tc>
        <w:tc>
          <w:tcPr>
            <w:tcW w:w="11582" w:type="dxa"/>
            <w:tcBorders>
              <w:top w:val="double" w:color="auto" w:sz="4" w:space="0"/>
              <w:bottom w:val="double" w:color="auto" w:sz="4" w:space="0"/>
            </w:tcBorders>
            <w:vAlign w:val="center"/>
          </w:tcPr>
          <w:p w14:paraId="258E81A6">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Objective</w:t>
            </w:r>
            <w:r>
              <w:rPr>
                <w:rFonts w:hint="eastAsia" w:ascii="Times New Roman" w:hAnsi="Times New Roman" w:eastAsia="宋体" w:cs="Times New Roman"/>
                <w:b/>
                <w:bCs/>
                <w:color w:val="auto"/>
                <w:sz w:val="21"/>
                <w:szCs w:val="21"/>
                <w:highlight w:val="none"/>
                <w:lang w:val="en-US" w:eastAsia="zh-CN"/>
              </w:rPr>
              <w:t>:</w:t>
            </w:r>
            <w:r>
              <w:rPr>
                <w:rFonts w:hint="default"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rPr>
              <w:t xml:space="preserve">This study aims to systematically review the impact of </w:t>
            </w:r>
            <w:r>
              <w:rPr>
                <w:rFonts w:hint="default" w:ascii="Times New Roman" w:hAnsi="Times New Roman" w:eastAsia="宋体" w:cs="Times New Roman"/>
                <w:i w:val="0"/>
                <w:iCs w:val="0"/>
                <w:caps w:val="0"/>
                <w:color w:val="auto"/>
                <w:spacing w:val="0"/>
                <w:sz w:val="21"/>
                <w:szCs w:val="21"/>
                <w:highlight w:val="none"/>
                <w:shd w:val="clear" w:fill="FFFFFF"/>
                <w:lang w:val="en-US" w:eastAsia="zh-CN"/>
              </w:rPr>
              <w:t>total</w:t>
            </w:r>
            <w:r>
              <w:rPr>
                <w:rFonts w:hint="eastAsia" w:eastAsia="宋体" w:cs="Times New Roman"/>
                <w:i w:val="0"/>
                <w:iCs w:val="0"/>
                <w:caps w:val="0"/>
                <w:color w:val="auto"/>
                <w:spacing w:val="0"/>
                <w:sz w:val="21"/>
                <w:szCs w:val="21"/>
                <w:highlight w:val="none"/>
                <w:shd w:val="clear"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rPr>
              <w:t>screen time on</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rPr>
              <w:t>university students' health outcomes and academic performance,</w:t>
            </w:r>
            <w:r>
              <w:rPr>
                <w:rFonts w:hint="default" w:ascii="Times New Roman" w:hAnsi="Times New Roman" w:eastAsia="宋体" w:cs="Times New Roman"/>
                <w:i w:val="0"/>
                <w:iCs w:val="0"/>
                <w:caps w:val="0"/>
                <w:color w:val="auto"/>
                <w:spacing w:val="0"/>
                <w:sz w:val="21"/>
                <w:szCs w:val="21"/>
                <w:highlight w:val="none"/>
                <w:shd w:val="clear"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rPr>
              <w:t xml:space="preserve">and to explore </w:t>
            </w:r>
            <w:r>
              <w:rPr>
                <w:rFonts w:hint="eastAsia" w:ascii="Times New Roman" w:hAnsi="Times New Roman" w:eastAsia="宋体" w:cs="Times New Roman"/>
                <w:i w:val="0"/>
                <w:iCs w:val="0"/>
                <w:caps w:val="0"/>
                <w:color w:val="auto"/>
                <w:spacing w:val="0"/>
                <w:sz w:val="21"/>
                <w:szCs w:val="21"/>
                <w:highlight w:val="none"/>
                <w:shd w:val="clear" w:fill="FFFFFF"/>
                <w:lang w:val="en-US" w:eastAsia="zh-CN"/>
              </w:rPr>
              <w:t>its</w:t>
            </w:r>
            <w:r>
              <w:rPr>
                <w:rFonts w:hint="default" w:ascii="Times New Roman" w:hAnsi="Times New Roman" w:eastAsia="Segoe UI" w:cs="Times New Roman"/>
                <w:i w:val="0"/>
                <w:iCs w:val="0"/>
                <w:caps w:val="0"/>
                <w:color w:val="auto"/>
                <w:spacing w:val="0"/>
                <w:sz w:val="21"/>
                <w:szCs w:val="21"/>
                <w:highlight w:val="none"/>
                <w:shd w:val="clear" w:fill="FFFFFF"/>
              </w:rPr>
              <w:t xml:space="preserve"> dose-response relationship</w:t>
            </w:r>
            <w:r>
              <w:rPr>
                <w:rFonts w:hint="default" w:ascii="Times New Roman" w:hAnsi="Times New Roman" w:eastAsia="宋体" w:cs="Times New Roman"/>
                <w:i w:val="0"/>
                <w:iCs w:val="0"/>
                <w:caps w:val="0"/>
                <w:color w:val="auto"/>
                <w:spacing w:val="0"/>
                <w:sz w:val="21"/>
                <w:szCs w:val="21"/>
                <w:highlight w:val="none"/>
                <w:shd w:val="clear" w:fill="FFFFFF"/>
                <w:lang w:val="en-US" w:eastAsia="zh-CN"/>
              </w:rPr>
              <w:t>.</w:t>
            </w:r>
          </w:p>
          <w:p w14:paraId="7C7D83DC">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default" w:ascii="Times New Roman" w:hAnsi="Times New Roman" w:eastAsia="Segoe UI" w:cs="Times New Roman"/>
                <w:i w:val="0"/>
                <w:iCs w:val="0"/>
                <w:caps w:val="0"/>
                <w:color w:val="auto"/>
                <w:spacing w:val="0"/>
                <w:sz w:val="21"/>
                <w:szCs w:val="21"/>
                <w:highlight w:val="none"/>
                <w:shd w:val="clear" w:fill="FFFFFF"/>
                <w:lang w:val="en-US" w:eastAsia="zh-CN"/>
              </w:rPr>
            </w:pPr>
            <w:r>
              <w:rPr>
                <w:rFonts w:hint="eastAsia" w:ascii="Times New Roman" w:hAnsi="Times New Roman" w:eastAsia="宋体" w:cs="Times New Roman"/>
                <w:b/>
                <w:bCs/>
                <w:color w:val="auto"/>
                <w:sz w:val="21"/>
                <w:szCs w:val="21"/>
                <w:highlight w:val="none"/>
                <w:lang w:val="en-US" w:eastAsia="zh-CN"/>
              </w:rPr>
              <w:t xml:space="preserve">Methods: </w:t>
            </w:r>
            <w:r>
              <w:rPr>
                <w:rFonts w:hint="default" w:ascii="Times New Roman" w:hAnsi="Times New Roman" w:eastAsia="Segoe UI" w:cs="Times New Roman"/>
                <w:i w:val="0"/>
                <w:iCs w:val="0"/>
                <w:caps w:val="0"/>
                <w:color w:val="auto"/>
                <w:spacing w:val="0"/>
                <w:sz w:val="21"/>
                <w:szCs w:val="21"/>
                <w:highlight w:val="none"/>
                <w:shd w:val="clear" w:fill="FFFFFF"/>
              </w:rPr>
              <w:t xml:space="preserve">The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PubMed</w:t>
            </w:r>
            <w:r>
              <w:rPr>
                <w:rFonts w:hint="default" w:ascii="Times New Roman" w:hAnsi="Times New Roman" w:eastAsia="Segoe UI" w:cs="Times New Roman"/>
                <w:i w:val="0"/>
                <w:iCs w:val="0"/>
                <w:caps w:val="0"/>
                <w:color w:val="auto"/>
                <w:spacing w:val="0"/>
                <w:sz w:val="21"/>
                <w:szCs w:val="21"/>
                <w:highlight w:val="none"/>
                <w:shd w:val="clear" w:fill="FFFFFF"/>
              </w:rPr>
              <w:t xml:space="preserve">,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Web of Science</w:t>
            </w:r>
            <w:r>
              <w:rPr>
                <w:rFonts w:hint="default" w:ascii="Times New Roman" w:hAnsi="Times New Roman" w:eastAsia="Segoe UI" w:cs="Times New Roman"/>
                <w:i w:val="0"/>
                <w:iCs w:val="0"/>
                <w:caps w:val="0"/>
                <w:color w:val="auto"/>
                <w:spacing w:val="0"/>
                <w:sz w:val="21"/>
                <w:szCs w:val="21"/>
                <w:highlight w:val="none"/>
                <w:shd w:val="clear" w:fill="FFFFFF"/>
              </w:rPr>
              <w:t xml:space="preserve">,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Embase</w:t>
            </w:r>
            <w:r>
              <w:rPr>
                <w:rFonts w:hint="default" w:ascii="Times New Roman" w:hAnsi="Times New Roman" w:eastAsia="Segoe UI" w:cs="Times New Roman"/>
                <w:i w:val="0"/>
                <w:iCs w:val="0"/>
                <w:caps w:val="0"/>
                <w:color w:val="auto"/>
                <w:spacing w:val="0"/>
                <w:sz w:val="21"/>
                <w:szCs w:val="21"/>
                <w:highlight w:val="none"/>
                <w:shd w:val="clear" w:fill="FFFFFF"/>
              </w:rPr>
              <w:t xml:space="preserve">, Cochrane Library, and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PsycINFO</w:t>
            </w:r>
            <w:r>
              <w:rPr>
                <w:rFonts w:hint="default" w:ascii="Times New Roman" w:hAnsi="Times New Roman" w:eastAsia="Segoe UI" w:cs="Times New Roman"/>
                <w:i w:val="0"/>
                <w:iCs w:val="0"/>
                <w:caps w:val="0"/>
                <w:color w:val="auto"/>
                <w:spacing w:val="0"/>
                <w:sz w:val="21"/>
                <w:szCs w:val="21"/>
                <w:highlight w:val="none"/>
                <w:shd w:val="clear" w:fill="FFFFFF"/>
              </w:rPr>
              <w:t xml:space="preserve"> databases were systematically</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rPr>
              <w:t xml:space="preserve">searched to collect studies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related to</w:t>
            </w:r>
            <w:r>
              <w:rPr>
                <w:rFonts w:hint="default" w:ascii="Times New Roman" w:hAnsi="Times New Roman" w:eastAsia="Segoe UI" w:cs="Times New Roman"/>
                <w:i w:val="0"/>
                <w:iCs w:val="0"/>
                <w:caps w:val="0"/>
                <w:color w:val="auto"/>
                <w:spacing w:val="0"/>
                <w:sz w:val="21"/>
                <w:szCs w:val="21"/>
                <w:highlight w:val="none"/>
                <w:shd w:val="clear" w:fill="FFFFFF"/>
              </w:rPr>
              <w:t xml:space="preserve"> university students</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screen time</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with the search period</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from</w:t>
            </w:r>
            <w:r>
              <w:rPr>
                <w:rFonts w:hint="default" w:ascii="Times New Roman" w:hAnsi="Times New Roman" w:eastAsia="Segoe UI" w:cs="Times New Roman"/>
                <w:i w:val="0"/>
                <w:iCs w:val="0"/>
                <w:caps w:val="0"/>
                <w:color w:val="auto"/>
                <w:spacing w:val="0"/>
                <w:sz w:val="21"/>
                <w:szCs w:val="21"/>
                <w:highlight w:val="none"/>
                <w:shd w:val="clear" w:fill="FFFFFF"/>
              </w:rPr>
              <w:t xml:space="preserve"> inception to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July 2025.</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After two researchers</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independently screened the literature, extracted data, and assessed quality,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meta-analysis was performed using Stata 17.0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software</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The pooled effect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sizes</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w</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ere</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the reported odds ratio</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s</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(OR)</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with 95% confidence interval</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s</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(CI). Additionally,</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dose-response analysis was performed using R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4.4.3</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software</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and restricted cubic splines were used to fit the non-linear dose-response curve at fixed knots of the exposure distribution.</w:t>
            </w:r>
          </w:p>
          <w:p w14:paraId="54A00D2C">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eastAsia" w:ascii="Times New Roman" w:hAnsi="Times New Roman" w:eastAsia="Segoe UI" w:cs="Times New Roman"/>
                <w:i w:val="0"/>
                <w:iCs w:val="0"/>
                <w:caps w:val="0"/>
                <w:color w:val="auto"/>
                <w:spacing w:val="0"/>
                <w:sz w:val="21"/>
                <w:szCs w:val="21"/>
                <w:highlight w:val="none"/>
                <w:shd w:val="clear" w:fill="FFFFFF"/>
              </w:rPr>
            </w:pPr>
            <w:r>
              <w:rPr>
                <w:rFonts w:hint="eastAsia" w:ascii="Times New Roman" w:hAnsi="Times New Roman" w:eastAsia="宋体" w:cs="Times New Roman"/>
                <w:b/>
                <w:bCs/>
                <w:color w:val="auto"/>
                <w:sz w:val="21"/>
                <w:szCs w:val="21"/>
                <w:highlight w:val="none"/>
                <w:lang w:val="en-US" w:eastAsia="zh-CN"/>
              </w:rPr>
              <w:t xml:space="preserve">Results: </w:t>
            </w:r>
            <w:r>
              <w:rPr>
                <w:rFonts w:hint="default" w:ascii="Times New Roman" w:hAnsi="Times New Roman" w:eastAsia="Segoe UI" w:cs="Times New Roman"/>
                <w:i w:val="0"/>
                <w:iCs w:val="0"/>
                <w:caps w:val="0"/>
                <w:color w:val="auto"/>
                <w:spacing w:val="0"/>
                <w:sz w:val="21"/>
                <w:szCs w:val="21"/>
                <w:highlight w:val="none"/>
                <w:shd w:val="clear" w:fill="FFFFFF"/>
              </w:rPr>
              <w:t>A total of 69 cross-sectional studies and 3 longitudinal studies were included, comprising 71633 university students. Meta-analysis results showed that screen time was significantly associated with an increased risk of depression (OR=1.93; 95%CI: 1.75-2.12) and digital eye strain (OR=1.96; 95%CI: 1.67-2.31). Dose-response analysis further revealed that after daily screen time exceeded 2.5 hours, the risks of depression and digital eye strain increased sharply, with the risks increasing by more than 15% for each additional hour of screen exposure. In addition, screen time was also significantly associated with anxiety, stress, physical pain, sleep quality deterioration, insufficient physical activity, and reduced academic performance, with OR values ranging from 1.12 to 1.79. However, no significant associations were found between screen time and sleep duration or body mass index (BMI).</w:t>
            </w:r>
          </w:p>
          <w:p w14:paraId="1E0BC88C">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color w:val="auto"/>
                <w:sz w:val="21"/>
                <w:szCs w:val="21"/>
                <w:highlight w:val="none"/>
              </w:rPr>
            </w:pPr>
            <w:r>
              <w:rPr>
                <w:rFonts w:hint="eastAsia" w:ascii="Times New Roman" w:hAnsi="Times New Roman" w:eastAsia="宋体" w:cs="Times New Roman"/>
                <w:b/>
                <w:bCs/>
                <w:color w:val="auto"/>
                <w:sz w:val="21"/>
                <w:szCs w:val="21"/>
                <w:highlight w:val="none"/>
                <w:lang w:val="en-US" w:eastAsia="zh-CN"/>
              </w:rPr>
              <w:t>Conclusions:</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Current evidence indicates that screen time exerts adverse effects </w:t>
            </w:r>
            <w:r>
              <w:rPr>
                <w:rFonts w:hint="eastAsia" w:ascii="Times New Roman" w:hAnsi="Times New Roman" w:eastAsia="Segoe UI" w:cs="Times New Roman"/>
                <w:i w:val="0"/>
                <w:iCs w:val="0"/>
                <w:caps w:val="0"/>
                <w:color w:val="auto"/>
                <w:spacing w:val="0"/>
                <w:sz w:val="21"/>
                <w:szCs w:val="21"/>
                <w:highlight w:val="none"/>
                <w:shd w:val="clear" w:fill="FFFFFF"/>
              </w:rPr>
              <w:t xml:space="preserve">on university students' mental health,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physical pain, sleep quality, digital eye strain, physical activity, and academic performance, while no significant association is observed between screen time and sleep duration or BMI.</w:t>
            </w:r>
          </w:p>
        </w:tc>
        <w:tc>
          <w:tcPr>
            <w:tcW w:w="1260" w:type="dxa"/>
            <w:tcBorders>
              <w:top w:val="double" w:color="auto" w:sz="4" w:space="0"/>
              <w:bottom w:val="double" w:color="auto" w:sz="4" w:space="0"/>
              <w:right w:val="double" w:color="auto" w:sz="4" w:space="0"/>
            </w:tcBorders>
            <w:vAlign w:val="center"/>
          </w:tcPr>
          <w:p w14:paraId="54F3D110">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P2</w:t>
            </w:r>
          </w:p>
        </w:tc>
      </w:tr>
      <w:tr w14:paraId="45E11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359" w:type="dxa"/>
            <w:gridSpan w:val="4"/>
            <w:tcBorders>
              <w:top w:val="double" w:color="auto" w:sz="4" w:space="0"/>
              <w:left w:val="double" w:color="auto" w:sz="4" w:space="0"/>
              <w:bottom w:val="double" w:color="auto" w:sz="4" w:space="0"/>
              <w:right w:val="double" w:color="auto" w:sz="4" w:space="0"/>
            </w:tcBorders>
            <w:shd w:val="clear" w:color="auto" w:fill="FFFFCC"/>
            <w:vAlign w:val="center"/>
          </w:tcPr>
          <w:p w14:paraId="1AE075D4">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INTRODUCTION</w:t>
            </w:r>
          </w:p>
        </w:tc>
      </w:tr>
      <w:tr w14:paraId="0ABBB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9" w:hRule="atLeast"/>
        </w:trPr>
        <w:tc>
          <w:tcPr>
            <w:tcW w:w="1786" w:type="dxa"/>
            <w:tcBorders>
              <w:top w:val="double" w:color="auto" w:sz="4" w:space="0"/>
              <w:left w:val="double" w:color="auto" w:sz="4" w:space="0"/>
            </w:tcBorders>
            <w:vAlign w:val="center"/>
          </w:tcPr>
          <w:p w14:paraId="19EC7D13">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Rationale</w:t>
            </w:r>
          </w:p>
        </w:tc>
        <w:tc>
          <w:tcPr>
            <w:tcW w:w="731" w:type="dxa"/>
            <w:tcBorders>
              <w:top w:val="double" w:color="auto" w:sz="4" w:space="0"/>
            </w:tcBorders>
            <w:vAlign w:val="center"/>
          </w:tcPr>
          <w:p w14:paraId="7A888B35">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w:t>
            </w:r>
          </w:p>
        </w:tc>
        <w:tc>
          <w:tcPr>
            <w:tcW w:w="11582" w:type="dxa"/>
            <w:tcBorders>
              <w:top w:val="double" w:color="auto" w:sz="4" w:space="0"/>
            </w:tcBorders>
            <w:vAlign w:val="center"/>
          </w:tcPr>
          <w:p w14:paraId="1B91CBD8">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color w:val="auto"/>
                <w:sz w:val="21"/>
                <w:szCs w:val="21"/>
                <w:highlight w:val="none"/>
                <w:lang w:val="en-US"/>
              </w:rPr>
            </w:pPr>
            <w:r>
              <w:rPr>
                <w:rFonts w:hint="default" w:ascii="Times New Roman" w:hAnsi="Times New Roman" w:eastAsia="Segoe UI" w:cs="Times New Roman"/>
                <w:i w:val="0"/>
                <w:iCs w:val="0"/>
                <w:caps w:val="0"/>
                <w:color w:val="auto"/>
                <w:spacing w:val="0"/>
                <w:sz w:val="21"/>
                <w:szCs w:val="21"/>
                <w:highlight w:val="none"/>
                <w:shd w:val="clear" w:color="auto" w:fill="FFFFFF"/>
                <w:lang w:val="en-US" w:eastAsia="zh-CN"/>
              </w:rPr>
              <w:t>Digital media (smartphones, computers, tablets, gaming consoles, etc</w:t>
            </w:r>
            <w:r>
              <w:rPr>
                <w:rFonts w:hint="eastAsia" w:ascii="Times New Roman" w:hAnsi="Times New Roman" w:eastAsia="Segoe UI" w:cs="Times New Roman"/>
                <w:i w:val="0"/>
                <w:iCs w:val="0"/>
                <w:caps w:val="0"/>
                <w:color w:val="auto"/>
                <w:spacing w:val="0"/>
                <w:sz w:val="21"/>
                <w:szCs w:val="21"/>
                <w:highlight w:val="none"/>
                <w:shd w:val="clear" w:color="auto" w:fill="FFFFFF"/>
                <w:lang w:val="en-US" w:eastAsia="zh-CN"/>
              </w:rPr>
              <w:t>.</w:t>
            </w:r>
            <w:r>
              <w:rPr>
                <w:rFonts w:hint="default" w:ascii="Times New Roman" w:hAnsi="Times New Roman" w:eastAsia="Segoe UI" w:cs="Times New Roman"/>
                <w:i w:val="0"/>
                <w:iCs w:val="0"/>
                <w:caps w:val="0"/>
                <w:color w:val="auto"/>
                <w:spacing w:val="0"/>
                <w:sz w:val="21"/>
                <w:szCs w:val="21"/>
                <w:highlight w:val="none"/>
                <w:shd w:val="clear" w:color="auto" w:fill="FFFFFF"/>
                <w:lang w:val="en-US" w:eastAsia="zh-CN"/>
              </w:rPr>
              <w:t>)</w:t>
            </w:r>
            <w:r>
              <w:rPr>
                <w:rFonts w:hint="eastAsia" w:ascii="Times New Roman" w:hAnsi="Times New Roman" w:eastAsia="Segoe UI" w:cs="Times New Roman"/>
                <w:i w:val="0"/>
                <w:iCs w:val="0"/>
                <w:caps w:val="0"/>
                <w:color w:val="auto"/>
                <w:spacing w:val="0"/>
                <w:sz w:val="21"/>
                <w:szCs w:val="21"/>
                <w:highlight w:val="none"/>
                <w:shd w:val="clear" w:color="auto"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color="auto" w:fill="FFFFFF"/>
                <w:lang w:val="en-US" w:eastAsia="zh-CN"/>
              </w:rPr>
              <w:t>ha</w:t>
            </w:r>
            <w:r>
              <w:rPr>
                <w:rFonts w:hint="eastAsia" w:ascii="Times New Roman" w:hAnsi="Times New Roman" w:eastAsia="Segoe UI" w:cs="Times New Roman"/>
                <w:i w:val="0"/>
                <w:iCs w:val="0"/>
                <w:caps w:val="0"/>
                <w:color w:val="auto"/>
                <w:spacing w:val="0"/>
                <w:sz w:val="21"/>
                <w:szCs w:val="21"/>
                <w:highlight w:val="none"/>
                <w:shd w:val="clear" w:color="auto" w:fill="FFFFFF"/>
                <w:lang w:val="en-US" w:eastAsia="zh-CN"/>
              </w:rPr>
              <w:t>ve</w:t>
            </w:r>
            <w:r>
              <w:rPr>
                <w:rFonts w:hint="default" w:ascii="Times New Roman" w:hAnsi="Times New Roman" w:eastAsia="Segoe UI" w:cs="Times New Roman"/>
                <w:i w:val="0"/>
                <w:iCs w:val="0"/>
                <w:caps w:val="0"/>
                <w:color w:val="auto"/>
                <w:spacing w:val="0"/>
                <w:sz w:val="21"/>
                <w:szCs w:val="21"/>
                <w:highlight w:val="none"/>
                <w:shd w:val="clear" w:color="auto" w:fill="FFFFFF"/>
                <w:lang w:val="en-US" w:eastAsia="zh-CN"/>
              </w:rPr>
              <w:t xml:space="preserve"> been deeply integrated into the daily lives of university students, serving as a core carrier for their knowledge acquisition, social interaction, and leisure activities.</w:t>
            </w:r>
            <w:r>
              <w:rPr>
                <w:rFonts w:hint="eastAsia" w:eastAsia="Segoe UI" w:cs="Times New Roman"/>
                <w:i w:val="0"/>
                <w:iCs w:val="0"/>
                <w:caps w:val="0"/>
                <w:color w:val="auto"/>
                <w:spacing w:val="0"/>
                <w:sz w:val="21"/>
                <w:szCs w:val="21"/>
                <w:highlight w:val="none"/>
                <w:shd w:val="clear" w:color="auto" w:fill="FFFFFF"/>
                <w:lang w:val="en-US" w:eastAsia="zh-CN"/>
              </w:rPr>
              <w:t xml:space="preserve"> </w:t>
            </w:r>
            <w:r>
              <w:rPr>
                <w:rFonts w:hint="eastAsia" w:ascii="Times New Roman" w:hAnsi="Times New Roman" w:eastAsia="Segoe UI" w:cs="Times New Roman"/>
                <w:i w:val="0"/>
                <w:iCs w:val="0"/>
                <w:caps w:val="0"/>
                <w:color w:val="auto"/>
                <w:spacing w:val="0"/>
                <w:sz w:val="21"/>
                <w:szCs w:val="21"/>
                <w:highlight w:val="none"/>
                <w:shd w:val="clear" w:color="auto" w:fill="FFFFFF"/>
                <w:lang w:val="en-US" w:eastAsia="zh-CN"/>
              </w:rPr>
              <w:t xml:space="preserve">Numerous studies have confirmed that excessive use of screen devices exerts multiple negative effects on university students' health outcomes (such as depression, anxiety, stress, sleep quality, digital eye strain, physical pain, and </w:t>
            </w:r>
            <w:r>
              <w:rPr>
                <w:rFonts w:ascii="Segoe UI" w:hAnsi="Segoe UI" w:eastAsia="Segoe UI" w:cs="Segoe UI"/>
                <w:i w:val="0"/>
                <w:iCs w:val="0"/>
                <w:caps w:val="0"/>
                <w:color w:val="auto"/>
                <w:spacing w:val="0"/>
                <w:sz w:val="19"/>
                <w:szCs w:val="19"/>
                <w:shd w:val="clear" w:color="auto" w:fill="FFFFFF"/>
              </w:rPr>
              <w:t>reduced</w:t>
            </w:r>
            <w:r>
              <w:rPr>
                <w:rFonts w:hint="eastAsia" w:ascii="Segoe UI" w:hAnsi="Segoe UI" w:eastAsia="宋体" w:cs="Segoe UI"/>
                <w:i w:val="0"/>
                <w:iCs w:val="0"/>
                <w:caps w:val="0"/>
                <w:color w:val="auto"/>
                <w:spacing w:val="0"/>
                <w:sz w:val="19"/>
                <w:szCs w:val="19"/>
                <w:shd w:val="clear" w:color="auto"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color="auto" w:fill="FFFFFF"/>
              </w:rPr>
              <w:t>physical activity</w:t>
            </w:r>
            <w:r>
              <w:rPr>
                <w:rFonts w:hint="eastAsia" w:ascii="Times New Roman" w:hAnsi="Times New Roman" w:eastAsia="Segoe UI" w:cs="Times New Roman"/>
                <w:i w:val="0"/>
                <w:iCs w:val="0"/>
                <w:caps w:val="0"/>
                <w:color w:val="auto"/>
                <w:spacing w:val="0"/>
                <w:sz w:val="21"/>
                <w:szCs w:val="21"/>
                <w:highlight w:val="none"/>
                <w:shd w:val="clear" w:color="auto" w:fill="FFFFFF"/>
                <w:lang w:val="en-US" w:eastAsia="zh-CN"/>
              </w:rPr>
              <w:t xml:space="preserve">) and academic performance. The resulting issues of </w:t>
            </w:r>
            <w:r>
              <w:rPr>
                <w:rFonts w:hint="default" w:ascii="Times New Roman" w:hAnsi="Times New Roman" w:eastAsia="Segoe UI" w:cs="Times New Roman"/>
                <w:i w:val="0"/>
                <w:iCs w:val="0"/>
                <w:caps w:val="0"/>
                <w:color w:val="auto"/>
                <w:spacing w:val="0"/>
                <w:sz w:val="21"/>
                <w:szCs w:val="21"/>
                <w:highlight w:val="none"/>
                <w:shd w:val="clear" w:color="auto" w:fill="FFFFFF"/>
                <w:lang w:val="en-US" w:eastAsia="zh-CN"/>
              </w:rPr>
              <w:t>compromised health</w:t>
            </w:r>
            <w:r>
              <w:rPr>
                <w:rFonts w:hint="eastAsia" w:ascii="Times New Roman" w:hAnsi="Times New Roman" w:eastAsia="Segoe UI" w:cs="Times New Roman"/>
                <w:i w:val="0"/>
                <w:iCs w:val="0"/>
                <w:caps w:val="0"/>
                <w:color w:val="auto"/>
                <w:spacing w:val="0"/>
                <w:sz w:val="21"/>
                <w:szCs w:val="21"/>
                <w:highlight w:val="none"/>
                <w:shd w:val="clear" w:color="auto" w:fill="FFFFFF"/>
                <w:lang w:val="en-US" w:eastAsia="zh-CN"/>
              </w:rPr>
              <w:t xml:space="preserve"> and </w:t>
            </w:r>
            <w:r>
              <w:rPr>
                <w:rFonts w:hint="default" w:ascii="Times New Roman" w:hAnsi="Times New Roman" w:eastAsia="Segoe UI" w:cs="Times New Roman"/>
                <w:i w:val="0"/>
                <w:iCs w:val="0"/>
                <w:caps w:val="0"/>
                <w:color w:val="auto"/>
                <w:spacing w:val="0"/>
                <w:sz w:val="21"/>
                <w:szCs w:val="21"/>
                <w:highlight w:val="none"/>
                <w:shd w:val="clear" w:color="auto" w:fill="FFFFFF"/>
                <w:lang w:val="en-US" w:eastAsia="zh-CN"/>
              </w:rPr>
              <w:t>diminished academic performance</w:t>
            </w:r>
            <w:r>
              <w:rPr>
                <w:rFonts w:hint="eastAsia" w:ascii="Times New Roman" w:hAnsi="Times New Roman" w:eastAsia="Segoe UI" w:cs="Times New Roman"/>
                <w:i w:val="0"/>
                <w:iCs w:val="0"/>
                <w:caps w:val="0"/>
                <w:color w:val="auto"/>
                <w:spacing w:val="0"/>
                <w:sz w:val="21"/>
                <w:szCs w:val="21"/>
                <w:highlight w:val="none"/>
                <w:shd w:val="clear" w:color="auto" w:fill="FFFFFF"/>
                <w:lang w:val="en-US" w:eastAsia="zh-CN"/>
              </w:rPr>
              <w:t xml:space="preserve"> have become increasingly prominent, evolving into a pressing public health and educational concern. However, current studies suffer from issues such as fragmented research foci, inconsistencies in findings, and insufficient control of the key moderating variables, which hinder our comprehensive understanding of </w:t>
            </w:r>
            <w:r>
              <w:rPr>
                <w:rFonts w:hint="default" w:ascii="Times New Roman" w:hAnsi="Times New Roman" w:eastAsia="Segoe UI" w:cs="Times New Roman"/>
                <w:i w:val="0"/>
                <w:iCs w:val="0"/>
                <w:caps w:val="0"/>
                <w:color w:val="auto"/>
                <w:spacing w:val="0"/>
                <w:sz w:val="21"/>
                <w:szCs w:val="21"/>
                <w:highlight w:val="none"/>
                <w:shd w:val="clear" w:color="auto" w:fill="FFFFFF"/>
                <w:lang w:val="en-US" w:eastAsia="zh-CN"/>
              </w:rPr>
              <w:t>these complex issue</w:t>
            </w:r>
            <w:r>
              <w:rPr>
                <w:rFonts w:hint="eastAsia" w:ascii="Times New Roman" w:hAnsi="Times New Roman" w:eastAsia="Segoe UI" w:cs="Times New Roman"/>
                <w:i w:val="0"/>
                <w:iCs w:val="0"/>
                <w:caps w:val="0"/>
                <w:color w:val="auto"/>
                <w:spacing w:val="0"/>
                <w:sz w:val="21"/>
                <w:szCs w:val="21"/>
                <w:highlight w:val="none"/>
                <w:shd w:val="clear" w:color="auto" w:fill="FFFFFF"/>
                <w:lang w:val="en-US" w:eastAsia="zh-CN"/>
              </w:rPr>
              <w:t>s.</w:t>
            </w:r>
            <w:r>
              <w:rPr>
                <w:rFonts w:hint="eastAsia" w:eastAsia="Segoe UI" w:cs="Times New Roman"/>
                <w:i w:val="0"/>
                <w:iCs w:val="0"/>
                <w:caps w:val="0"/>
                <w:color w:val="auto"/>
                <w:spacing w:val="0"/>
                <w:sz w:val="21"/>
                <w:szCs w:val="21"/>
                <w:highlight w:val="none"/>
                <w:shd w:val="clear" w:color="auto"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color="auto" w:fill="FFFFFF"/>
                <w:lang w:val="en-US" w:eastAsia="zh-CN"/>
              </w:rPr>
              <w:t>Th</w:t>
            </w:r>
            <w:r>
              <w:rPr>
                <w:rFonts w:hint="eastAsia" w:ascii="Times New Roman" w:hAnsi="Times New Roman" w:eastAsia="Segoe UI" w:cs="Times New Roman"/>
                <w:i w:val="0"/>
                <w:iCs w:val="0"/>
                <w:caps w:val="0"/>
                <w:color w:val="auto"/>
                <w:spacing w:val="0"/>
                <w:sz w:val="21"/>
                <w:szCs w:val="21"/>
                <w:highlight w:val="none"/>
                <w:shd w:val="clear" w:color="auto" w:fill="FFFFFF"/>
                <w:lang w:val="en-US" w:eastAsia="zh-CN"/>
              </w:rPr>
              <w:t>us</w:t>
            </w:r>
            <w:r>
              <w:rPr>
                <w:rFonts w:hint="default" w:ascii="Times New Roman" w:hAnsi="Times New Roman" w:eastAsia="Segoe UI" w:cs="Times New Roman"/>
                <w:i w:val="0"/>
                <w:iCs w:val="0"/>
                <w:caps w:val="0"/>
                <w:color w:val="auto"/>
                <w:spacing w:val="0"/>
                <w:sz w:val="21"/>
                <w:szCs w:val="21"/>
                <w:highlight w:val="none"/>
                <w:shd w:val="clear" w:color="auto" w:fill="FFFFFF"/>
                <w:lang w:val="en-US" w:eastAsia="zh-CN"/>
              </w:rPr>
              <w:t>, integrating fragmented evidence through meta-analysis can not only quantify the overall effect of screen time on university students' health outcomes and academic performance,</w:t>
            </w:r>
            <w:r>
              <w:rPr>
                <w:rFonts w:hint="eastAsia" w:ascii="Times New Roman" w:hAnsi="Times New Roman" w:eastAsia="Segoe UI" w:cs="Times New Roman"/>
                <w:i w:val="0"/>
                <w:iCs w:val="0"/>
                <w:caps w:val="0"/>
                <w:color w:val="auto"/>
                <w:spacing w:val="0"/>
                <w:sz w:val="21"/>
                <w:szCs w:val="21"/>
                <w:highlight w:val="none"/>
                <w:shd w:val="clear" w:color="auto"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color="auto" w:fill="FFFFFF"/>
                <w:lang w:val="en-US" w:eastAsia="zh-CN"/>
              </w:rPr>
              <w:t>but also elucidate sources of heterogeneity through subgroup analysis and meta-regression.</w:t>
            </w:r>
            <w:r>
              <w:rPr>
                <w:rFonts w:hint="eastAsia" w:eastAsia="Segoe UI" w:cs="Times New Roman"/>
                <w:i w:val="0"/>
                <w:iCs w:val="0"/>
                <w:caps w:val="0"/>
                <w:color w:val="auto"/>
                <w:spacing w:val="0"/>
                <w:sz w:val="21"/>
                <w:szCs w:val="21"/>
                <w:highlight w:val="none"/>
                <w:shd w:val="clear" w:color="auto"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color="auto" w:fill="FFFFFF"/>
                <w:lang w:val="en-US" w:eastAsia="zh-CN"/>
              </w:rPr>
              <w:t>This provides evidence-based guidance for the formulation of educational policies, public health interventions, and individual health management.</w:t>
            </w:r>
          </w:p>
        </w:tc>
        <w:tc>
          <w:tcPr>
            <w:tcW w:w="1260" w:type="dxa"/>
            <w:tcBorders>
              <w:top w:val="double" w:color="auto" w:sz="4" w:space="0"/>
              <w:right w:val="double" w:color="auto" w:sz="4" w:space="0"/>
            </w:tcBorders>
            <w:vAlign w:val="center"/>
          </w:tcPr>
          <w:p w14:paraId="3FFC48D9">
            <w:pPr>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P</w:t>
            </w:r>
            <w:r>
              <w:rPr>
                <w:rFonts w:hint="eastAsia" w:eastAsia="宋体" w:cs="Times New Roman"/>
                <w:color w:val="auto"/>
                <w:sz w:val="21"/>
                <w:szCs w:val="21"/>
                <w:highlight w:val="none"/>
                <w:lang w:val="en-US" w:eastAsia="zh-CN"/>
              </w:rPr>
              <w:t>3</w:t>
            </w:r>
            <w:r>
              <w:rPr>
                <w:rFonts w:hint="eastAsia" w:ascii="Times New Roman" w:hAnsi="Times New Roman" w:eastAsia="宋体" w:cs="Times New Roman"/>
                <w:color w:val="auto"/>
                <w:sz w:val="21"/>
                <w:szCs w:val="21"/>
                <w:highlight w:val="none"/>
                <w:lang w:val="en-US" w:eastAsia="zh-CN"/>
              </w:rPr>
              <w:t>-P</w:t>
            </w:r>
            <w:r>
              <w:rPr>
                <w:rFonts w:hint="eastAsia" w:eastAsia="宋体" w:cs="Times New Roman"/>
                <w:color w:val="auto"/>
                <w:sz w:val="21"/>
                <w:szCs w:val="21"/>
                <w:highlight w:val="none"/>
                <w:lang w:val="en-US" w:eastAsia="zh-CN"/>
              </w:rPr>
              <w:t>5</w:t>
            </w:r>
          </w:p>
        </w:tc>
      </w:tr>
      <w:tr w14:paraId="5C2AD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1786" w:type="dxa"/>
            <w:tcBorders>
              <w:left w:val="double" w:color="auto" w:sz="4" w:space="0"/>
              <w:bottom w:val="double" w:color="auto" w:sz="4" w:space="0"/>
            </w:tcBorders>
            <w:vAlign w:val="center"/>
          </w:tcPr>
          <w:p w14:paraId="7C7C90E7">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Objectives</w:t>
            </w:r>
          </w:p>
        </w:tc>
        <w:tc>
          <w:tcPr>
            <w:tcW w:w="731" w:type="dxa"/>
            <w:tcBorders>
              <w:bottom w:val="double" w:color="auto" w:sz="4" w:space="0"/>
            </w:tcBorders>
            <w:vAlign w:val="center"/>
          </w:tcPr>
          <w:p w14:paraId="3BBEFCAD">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w:t>
            </w:r>
          </w:p>
        </w:tc>
        <w:tc>
          <w:tcPr>
            <w:tcW w:w="11582" w:type="dxa"/>
            <w:tcBorders>
              <w:bottom w:val="double" w:color="auto" w:sz="4" w:space="0"/>
            </w:tcBorders>
            <w:vAlign w:val="center"/>
          </w:tcPr>
          <w:p w14:paraId="29AE94BA">
            <w:pPr>
              <w:pStyle w:val="15"/>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 xml:space="preserve">This study aims to systematically review the impact of screen time on university students' health outcomes and academic performance, and to explore </w:t>
            </w:r>
            <w:r>
              <w:rPr>
                <w:rFonts w:hint="eastAsia" w:ascii="Times New Roman" w:hAnsi="Times New Roman" w:eastAsia="宋体" w:cs="Times New Roman"/>
                <w:b w:val="0"/>
                <w:bCs w:val="0"/>
                <w:color w:val="auto"/>
                <w:sz w:val="21"/>
                <w:szCs w:val="21"/>
                <w:highlight w:val="none"/>
                <w:lang w:val="en-US" w:eastAsia="zh-CN"/>
              </w:rPr>
              <w:t>its</w:t>
            </w:r>
            <w:r>
              <w:rPr>
                <w:rFonts w:hint="default" w:ascii="Times New Roman" w:hAnsi="Times New Roman" w:eastAsia="宋体" w:cs="Times New Roman"/>
                <w:b w:val="0"/>
                <w:bCs w:val="0"/>
                <w:color w:val="auto"/>
                <w:sz w:val="21"/>
                <w:szCs w:val="21"/>
                <w:highlight w:val="none"/>
                <w:lang w:val="en-US" w:eastAsia="zh-CN"/>
              </w:rPr>
              <w:t xml:space="preserve"> dose-response relationship.</w:t>
            </w:r>
          </w:p>
        </w:tc>
        <w:tc>
          <w:tcPr>
            <w:tcW w:w="1260" w:type="dxa"/>
            <w:tcBorders>
              <w:bottom w:val="double" w:color="auto" w:sz="4" w:space="0"/>
              <w:right w:val="double" w:color="auto" w:sz="4" w:space="0"/>
            </w:tcBorders>
            <w:vAlign w:val="center"/>
          </w:tcPr>
          <w:p w14:paraId="487CA90C">
            <w:pPr>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P</w:t>
            </w:r>
            <w:r>
              <w:rPr>
                <w:rFonts w:hint="eastAsia" w:eastAsia="宋体" w:cs="Times New Roman"/>
                <w:color w:val="auto"/>
                <w:sz w:val="21"/>
                <w:szCs w:val="21"/>
                <w:highlight w:val="none"/>
                <w:lang w:val="en-US" w:eastAsia="zh-CN"/>
              </w:rPr>
              <w:t>3</w:t>
            </w:r>
            <w:r>
              <w:rPr>
                <w:rFonts w:hint="eastAsia" w:ascii="Times New Roman" w:hAnsi="Times New Roman" w:eastAsia="宋体" w:cs="Times New Roman"/>
                <w:color w:val="auto"/>
                <w:sz w:val="21"/>
                <w:szCs w:val="21"/>
                <w:highlight w:val="none"/>
                <w:lang w:val="en-US" w:eastAsia="zh-CN"/>
              </w:rPr>
              <w:t>-P</w:t>
            </w:r>
            <w:r>
              <w:rPr>
                <w:rFonts w:hint="eastAsia" w:eastAsia="宋体" w:cs="Times New Roman"/>
                <w:color w:val="auto"/>
                <w:sz w:val="21"/>
                <w:szCs w:val="21"/>
                <w:highlight w:val="none"/>
                <w:lang w:val="en-US" w:eastAsia="zh-CN"/>
              </w:rPr>
              <w:t>5</w:t>
            </w:r>
          </w:p>
        </w:tc>
      </w:tr>
      <w:tr w14:paraId="28025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359" w:type="dxa"/>
            <w:gridSpan w:val="4"/>
            <w:tcBorders>
              <w:top w:val="double" w:color="auto" w:sz="4" w:space="0"/>
              <w:left w:val="double" w:color="auto" w:sz="4" w:space="0"/>
              <w:bottom w:val="double" w:color="auto" w:sz="4" w:space="0"/>
              <w:right w:val="double" w:color="auto" w:sz="4" w:space="0"/>
            </w:tcBorders>
            <w:shd w:val="clear" w:color="auto" w:fill="FFFFCC"/>
            <w:vAlign w:val="center"/>
          </w:tcPr>
          <w:p w14:paraId="7C73EA3A">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METHODS</w:t>
            </w:r>
          </w:p>
        </w:tc>
      </w:tr>
      <w:tr w14:paraId="1A303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1786" w:type="dxa"/>
            <w:tcBorders>
              <w:top w:val="double" w:color="auto" w:sz="4" w:space="0"/>
              <w:left w:val="double" w:color="auto" w:sz="4" w:space="0"/>
              <w:bottom w:val="single" w:color="auto" w:sz="4" w:space="0"/>
            </w:tcBorders>
            <w:vAlign w:val="center"/>
          </w:tcPr>
          <w:p w14:paraId="6B1DA9BC">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Eligibility criteria</w:t>
            </w:r>
          </w:p>
        </w:tc>
        <w:tc>
          <w:tcPr>
            <w:tcW w:w="731" w:type="dxa"/>
            <w:tcBorders>
              <w:top w:val="double" w:color="auto" w:sz="4" w:space="0"/>
              <w:bottom w:val="single" w:color="auto" w:sz="4" w:space="0"/>
            </w:tcBorders>
            <w:vAlign w:val="center"/>
          </w:tcPr>
          <w:p w14:paraId="2CA3671F">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w:t>
            </w:r>
          </w:p>
        </w:tc>
        <w:tc>
          <w:tcPr>
            <w:tcW w:w="11582" w:type="dxa"/>
            <w:tcBorders>
              <w:top w:val="double" w:color="auto" w:sz="4" w:space="0"/>
              <w:bottom w:val="single" w:color="auto" w:sz="4" w:space="0"/>
            </w:tcBorders>
            <w:vAlign w:val="center"/>
          </w:tcPr>
          <w:p w14:paraId="7AF68718">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shd w:val="clear" w:fill="FFFFFF"/>
                <w:lang w:val="en-US" w:eastAsia="zh-CN" w:bidi="ar-SA"/>
              </w:rPr>
            </w:pPr>
            <w:r>
              <w:rPr>
                <w:rFonts w:hint="default" w:ascii="Times New Roman" w:hAnsi="Times New Roman" w:eastAsia="Segoe UI" w:cs="Times New Roman"/>
                <w:i w:val="0"/>
                <w:iCs w:val="0"/>
                <w:caps w:val="0"/>
                <w:color w:val="auto"/>
                <w:spacing w:val="0"/>
                <w:sz w:val="21"/>
                <w:szCs w:val="21"/>
                <w:shd w:val="clear" w:fill="FFFFFF"/>
                <w:lang w:val="en-US" w:eastAsia="zh-CN" w:bidi="ar-SA"/>
              </w:rPr>
              <w:t>(1)cross-sectional or longitudinal studies (including cohort studies) published in peer-reviewed journals;</w:t>
            </w:r>
          </w:p>
          <w:p w14:paraId="6391FAC2">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shd w:val="clear" w:fill="FFFFFF"/>
                <w:lang w:val="en-US" w:eastAsia="zh-CN" w:bidi="ar-SA"/>
              </w:rPr>
            </w:pPr>
            <w:r>
              <w:rPr>
                <w:rFonts w:hint="default" w:ascii="Times New Roman" w:hAnsi="Times New Roman" w:eastAsia="Segoe UI" w:cs="Times New Roman"/>
                <w:i w:val="0"/>
                <w:iCs w:val="0"/>
                <w:caps w:val="0"/>
                <w:color w:val="auto"/>
                <w:spacing w:val="0"/>
                <w:sz w:val="21"/>
                <w:szCs w:val="21"/>
                <w:shd w:val="clear" w:fill="FFFFFF"/>
                <w:lang w:val="en-US" w:eastAsia="zh-CN" w:bidi="ar-SA"/>
              </w:rPr>
              <w:t>(2) studies reporting measures of association between screen time and academic performance or health outcomes</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(including depression, anxiety, stress, physical pain, sleep quality, sleep duration, digital eye strain, </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BMI, </w:t>
            </w:r>
            <w:r>
              <w:rPr>
                <w:rFonts w:hint="default" w:ascii="Times New Roman" w:hAnsi="Times New Roman" w:eastAsia="Segoe UI" w:cs="Times New Roman"/>
                <w:i w:val="0"/>
                <w:iCs w:val="0"/>
                <w:caps w:val="0"/>
                <w:color w:val="auto"/>
                <w:spacing w:val="0"/>
                <w:sz w:val="21"/>
                <w:szCs w:val="21"/>
                <w:shd w:val="clear" w:fill="FFFFFF"/>
                <w:lang w:val="en-US" w:eastAsia="zh-CN" w:bidi="ar-SA"/>
              </w:rPr>
              <w:t>and physical activity),</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such as odds ratios (OR), relative risk</w:t>
            </w:r>
            <w:r>
              <w:rPr>
                <w:rFonts w:hint="eastAsia" w:ascii="Times New Roman" w:hAnsi="Times New Roman" w:eastAsia="Segoe UI" w:cs="Times New Roman"/>
                <w:i w:val="0"/>
                <w:iCs w:val="0"/>
                <w:caps w:val="0"/>
                <w:color w:val="auto"/>
                <w:spacing w:val="0"/>
                <w:sz w:val="21"/>
                <w:szCs w:val="21"/>
                <w:shd w:val="clear" w:fill="FFFFFF"/>
                <w:lang w:val="en-US" w:eastAsia="zh-CN" w:bidi="ar-SA"/>
              </w:rPr>
              <w:t>s</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(RR), correlation coefficient</w:t>
            </w:r>
            <w:r>
              <w:rPr>
                <w:rFonts w:hint="eastAsia" w:ascii="Times New Roman" w:hAnsi="Times New Roman" w:eastAsia="Segoe UI" w:cs="Times New Roman"/>
                <w:i w:val="0"/>
                <w:iCs w:val="0"/>
                <w:caps w:val="0"/>
                <w:color w:val="auto"/>
                <w:spacing w:val="0"/>
                <w:sz w:val="21"/>
                <w:szCs w:val="21"/>
                <w:shd w:val="clear" w:fill="FFFFFF"/>
                <w:lang w:val="en-US" w:eastAsia="zh-CN" w:bidi="ar-SA"/>
              </w:rPr>
              <w:t>s</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(r), or regression coefficient</w:t>
            </w:r>
            <w:r>
              <w:rPr>
                <w:rFonts w:hint="eastAsia" w:ascii="Times New Roman" w:hAnsi="Times New Roman" w:eastAsia="Segoe UI" w:cs="Times New Roman"/>
                <w:i w:val="0"/>
                <w:iCs w:val="0"/>
                <w:caps w:val="0"/>
                <w:color w:val="auto"/>
                <w:spacing w:val="0"/>
                <w:sz w:val="21"/>
                <w:szCs w:val="21"/>
                <w:shd w:val="clear" w:fill="FFFFFF"/>
                <w:lang w:val="en-US" w:eastAsia="zh-CN" w:bidi="ar-SA"/>
              </w:rPr>
              <w:t>s</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(β);</w:t>
            </w:r>
          </w:p>
          <w:p w14:paraId="2E64D753">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shd w:val="clear" w:fill="FFFFFF"/>
                <w:lang w:val="en-US" w:eastAsia="zh-CN" w:bidi="ar-SA"/>
              </w:rPr>
            </w:pP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(3) </w:t>
            </w:r>
            <w:r>
              <w:rPr>
                <w:rFonts w:hint="eastAsia" w:ascii="Times New Roman" w:hAnsi="Times New Roman" w:eastAsia="Segoe UI" w:cs="Times New Roman"/>
                <w:i w:val="0"/>
                <w:iCs w:val="0"/>
                <w:caps w:val="0"/>
                <w:color w:val="auto"/>
                <w:spacing w:val="0"/>
                <w:sz w:val="21"/>
                <w:szCs w:val="21"/>
                <w:shd w:val="clear" w:fill="FFFFFF"/>
                <w:lang w:val="en-US" w:eastAsia="zh-CN" w:bidi="ar-SA"/>
              </w:rPr>
              <w:t>studies published in English</w:t>
            </w:r>
            <w:r>
              <w:rPr>
                <w:rFonts w:hint="default" w:ascii="Times New Roman" w:hAnsi="Times New Roman" w:eastAsia="Segoe UI" w:cs="Times New Roman"/>
                <w:i w:val="0"/>
                <w:iCs w:val="0"/>
                <w:caps w:val="0"/>
                <w:color w:val="auto"/>
                <w:spacing w:val="0"/>
                <w:sz w:val="21"/>
                <w:szCs w:val="21"/>
                <w:shd w:val="clear" w:fill="FFFFFF"/>
                <w:lang w:val="en-US" w:eastAsia="zh-CN" w:bidi="ar-SA"/>
              </w:rPr>
              <w:t>;</w:t>
            </w:r>
          </w:p>
          <w:p w14:paraId="49C6245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shd w:val="clear" w:fill="FFFFFF"/>
                <w:lang w:val="en-US" w:eastAsia="zh-CN" w:bidi="ar-SA"/>
              </w:rPr>
            </w:pP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(4) </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study participants </w:t>
            </w:r>
            <w:r>
              <w:rPr>
                <w:rFonts w:hint="default" w:ascii="Times New Roman" w:hAnsi="Times New Roman" w:eastAsia="Segoe UI" w:cs="Times New Roman"/>
                <w:i w:val="0"/>
                <w:iCs w:val="0"/>
                <w:caps w:val="0"/>
                <w:color w:val="auto"/>
                <w:spacing w:val="0"/>
                <w:sz w:val="21"/>
                <w:szCs w:val="21"/>
                <w:shd w:val="clear" w:fill="FFFFFF"/>
                <w:lang w:val="en-US" w:eastAsia="zh-CN" w:bidi="ar-SA"/>
              </w:rPr>
              <w:t>being currently</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enrolled university students.</w:t>
            </w:r>
          </w:p>
        </w:tc>
        <w:tc>
          <w:tcPr>
            <w:tcW w:w="1260" w:type="dxa"/>
            <w:tcBorders>
              <w:top w:val="double" w:color="auto" w:sz="4" w:space="0"/>
              <w:bottom w:val="single" w:color="auto" w:sz="4" w:space="0"/>
              <w:right w:val="double" w:color="auto" w:sz="4" w:space="0"/>
            </w:tcBorders>
            <w:vAlign w:val="center"/>
          </w:tcPr>
          <w:p w14:paraId="62EE6556">
            <w:pPr>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P</w:t>
            </w:r>
            <w:r>
              <w:rPr>
                <w:rFonts w:hint="eastAsia" w:eastAsia="宋体" w:cs="Times New Roman"/>
                <w:color w:val="auto"/>
                <w:sz w:val="21"/>
                <w:szCs w:val="21"/>
                <w:highlight w:val="none"/>
                <w:lang w:val="en-US" w:eastAsia="zh-CN"/>
              </w:rPr>
              <w:t>5-P6</w:t>
            </w:r>
          </w:p>
        </w:tc>
      </w:tr>
      <w:tr w14:paraId="30405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786" w:type="dxa"/>
            <w:tcBorders>
              <w:top w:val="single" w:color="auto" w:sz="4" w:space="0"/>
              <w:left w:val="double" w:color="auto" w:sz="4" w:space="0"/>
              <w:bottom w:val="double" w:color="auto" w:sz="4" w:space="0"/>
            </w:tcBorders>
            <w:vAlign w:val="center"/>
          </w:tcPr>
          <w:p w14:paraId="78BCB70B">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Information sources</w:t>
            </w:r>
          </w:p>
        </w:tc>
        <w:tc>
          <w:tcPr>
            <w:tcW w:w="731" w:type="dxa"/>
            <w:tcBorders>
              <w:top w:val="single" w:color="auto" w:sz="4" w:space="0"/>
              <w:bottom w:val="double" w:color="auto" w:sz="4" w:space="0"/>
            </w:tcBorders>
            <w:vAlign w:val="center"/>
          </w:tcPr>
          <w:p w14:paraId="37E91A4F">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w:t>
            </w:r>
          </w:p>
        </w:tc>
        <w:tc>
          <w:tcPr>
            <w:tcW w:w="11582" w:type="dxa"/>
            <w:tcBorders>
              <w:top w:val="single" w:color="auto" w:sz="4" w:space="0"/>
              <w:bottom w:val="double" w:color="auto" w:sz="4" w:space="0"/>
            </w:tcBorders>
            <w:vAlign w:val="center"/>
          </w:tcPr>
          <w:p w14:paraId="4E620145">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shd w:val="clear" w:fill="FFFFFF"/>
                <w:lang w:val="en-US" w:eastAsia="zh-CN" w:bidi="ar-SA"/>
              </w:rPr>
            </w:pPr>
            <w:r>
              <w:rPr>
                <w:rFonts w:hint="default" w:ascii="Times New Roman" w:hAnsi="Times New Roman" w:eastAsia="Segoe UI" w:cs="Times New Roman"/>
                <w:i w:val="0"/>
                <w:iCs w:val="0"/>
                <w:caps w:val="0"/>
                <w:color w:val="auto"/>
                <w:spacing w:val="0"/>
                <w:sz w:val="21"/>
                <w:szCs w:val="21"/>
                <w:shd w:val="clear" w:fill="FFFFFF"/>
                <w:lang w:val="en-US" w:eastAsia="zh-CN" w:bidi="ar-SA"/>
              </w:rPr>
              <w:t>Two independent researchers systematically</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search</w:t>
            </w:r>
            <w:r>
              <w:rPr>
                <w:rFonts w:hint="eastAsia" w:ascii="Times New Roman" w:hAnsi="Times New Roman" w:eastAsia="Segoe UI" w:cs="Times New Roman"/>
                <w:i w:val="0"/>
                <w:iCs w:val="0"/>
                <w:caps w:val="0"/>
                <w:color w:val="auto"/>
                <w:spacing w:val="0"/>
                <w:sz w:val="21"/>
                <w:szCs w:val="21"/>
                <w:shd w:val="clear" w:fill="FFFFFF"/>
                <w:lang w:val="en-US" w:eastAsia="zh-CN" w:bidi="ar-SA"/>
              </w:rPr>
              <w:t>ed</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the PubMed, Web of Science, Embase, Cochrane Library, and PsycINFO databases from inception to July 2025</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for relevant studies on screen time among university students.</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Additionally, </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we </w:t>
            </w:r>
            <w:r>
              <w:rPr>
                <w:rFonts w:hint="default" w:ascii="Times New Roman" w:hAnsi="Times New Roman" w:eastAsia="Segoe UI" w:cs="Times New Roman"/>
                <w:i w:val="0"/>
                <w:iCs w:val="0"/>
                <w:caps w:val="0"/>
                <w:color w:val="auto"/>
                <w:spacing w:val="0"/>
                <w:sz w:val="21"/>
                <w:szCs w:val="21"/>
                <w:shd w:val="clear" w:fill="FFFFFF"/>
                <w:lang w:val="en-US" w:eastAsia="zh-CN" w:bidi="ar-SA"/>
              </w:rPr>
              <w:t>manually search</w:t>
            </w:r>
            <w:r>
              <w:rPr>
                <w:rFonts w:hint="eastAsia" w:ascii="Times New Roman" w:hAnsi="Times New Roman" w:eastAsia="Segoe UI" w:cs="Times New Roman"/>
                <w:i w:val="0"/>
                <w:iCs w:val="0"/>
                <w:caps w:val="0"/>
                <w:color w:val="auto"/>
                <w:spacing w:val="0"/>
                <w:sz w:val="21"/>
                <w:szCs w:val="21"/>
                <w:shd w:val="clear" w:fill="FFFFFF"/>
                <w:lang w:val="en-US" w:eastAsia="zh-CN" w:bidi="ar-SA"/>
              </w:rPr>
              <w:t>ed</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the reference lists of included studies, topical reviews, and related articles to identify additional eligible studies.</w:t>
            </w:r>
          </w:p>
        </w:tc>
        <w:tc>
          <w:tcPr>
            <w:tcW w:w="1260" w:type="dxa"/>
            <w:tcBorders>
              <w:top w:val="single" w:color="auto" w:sz="4" w:space="0"/>
              <w:bottom w:val="double" w:color="auto" w:sz="4" w:space="0"/>
              <w:right w:val="double" w:color="auto" w:sz="4" w:space="0"/>
            </w:tcBorders>
            <w:vAlign w:val="center"/>
          </w:tcPr>
          <w:p w14:paraId="357DF342">
            <w:pPr>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lang w:val="en-US"/>
              </w:rPr>
            </w:pPr>
            <w:r>
              <w:rPr>
                <w:rFonts w:hint="eastAsia" w:eastAsia="宋体" w:cs="Times New Roman"/>
                <w:color w:val="auto"/>
                <w:sz w:val="21"/>
                <w:szCs w:val="21"/>
                <w:highlight w:val="none"/>
                <w:lang w:val="en-US" w:eastAsia="zh-CN"/>
              </w:rPr>
              <w:t>P6</w:t>
            </w:r>
          </w:p>
        </w:tc>
      </w:tr>
      <w:tr w14:paraId="7ECEF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1786" w:type="dxa"/>
            <w:tcBorders>
              <w:top w:val="double" w:color="auto" w:sz="4" w:space="0"/>
              <w:left w:val="double" w:color="auto" w:sz="4" w:space="0"/>
            </w:tcBorders>
            <w:vAlign w:val="center"/>
          </w:tcPr>
          <w:p w14:paraId="7C738358">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Search strategy</w:t>
            </w:r>
          </w:p>
        </w:tc>
        <w:tc>
          <w:tcPr>
            <w:tcW w:w="731" w:type="dxa"/>
            <w:tcBorders>
              <w:top w:val="double" w:color="auto" w:sz="4" w:space="0"/>
            </w:tcBorders>
            <w:vAlign w:val="center"/>
          </w:tcPr>
          <w:p w14:paraId="12AFD8F3">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7</w:t>
            </w:r>
          </w:p>
        </w:tc>
        <w:tc>
          <w:tcPr>
            <w:tcW w:w="11582" w:type="dxa"/>
            <w:tcBorders>
              <w:top w:val="double" w:color="auto" w:sz="4" w:space="0"/>
            </w:tcBorders>
            <w:vAlign w:val="center"/>
          </w:tcPr>
          <w:p w14:paraId="1547190D">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color w:val="auto"/>
                <w:sz w:val="21"/>
                <w:szCs w:val="21"/>
                <w:highlight w:val="none"/>
              </w:rPr>
            </w:pP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The following MeSH terms and their combinations were used in the search: </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college student, university student, tertiary student, undergraduate, screen time, digital screen, television, computer, smartphone, video game, </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and </w:t>
            </w:r>
            <w:r>
              <w:rPr>
                <w:rFonts w:hint="default" w:ascii="Times New Roman" w:hAnsi="Times New Roman" w:eastAsia="Segoe UI" w:cs="Times New Roman"/>
                <w:i w:val="0"/>
                <w:iCs w:val="0"/>
                <w:caps w:val="0"/>
                <w:color w:val="auto"/>
                <w:spacing w:val="0"/>
                <w:sz w:val="21"/>
                <w:szCs w:val="21"/>
                <w:shd w:val="clear" w:fill="FFFFFF"/>
                <w:lang w:val="en-US" w:eastAsia="zh-CN" w:bidi="ar-SA"/>
              </w:rPr>
              <w:t>electronic game</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The complete search strategy is available</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in Supplement 1.</w:t>
            </w:r>
          </w:p>
        </w:tc>
        <w:tc>
          <w:tcPr>
            <w:tcW w:w="1260" w:type="dxa"/>
            <w:tcBorders>
              <w:top w:val="double" w:color="auto" w:sz="4" w:space="0"/>
              <w:right w:val="double" w:color="auto" w:sz="4" w:space="0"/>
            </w:tcBorders>
            <w:vAlign w:val="center"/>
          </w:tcPr>
          <w:p w14:paraId="0CC99612">
            <w:pPr>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lang w:val="en-US"/>
              </w:rPr>
            </w:pPr>
            <w:r>
              <w:rPr>
                <w:rFonts w:hint="eastAsia" w:eastAsia="宋体" w:cs="Times New Roman"/>
                <w:color w:val="auto"/>
                <w:sz w:val="21"/>
                <w:szCs w:val="21"/>
                <w:highlight w:val="none"/>
                <w:lang w:val="en-US" w:eastAsia="zh-CN"/>
              </w:rPr>
              <w:t>P6</w:t>
            </w:r>
          </w:p>
        </w:tc>
      </w:tr>
      <w:tr w14:paraId="73937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1786" w:type="dxa"/>
            <w:tcBorders>
              <w:left w:val="double" w:color="auto" w:sz="4" w:space="0"/>
            </w:tcBorders>
            <w:vAlign w:val="center"/>
          </w:tcPr>
          <w:p w14:paraId="5E8E38AC">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Selection process</w:t>
            </w:r>
          </w:p>
        </w:tc>
        <w:tc>
          <w:tcPr>
            <w:tcW w:w="731" w:type="dxa"/>
            <w:vAlign w:val="center"/>
          </w:tcPr>
          <w:p w14:paraId="092127AE">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8</w:t>
            </w:r>
          </w:p>
        </w:tc>
        <w:tc>
          <w:tcPr>
            <w:tcW w:w="11582" w:type="dxa"/>
            <w:vAlign w:val="center"/>
          </w:tcPr>
          <w:p w14:paraId="25B90502">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shd w:val="clear" w:fill="FFFFFF"/>
                <w:lang w:val="en-US" w:eastAsia="zh-CN" w:bidi="ar-SA"/>
              </w:rPr>
            </w:pPr>
            <w:r>
              <w:rPr>
                <w:rFonts w:hint="default" w:ascii="Times New Roman" w:hAnsi="Times New Roman" w:eastAsia="Segoe UI" w:cs="Times New Roman"/>
                <w:i w:val="0"/>
                <w:iCs w:val="0"/>
                <w:caps w:val="0"/>
                <w:color w:val="auto"/>
                <w:spacing w:val="0"/>
                <w:sz w:val="21"/>
                <w:szCs w:val="21"/>
                <w:shd w:val="clear" w:fill="FFFFFF"/>
                <w:lang w:val="en-US" w:eastAsia="zh-CN" w:bidi="ar-SA"/>
              </w:rPr>
              <w:t>Two researchers independently screen</w:t>
            </w:r>
            <w:r>
              <w:rPr>
                <w:rFonts w:hint="eastAsia" w:ascii="Times New Roman" w:hAnsi="Times New Roman" w:eastAsia="Segoe UI" w:cs="Times New Roman"/>
                <w:i w:val="0"/>
                <w:iCs w:val="0"/>
                <w:caps w:val="0"/>
                <w:color w:val="auto"/>
                <w:spacing w:val="0"/>
                <w:sz w:val="21"/>
                <w:szCs w:val="21"/>
                <w:shd w:val="clear" w:fill="FFFFFF"/>
                <w:lang w:val="en-US" w:eastAsia="zh-CN" w:bidi="ar-SA"/>
              </w:rPr>
              <w:t>ed</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the literature</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and cross-check</w:t>
            </w:r>
            <w:r>
              <w:rPr>
                <w:rFonts w:hint="eastAsia" w:ascii="Times New Roman" w:hAnsi="Times New Roman" w:eastAsia="Segoe UI" w:cs="Times New Roman"/>
                <w:i w:val="0"/>
                <w:iCs w:val="0"/>
                <w:caps w:val="0"/>
                <w:color w:val="auto"/>
                <w:spacing w:val="0"/>
                <w:sz w:val="21"/>
                <w:szCs w:val="21"/>
                <w:shd w:val="clear" w:fill="FFFFFF"/>
                <w:lang w:val="en-US" w:eastAsia="zh-CN" w:bidi="ar-SA"/>
              </w:rPr>
              <w:t>ed</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the results.</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Any discrepancies </w:t>
            </w:r>
            <w:r>
              <w:rPr>
                <w:rFonts w:hint="eastAsia" w:ascii="Times New Roman" w:hAnsi="Times New Roman" w:eastAsia="Segoe UI" w:cs="Times New Roman"/>
                <w:i w:val="0"/>
                <w:iCs w:val="0"/>
                <w:caps w:val="0"/>
                <w:color w:val="auto"/>
                <w:spacing w:val="0"/>
                <w:sz w:val="21"/>
                <w:szCs w:val="21"/>
                <w:shd w:val="clear" w:fill="FFFFFF"/>
                <w:lang w:val="en-US" w:eastAsia="zh-CN" w:bidi="ar-SA"/>
              </w:rPr>
              <w:t>were</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resolved through discussions or by consulting a third researcher.</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After duplicates were removed, obviously irrelevant studies </w:t>
            </w:r>
            <w:r>
              <w:rPr>
                <w:rFonts w:hint="eastAsia" w:ascii="Times New Roman" w:hAnsi="Times New Roman" w:eastAsia="Segoe UI" w:cs="Times New Roman"/>
                <w:i w:val="0"/>
                <w:iCs w:val="0"/>
                <w:caps w:val="0"/>
                <w:color w:val="auto"/>
                <w:spacing w:val="0"/>
                <w:sz w:val="21"/>
                <w:szCs w:val="21"/>
                <w:shd w:val="clear" w:fill="FFFFFF"/>
                <w:lang w:val="en-US" w:eastAsia="zh-CN" w:bidi="ar-SA"/>
              </w:rPr>
              <w:t>were</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excluded based on titles and abstracts, followed by </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a </w:t>
            </w:r>
            <w:r>
              <w:rPr>
                <w:rFonts w:hint="default" w:ascii="Times New Roman" w:hAnsi="Times New Roman" w:eastAsia="Segoe UI" w:cs="Times New Roman"/>
                <w:i w:val="0"/>
                <w:iCs w:val="0"/>
                <w:caps w:val="0"/>
                <w:color w:val="auto"/>
                <w:spacing w:val="0"/>
                <w:sz w:val="21"/>
                <w:szCs w:val="21"/>
                <w:shd w:val="clear" w:fill="FFFFFF"/>
                <w:lang w:val="en-US" w:eastAsia="zh-CN" w:bidi="ar-SA"/>
              </w:rPr>
              <w:t>full-text review to determine the final included studies.</w:t>
            </w:r>
          </w:p>
        </w:tc>
        <w:tc>
          <w:tcPr>
            <w:tcW w:w="1260" w:type="dxa"/>
            <w:tcBorders>
              <w:right w:val="double" w:color="auto" w:sz="4" w:space="0"/>
            </w:tcBorders>
            <w:vAlign w:val="center"/>
          </w:tcPr>
          <w:p w14:paraId="08F8407F">
            <w:pPr>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P</w:t>
            </w:r>
            <w:r>
              <w:rPr>
                <w:rFonts w:hint="eastAsia" w:eastAsia="宋体" w:cs="Times New Roman"/>
                <w:color w:val="auto"/>
                <w:sz w:val="21"/>
                <w:szCs w:val="21"/>
                <w:highlight w:val="none"/>
                <w:lang w:val="en-US" w:eastAsia="zh-CN"/>
              </w:rPr>
              <w:t>6</w:t>
            </w:r>
          </w:p>
        </w:tc>
      </w:tr>
      <w:tr w14:paraId="5038B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1786" w:type="dxa"/>
            <w:tcBorders>
              <w:left w:val="double" w:color="auto" w:sz="4" w:space="0"/>
            </w:tcBorders>
            <w:vAlign w:val="center"/>
          </w:tcPr>
          <w:p w14:paraId="4A385709">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Data collection process</w:t>
            </w:r>
          </w:p>
        </w:tc>
        <w:tc>
          <w:tcPr>
            <w:tcW w:w="731" w:type="dxa"/>
            <w:vAlign w:val="center"/>
          </w:tcPr>
          <w:p w14:paraId="5A6BC022">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9</w:t>
            </w:r>
          </w:p>
        </w:tc>
        <w:tc>
          <w:tcPr>
            <w:tcW w:w="11582" w:type="dxa"/>
            <w:vAlign w:val="center"/>
          </w:tcPr>
          <w:p w14:paraId="0D8F2C6A">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shd w:val="clear" w:fill="FFFFFF"/>
                <w:lang w:val="en-US" w:eastAsia="zh-CN" w:bidi="ar-SA"/>
              </w:rPr>
            </w:pPr>
            <w:r>
              <w:rPr>
                <w:rFonts w:hint="default" w:ascii="Times New Roman" w:hAnsi="Times New Roman" w:eastAsia="Segoe UI" w:cs="Times New Roman"/>
                <w:i w:val="0"/>
                <w:iCs w:val="0"/>
                <w:caps w:val="0"/>
                <w:color w:val="auto"/>
                <w:spacing w:val="0"/>
                <w:sz w:val="21"/>
                <w:szCs w:val="21"/>
                <w:shd w:val="clear" w:fill="FFFFFF"/>
                <w:lang w:val="en-US" w:eastAsia="zh-CN" w:bidi="ar-SA"/>
              </w:rPr>
              <w:t>Two researchers independently extract</w:t>
            </w:r>
            <w:r>
              <w:rPr>
                <w:rFonts w:hint="eastAsia" w:ascii="Times New Roman" w:hAnsi="Times New Roman" w:eastAsia="Segoe UI" w:cs="Times New Roman"/>
                <w:i w:val="0"/>
                <w:iCs w:val="0"/>
                <w:caps w:val="0"/>
                <w:color w:val="auto"/>
                <w:spacing w:val="0"/>
                <w:sz w:val="21"/>
                <w:szCs w:val="21"/>
                <w:shd w:val="clear" w:fill="FFFFFF"/>
                <w:lang w:val="en-US" w:eastAsia="zh-CN" w:bidi="ar-SA"/>
              </w:rPr>
              <w:t>ed</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data, and cross-check</w:t>
            </w:r>
            <w:r>
              <w:rPr>
                <w:rFonts w:hint="eastAsia" w:ascii="Times New Roman" w:hAnsi="Times New Roman" w:eastAsia="Segoe UI" w:cs="Times New Roman"/>
                <w:i w:val="0"/>
                <w:iCs w:val="0"/>
                <w:caps w:val="0"/>
                <w:color w:val="auto"/>
                <w:spacing w:val="0"/>
                <w:sz w:val="21"/>
                <w:szCs w:val="21"/>
                <w:shd w:val="clear" w:fill="FFFFFF"/>
                <w:lang w:val="en-US" w:eastAsia="zh-CN" w:bidi="ar-SA"/>
              </w:rPr>
              <w:t>ed</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the results.</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Any discrepancies </w:t>
            </w:r>
            <w:r>
              <w:rPr>
                <w:rFonts w:hint="eastAsia" w:ascii="Times New Roman" w:hAnsi="Times New Roman" w:eastAsia="Segoe UI" w:cs="Times New Roman"/>
                <w:i w:val="0"/>
                <w:iCs w:val="0"/>
                <w:caps w:val="0"/>
                <w:color w:val="auto"/>
                <w:spacing w:val="0"/>
                <w:sz w:val="21"/>
                <w:szCs w:val="21"/>
                <w:shd w:val="clear" w:fill="FFFFFF"/>
                <w:lang w:val="en-US" w:eastAsia="zh-CN" w:bidi="ar-SA"/>
              </w:rPr>
              <w:t>were</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resolved through discussions or by consulting a third researcher.</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The extracted data include</w:t>
            </w:r>
            <w:r>
              <w:rPr>
                <w:rFonts w:hint="eastAsia" w:ascii="Times New Roman" w:hAnsi="Times New Roman" w:eastAsia="Segoe UI" w:cs="Times New Roman"/>
                <w:i w:val="0"/>
                <w:iCs w:val="0"/>
                <w:caps w:val="0"/>
                <w:color w:val="auto"/>
                <w:spacing w:val="0"/>
                <w:sz w:val="21"/>
                <w:szCs w:val="21"/>
                <w:shd w:val="clear" w:fill="FFFFFF"/>
                <w:lang w:val="en-US" w:eastAsia="zh-CN" w:bidi="ar-SA"/>
              </w:rPr>
              <w:t>d</w:t>
            </w:r>
            <w:r>
              <w:rPr>
                <w:rFonts w:hint="default" w:ascii="Times New Roman" w:hAnsi="Times New Roman" w:eastAsia="Segoe UI" w:cs="Times New Roman"/>
                <w:i w:val="0"/>
                <w:iCs w:val="0"/>
                <w:caps w:val="0"/>
                <w:color w:val="auto"/>
                <w:spacing w:val="0"/>
                <w:sz w:val="21"/>
                <w:szCs w:val="21"/>
                <w:shd w:val="clear" w:fill="FFFFFF"/>
                <w:lang w:val="en-US" w:eastAsia="zh-CN" w:bidi="ar-SA"/>
              </w:rPr>
              <w:t>: title, authors, country/region,</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publication year, study design, sample size, age,</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eastAsia" w:eastAsia="Segoe UI" w:cs="Times New Roman"/>
                <w:i w:val="0"/>
                <w:iCs w:val="0"/>
                <w:caps w:val="0"/>
                <w:color w:val="auto"/>
                <w:spacing w:val="0"/>
                <w:sz w:val="21"/>
                <w:szCs w:val="21"/>
                <w:shd w:val="clear" w:fill="FFFFFF"/>
                <w:lang w:val="en-US" w:eastAsia="zh-CN" w:bidi="ar-SA"/>
              </w:rPr>
              <w:t>s</w:t>
            </w:r>
            <w:r>
              <w:rPr>
                <w:rFonts w:hint="default" w:ascii="Times New Roman" w:hAnsi="Times New Roman" w:eastAsia="Segoe UI" w:cs="Times New Roman"/>
                <w:i w:val="0"/>
                <w:iCs w:val="0"/>
                <w:caps w:val="0"/>
                <w:color w:val="auto"/>
                <w:spacing w:val="0"/>
                <w:sz w:val="21"/>
                <w:szCs w:val="21"/>
                <w:shd w:val="clear" w:fill="FFFFFF"/>
                <w:lang w:val="en-US" w:eastAsia="zh-CN" w:bidi="ar-SA"/>
              </w:rPr>
              <w:t>creen type, screen time categories, confounding factors, and outcome measures.</w:t>
            </w:r>
          </w:p>
        </w:tc>
        <w:tc>
          <w:tcPr>
            <w:tcW w:w="1260" w:type="dxa"/>
            <w:tcBorders>
              <w:right w:val="double" w:color="auto" w:sz="4" w:space="0"/>
            </w:tcBorders>
            <w:vAlign w:val="center"/>
          </w:tcPr>
          <w:p w14:paraId="2CC170FC">
            <w:pPr>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P</w:t>
            </w:r>
            <w:r>
              <w:rPr>
                <w:rFonts w:hint="eastAsia" w:eastAsia="宋体" w:cs="Times New Roman"/>
                <w:color w:val="auto"/>
                <w:sz w:val="21"/>
                <w:szCs w:val="21"/>
                <w:highlight w:val="none"/>
                <w:lang w:val="en-US" w:eastAsia="zh-CN"/>
              </w:rPr>
              <w:t>6</w:t>
            </w:r>
          </w:p>
        </w:tc>
      </w:tr>
      <w:tr w14:paraId="0937F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1786" w:type="dxa"/>
            <w:vMerge w:val="restart"/>
            <w:tcBorders>
              <w:left w:val="double" w:color="auto" w:sz="4" w:space="0"/>
            </w:tcBorders>
            <w:vAlign w:val="center"/>
          </w:tcPr>
          <w:p w14:paraId="2F3C07C8">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Data items</w:t>
            </w:r>
          </w:p>
        </w:tc>
        <w:tc>
          <w:tcPr>
            <w:tcW w:w="731" w:type="dxa"/>
            <w:vAlign w:val="center"/>
          </w:tcPr>
          <w:p w14:paraId="293EEF4B">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10a</w:t>
            </w:r>
          </w:p>
        </w:tc>
        <w:tc>
          <w:tcPr>
            <w:tcW w:w="11582" w:type="dxa"/>
            <w:shd w:val="clear" w:color="auto" w:fill="auto"/>
            <w:vAlign w:val="center"/>
          </w:tcPr>
          <w:p w14:paraId="204B1C25">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shd w:val="clear" w:fill="FFFFFF"/>
                <w:lang w:val="en-CA" w:eastAsia="zh-CN" w:bidi="ar-SA"/>
              </w:rPr>
            </w:pPr>
            <w:r>
              <w:rPr>
                <w:rFonts w:hint="eastAsia" w:ascii="Times New Roman" w:hAnsi="Times New Roman" w:eastAsia="Segoe UI" w:cs="Times New Roman"/>
                <w:i w:val="0"/>
                <w:iCs w:val="0"/>
                <w:caps w:val="0"/>
                <w:color w:val="auto"/>
                <w:spacing w:val="0"/>
                <w:sz w:val="21"/>
                <w:szCs w:val="21"/>
                <w:shd w:val="clear" w:fill="FFFFFF"/>
                <w:lang w:val="en-US" w:eastAsia="zh-CN" w:bidi="ar-SA"/>
              </w:rPr>
              <w:t>A</w:t>
            </w:r>
            <w:r>
              <w:rPr>
                <w:rFonts w:hint="default" w:ascii="Times New Roman" w:hAnsi="Times New Roman" w:eastAsia="Segoe UI" w:cs="Times New Roman"/>
                <w:i w:val="0"/>
                <w:iCs w:val="0"/>
                <w:caps w:val="0"/>
                <w:color w:val="auto"/>
                <w:spacing w:val="0"/>
                <w:sz w:val="21"/>
                <w:szCs w:val="21"/>
                <w:shd w:val="clear" w:fill="FFFFFF"/>
                <w:lang w:val="en-CA" w:eastAsia="en-CA" w:bidi="ar-SA"/>
              </w:rPr>
              <w:t>ll results that were compatible with each outcome domain in each study were sought</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CA" w:eastAsia="en-CA" w:bidi="ar-SA"/>
              </w:rPr>
              <w:t>The following data were extracted</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CA" w:eastAsia="en-CA" w:bidi="ar-SA"/>
              </w:rPr>
              <w:t xml:space="preserve">from each included article: </w:t>
            </w:r>
            <w:r>
              <w:rPr>
                <w:rFonts w:hint="default" w:ascii="Times New Roman" w:hAnsi="Times New Roman" w:eastAsia="Segoe UI" w:cs="Times New Roman"/>
                <w:i w:val="0"/>
                <w:iCs w:val="0"/>
                <w:caps w:val="0"/>
                <w:color w:val="auto"/>
                <w:spacing w:val="0"/>
                <w:sz w:val="21"/>
                <w:szCs w:val="21"/>
                <w:shd w:val="clear" w:fill="FFFFFF"/>
                <w:lang w:val="en-US" w:eastAsia="zh-CN" w:bidi="ar-SA"/>
              </w:rPr>
              <w:t>title, authors, country/region,</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publication year, study design, sample size, age,</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s</w:t>
            </w:r>
            <w:r>
              <w:rPr>
                <w:rFonts w:hint="default" w:ascii="Times New Roman" w:hAnsi="Times New Roman" w:eastAsia="Segoe UI" w:cs="Times New Roman"/>
                <w:i w:val="0"/>
                <w:iCs w:val="0"/>
                <w:caps w:val="0"/>
                <w:color w:val="auto"/>
                <w:spacing w:val="0"/>
                <w:sz w:val="21"/>
                <w:szCs w:val="21"/>
                <w:shd w:val="clear" w:fill="FFFFFF"/>
                <w:lang w:val="en-US" w:eastAsia="zh-CN" w:bidi="ar-SA"/>
              </w:rPr>
              <w:t>creen type, screen time categories, confounding factors, and outcome measures.</w:t>
            </w:r>
          </w:p>
        </w:tc>
        <w:tc>
          <w:tcPr>
            <w:tcW w:w="1260" w:type="dxa"/>
            <w:tcBorders>
              <w:right w:val="double" w:color="auto" w:sz="4" w:space="0"/>
            </w:tcBorders>
            <w:vAlign w:val="center"/>
          </w:tcPr>
          <w:p w14:paraId="7E982C96">
            <w:pPr>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P</w:t>
            </w:r>
            <w:r>
              <w:rPr>
                <w:rFonts w:hint="eastAsia" w:eastAsia="宋体" w:cs="Times New Roman"/>
                <w:color w:val="auto"/>
                <w:sz w:val="21"/>
                <w:szCs w:val="21"/>
                <w:highlight w:val="none"/>
                <w:lang w:val="en-US" w:eastAsia="zh-CN"/>
              </w:rPr>
              <w:t>6</w:t>
            </w:r>
          </w:p>
        </w:tc>
      </w:tr>
      <w:tr w14:paraId="00BCF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1786" w:type="dxa"/>
            <w:vMerge w:val="continue"/>
            <w:tcBorders>
              <w:left w:val="double" w:color="auto" w:sz="4" w:space="0"/>
            </w:tcBorders>
            <w:vAlign w:val="center"/>
          </w:tcPr>
          <w:p w14:paraId="39E56F46">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p>
        </w:tc>
        <w:tc>
          <w:tcPr>
            <w:tcW w:w="731" w:type="dxa"/>
            <w:vAlign w:val="center"/>
          </w:tcPr>
          <w:p w14:paraId="5E3DBF5D">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10b</w:t>
            </w:r>
          </w:p>
        </w:tc>
        <w:tc>
          <w:tcPr>
            <w:tcW w:w="11582" w:type="dxa"/>
            <w:vAlign w:val="center"/>
          </w:tcPr>
          <w:p w14:paraId="403DCE7B">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shd w:val="clear" w:fill="FFFFFF"/>
                <w:lang w:val="en-US" w:eastAsia="en-CA" w:bidi="ar-SA"/>
              </w:rPr>
            </w:pPr>
            <w:r>
              <w:rPr>
                <w:rFonts w:hint="default" w:ascii="Times New Roman" w:hAnsi="Times New Roman" w:eastAsia="Segoe UI" w:cs="Times New Roman"/>
                <w:i w:val="0"/>
                <w:iCs w:val="0"/>
                <w:caps w:val="0"/>
                <w:color w:val="auto"/>
                <w:spacing w:val="0"/>
                <w:sz w:val="21"/>
                <w:szCs w:val="21"/>
                <w:shd w:val="clear" w:fill="FFFFFF"/>
                <w:lang w:val="en-US" w:eastAsia="zh-CN" w:bidi="ar-SA"/>
              </w:rPr>
              <w:t>List all other variables for which data were sought</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CA" w:eastAsia="en-CA" w:bidi="ar-SA"/>
              </w:rPr>
              <w:t>The following data were extracted</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CA" w:eastAsia="en-CA" w:bidi="ar-SA"/>
              </w:rPr>
              <w:t xml:space="preserve">from each included article: </w:t>
            </w:r>
            <w:r>
              <w:rPr>
                <w:rFonts w:hint="default" w:ascii="Times New Roman" w:hAnsi="Times New Roman" w:eastAsia="Segoe UI" w:cs="Times New Roman"/>
                <w:i w:val="0"/>
                <w:iCs w:val="0"/>
                <w:caps w:val="0"/>
                <w:color w:val="auto"/>
                <w:spacing w:val="0"/>
                <w:sz w:val="21"/>
                <w:szCs w:val="21"/>
                <w:shd w:val="clear" w:fill="FFFFFF"/>
                <w:lang w:val="en-US" w:eastAsia="zh-CN" w:bidi="ar-SA"/>
              </w:rPr>
              <w:t>participant</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characteristics</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funding sources</w:t>
            </w:r>
            <w:r>
              <w:rPr>
                <w:rFonts w:hint="eastAsia" w:ascii="Times New Roman" w:hAnsi="Times New Roman" w:eastAsia="Segoe UI" w:cs="Times New Roman"/>
                <w:i w:val="0"/>
                <w:iCs w:val="0"/>
                <w:caps w:val="0"/>
                <w:color w:val="auto"/>
                <w:spacing w:val="0"/>
                <w:sz w:val="21"/>
                <w:szCs w:val="21"/>
                <w:shd w:val="clear" w:fill="FFFFFF"/>
                <w:lang w:val="en-US" w:eastAsia="zh-CN" w:bidi="ar-SA"/>
              </w:rPr>
              <w:t>, sample source, n</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ature of </w:t>
            </w:r>
            <w:r>
              <w:rPr>
                <w:rFonts w:hint="eastAsia" w:ascii="Times New Roman" w:hAnsi="Times New Roman" w:eastAsia="Segoe UI" w:cs="Times New Roman"/>
                <w:i w:val="0"/>
                <w:iCs w:val="0"/>
                <w:caps w:val="0"/>
                <w:color w:val="auto"/>
                <w:spacing w:val="0"/>
                <w:sz w:val="21"/>
                <w:szCs w:val="21"/>
                <w:shd w:val="clear" w:fill="FFFFFF"/>
                <w:lang w:val="en-US" w:eastAsia="zh-CN" w:bidi="ar-SA"/>
              </w:rPr>
              <w:t>s</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creen </w:t>
            </w:r>
            <w:r>
              <w:rPr>
                <w:rFonts w:hint="eastAsia" w:ascii="Times New Roman" w:hAnsi="Times New Roman" w:eastAsia="Segoe UI" w:cs="Times New Roman"/>
                <w:i w:val="0"/>
                <w:iCs w:val="0"/>
                <w:caps w:val="0"/>
                <w:color w:val="auto"/>
                <w:spacing w:val="0"/>
                <w:sz w:val="21"/>
                <w:szCs w:val="21"/>
                <w:shd w:val="clear" w:fill="FFFFFF"/>
                <w:lang w:val="en-US" w:eastAsia="zh-CN" w:bidi="ar-SA"/>
              </w:rPr>
              <w:t>c</w:t>
            </w:r>
            <w:r>
              <w:rPr>
                <w:rFonts w:hint="default" w:ascii="Times New Roman" w:hAnsi="Times New Roman" w:eastAsia="Segoe UI" w:cs="Times New Roman"/>
                <w:i w:val="0"/>
                <w:iCs w:val="0"/>
                <w:caps w:val="0"/>
                <w:color w:val="auto"/>
                <w:spacing w:val="0"/>
                <w:sz w:val="21"/>
                <w:szCs w:val="21"/>
                <w:shd w:val="clear" w:fill="FFFFFF"/>
                <w:lang w:val="en-US" w:eastAsia="zh-CN" w:bidi="ar-SA"/>
              </w:rPr>
              <w:t>ontent</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CA" w:eastAsia="en-CA" w:bidi="ar-SA"/>
              </w:rPr>
              <w:t>country</w:t>
            </w:r>
            <w:r>
              <w:rPr>
                <w:rFonts w:hint="eastAsia" w:ascii="Times New Roman" w:hAnsi="Times New Roman" w:eastAsia="Segoe UI" w:cs="Times New Roman"/>
                <w:i w:val="0"/>
                <w:iCs w:val="0"/>
                <w:caps w:val="0"/>
                <w:color w:val="auto"/>
                <w:spacing w:val="0"/>
                <w:sz w:val="21"/>
                <w:szCs w:val="21"/>
                <w:shd w:val="clear" w:fill="FFFFFF"/>
                <w:lang w:val="en-US" w:eastAsia="zh-CN" w:bidi="ar-SA"/>
              </w:rPr>
              <w:t>, etc.</w:t>
            </w:r>
          </w:p>
        </w:tc>
        <w:tc>
          <w:tcPr>
            <w:tcW w:w="1260" w:type="dxa"/>
            <w:tcBorders>
              <w:right w:val="double" w:color="auto" w:sz="4" w:space="0"/>
            </w:tcBorders>
            <w:vAlign w:val="center"/>
          </w:tcPr>
          <w:p w14:paraId="3C01C1E5">
            <w:pPr>
              <w:keepNext w:val="0"/>
              <w:keepLines w:val="0"/>
              <w:pageBreakBefore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P</w:t>
            </w:r>
            <w:r>
              <w:rPr>
                <w:rFonts w:hint="eastAsia" w:eastAsia="宋体" w:cs="Times New Roman"/>
                <w:color w:val="auto"/>
                <w:sz w:val="21"/>
                <w:szCs w:val="21"/>
                <w:highlight w:val="none"/>
                <w:lang w:val="en-US" w:eastAsia="zh-CN"/>
              </w:rPr>
              <w:t>6</w:t>
            </w:r>
          </w:p>
        </w:tc>
      </w:tr>
      <w:tr w14:paraId="6CFB7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1786" w:type="dxa"/>
            <w:tcBorders>
              <w:left w:val="double" w:color="auto" w:sz="4" w:space="0"/>
              <w:bottom w:val="double" w:color="auto" w:sz="4" w:space="0"/>
            </w:tcBorders>
            <w:vAlign w:val="center"/>
          </w:tcPr>
          <w:p w14:paraId="5F4F2B14">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Study risk of bias assessment</w:t>
            </w:r>
          </w:p>
        </w:tc>
        <w:tc>
          <w:tcPr>
            <w:tcW w:w="731" w:type="dxa"/>
            <w:tcBorders>
              <w:bottom w:val="double" w:color="auto" w:sz="4" w:space="0"/>
            </w:tcBorders>
            <w:vAlign w:val="center"/>
          </w:tcPr>
          <w:p w14:paraId="41E44430">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w:t>
            </w:r>
          </w:p>
        </w:tc>
        <w:tc>
          <w:tcPr>
            <w:tcW w:w="11582" w:type="dxa"/>
            <w:tcBorders>
              <w:bottom w:val="double" w:color="auto" w:sz="4" w:space="0"/>
            </w:tcBorders>
            <w:vAlign w:val="center"/>
          </w:tcPr>
          <w:p w14:paraId="178A0635">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shd w:val="clear" w:fill="FFFFFF"/>
                <w:lang w:val="en-US" w:eastAsia="zh-CN" w:bidi="ar-SA"/>
              </w:rPr>
            </w:pPr>
            <w:r>
              <w:rPr>
                <w:rFonts w:hint="default" w:ascii="Times New Roman" w:hAnsi="Times New Roman" w:eastAsia="Segoe UI" w:cs="Times New Roman"/>
                <w:i w:val="0"/>
                <w:iCs w:val="0"/>
                <w:caps w:val="0"/>
                <w:color w:val="auto"/>
                <w:spacing w:val="0"/>
                <w:sz w:val="21"/>
                <w:szCs w:val="21"/>
                <w:shd w:val="clear" w:fill="FFFFFF"/>
                <w:lang w:val="en-US" w:eastAsia="zh-CN" w:bidi="ar-SA"/>
              </w:rPr>
              <w:t>The certainty of evidence</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for the included studies was assessed using the Grading of Recommendations, Assessment, Development and Evaluation</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(GRADE) framework.</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Evidence from </w:t>
            </w:r>
            <w:r>
              <w:rPr>
                <w:rFonts w:hint="default" w:ascii="Times New Roman" w:hAnsi="Times New Roman" w:eastAsia="Segoe UI" w:cs="Times New Roman"/>
                <w:i w:val="0"/>
                <w:iCs w:val="0"/>
                <w:caps w:val="0"/>
                <w:color w:val="auto"/>
                <w:spacing w:val="0"/>
                <w:sz w:val="21"/>
                <w:szCs w:val="21"/>
                <w:shd w:val="clear" w:fill="FFFFFF"/>
                <w:lang w:val="en-US" w:eastAsia="zh-CN" w:bidi="ar-SA"/>
              </w:rPr>
              <w:t>cross-sectional and longitudinal studies was</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initially considered </w:t>
            </w:r>
            <w:r>
              <w:rPr>
                <w:rFonts w:hint="default" w:ascii="Times New Roman" w:hAnsi="Times New Roman" w:eastAsia="Segoe UI" w:cs="Times New Roman"/>
                <w:i w:val="0"/>
                <w:iCs w:val="0"/>
                <w:caps w:val="0"/>
                <w:color w:val="auto"/>
                <w:spacing w:val="0"/>
                <w:sz w:val="21"/>
                <w:szCs w:val="21"/>
                <w:shd w:val="clear" w:fill="FFFFFF"/>
                <w:lang w:val="en-US" w:eastAsia="zh-CN" w:bidi="ar-SA"/>
              </w:rPr>
              <w:t>"low"</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certainty</w:t>
            </w:r>
            <w:r>
              <w:rPr>
                <w:rFonts w:hint="eastAsia" w:ascii="Times New Roman" w:hAnsi="Times New Roman" w:eastAsia="Segoe UI" w:cs="Times New Roman"/>
                <w:i w:val="0"/>
                <w:iCs w:val="0"/>
                <w:caps w:val="0"/>
                <w:color w:val="auto"/>
                <w:spacing w:val="0"/>
                <w:sz w:val="21"/>
                <w:szCs w:val="21"/>
                <w:shd w:val="clear" w:fill="FFFFFF"/>
                <w:lang w:val="en-US" w:eastAsia="zh-CN" w:bidi="ar-SA"/>
              </w:rPr>
              <w:t>. It</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was graded down if there w</w:t>
            </w:r>
            <w:r>
              <w:rPr>
                <w:rFonts w:hint="eastAsia" w:ascii="Times New Roman" w:hAnsi="Times New Roman" w:eastAsia="Segoe UI" w:cs="Times New Roman"/>
                <w:i w:val="0"/>
                <w:iCs w:val="0"/>
                <w:caps w:val="0"/>
                <w:color w:val="auto"/>
                <w:spacing w:val="0"/>
                <w:sz w:val="21"/>
                <w:szCs w:val="21"/>
                <w:shd w:val="clear" w:fill="FFFFFF"/>
                <w:lang w:val="en-US" w:eastAsia="zh-CN" w:bidi="ar-SA"/>
              </w:rPr>
              <w:t>ere</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concern</w:t>
            </w:r>
            <w:r>
              <w:rPr>
                <w:rFonts w:hint="eastAsia" w:ascii="Times New Roman" w:hAnsi="Times New Roman" w:eastAsia="Segoe UI" w:cs="Times New Roman"/>
                <w:i w:val="0"/>
                <w:iCs w:val="0"/>
                <w:caps w:val="0"/>
                <w:color w:val="auto"/>
                <w:spacing w:val="0"/>
                <w:sz w:val="21"/>
                <w:szCs w:val="21"/>
                <w:shd w:val="clear" w:fill="FFFFFF"/>
                <w:lang w:val="en-US" w:eastAsia="zh-CN" w:bidi="ar-SA"/>
              </w:rPr>
              <w:t>s</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regarding risk of bias</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(ROB)</w:t>
            </w:r>
            <w:r>
              <w:rPr>
                <w:rFonts w:hint="default" w:ascii="Times New Roman" w:hAnsi="Times New Roman" w:eastAsia="Segoe UI" w:cs="Times New Roman"/>
                <w:i w:val="0"/>
                <w:iCs w:val="0"/>
                <w:caps w:val="0"/>
                <w:color w:val="auto"/>
                <w:spacing w:val="0"/>
                <w:sz w:val="21"/>
                <w:szCs w:val="21"/>
                <w:shd w:val="clear" w:fill="FFFFFF"/>
                <w:lang w:val="en-US" w:eastAsia="zh-CN" w:bidi="ar-SA"/>
              </w:rPr>
              <w:t>,</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indirectness,</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inconsistency,</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imprecision</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or publication bias,</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as these factors reduce confidence in the estimated effects.</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I</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f there was no cause to downgrade, </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it </w:t>
            </w:r>
            <w:r>
              <w:rPr>
                <w:rFonts w:hint="default" w:ascii="Times New Roman" w:hAnsi="Times New Roman" w:eastAsia="Segoe UI" w:cs="Times New Roman"/>
                <w:i w:val="0"/>
                <w:iCs w:val="0"/>
                <w:caps w:val="0"/>
                <w:color w:val="auto"/>
                <w:spacing w:val="0"/>
                <w:sz w:val="21"/>
                <w:szCs w:val="21"/>
                <w:shd w:val="clear" w:fill="FFFFFF"/>
                <w:lang w:val="en-US" w:eastAsia="zh-CN" w:bidi="ar-SA"/>
              </w:rPr>
              <w:t>was upgraded if applicable according to the GRADE criteria</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such as </w:t>
            </w:r>
            <w:r>
              <w:rPr>
                <w:rFonts w:hint="default" w:ascii="Times New Roman" w:hAnsi="Times New Roman" w:eastAsia="Segoe UI" w:cs="Times New Roman"/>
                <w:i w:val="0"/>
                <w:iCs w:val="0"/>
                <w:caps w:val="0"/>
                <w:color w:val="auto"/>
                <w:spacing w:val="0"/>
                <w:sz w:val="21"/>
                <w:szCs w:val="21"/>
                <w:shd w:val="clear" w:fill="FFFFFF"/>
                <w:lang w:val="en-US" w:eastAsia="zh-CN" w:bidi="ar-SA"/>
              </w:rPr>
              <w:t>large magnitude of effect, evidence of dose response).</w:t>
            </w:r>
          </w:p>
          <w:p w14:paraId="58F7BAE1">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shd w:val="clear" w:fill="FFFFFF"/>
                <w:lang w:val="en-US" w:eastAsia="zh-CN" w:bidi="ar-SA"/>
              </w:rPr>
            </w:pPr>
            <w:r>
              <w:rPr>
                <w:rFonts w:hint="default" w:ascii="Times New Roman" w:hAnsi="Times New Roman" w:eastAsia="Segoe UI" w:cs="Times New Roman"/>
                <w:i w:val="0"/>
                <w:iCs w:val="0"/>
                <w:caps w:val="0"/>
                <w:color w:val="auto"/>
                <w:spacing w:val="0"/>
                <w:sz w:val="21"/>
                <w:szCs w:val="21"/>
                <w:shd w:val="clear" w:fill="FFFFFF"/>
                <w:lang w:val="en-US" w:eastAsia="zh-CN" w:bidi="ar-SA"/>
              </w:rPr>
              <w:t>The ROB of included studies was independently and systematically assessed</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by t</w:t>
            </w:r>
            <w:r>
              <w:rPr>
                <w:rFonts w:hint="default" w:ascii="Times New Roman" w:hAnsi="Times New Roman" w:eastAsia="Segoe UI" w:cs="Times New Roman"/>
                <w:i w:val="0"/>
                <w:iCs w:val="0"/>
                <w:caps w:val="0"/>
                <w:color w:val="auto"/>
                <w:spacing w:val="0"/>
                <w:sz w:val="21"/>
                <w:szCs w:val="21"/>
                <w:shd w:val="clear" w:fill="FFFFFF"/>
                <w:lang w:val="en-US" w:eastAsia="zh-CN" w:bidi="ar-SA"/>
              </w:rPr>
              <w:t>wo researchers</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according to study design using the</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Joanna Briggs Institute (JBI) Manual for Evidence Synthesis.</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Any discrepancies were resolved through discussions or by consulting a third researcher.</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The JBI checklist was used to determine the extent to which a study had addressed the possibility of bias in its design, conduct and analysis. </w:t>
            </w:r>
            <w:r>
              <w:rPr>
                <w:rFonts w:hint="default" w:ascii="Times New Roman" w:hAnsi="Times New Roman" w:eastAsia="Segoe UI" w:cs="Times New Roman"/>
                <w:i w:val="0"/>
                <w:iCs w:val="0"/>
                <w:caps w:val="0"/>
                <w:color w:val="auto"/>
                <w:spacing w:val="0"/>
                <w:sz w:val="21"/>
                <w:szCs w:val="21"/>
                <w:shd w:val="clear" w:fill="FFFFFF"/>
                <w:lang w:val="en-US" w:eastAsia="zh-CN" w:bidi="ar-SA"/>
              </w:rPr>
              <w:t>Specifically, all studies were screened for potential sources of bias, including unclear inclusion criteria, flawed measurement of exposure and outcomes,</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unidentified confounding factors</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and inappropriate statistical analys</w:t>
            </w:r>
            <w:r>
              <w:rPr>
                <w:rFonts w:hint="eastAsia" w:ascii="Times New Roman" w:hAnsi="Times New Roman" w:eastAsia="Segoe UI" w:cs="Times New Roman"/>
                <w:i w:val="0"/>
                <w:iCs w:val="0"/>
                <w:caps w:val="0"/>
                <w:color w:val="auto"/>
                <w:spacing w:val="0"/>
                <w:sz w:val="21"/>
                <w:szCs w:val="21"/>
                <w:shd w:val="clear" w:fill="FFFFFF"/>
                <w:lang w:val="en-US" w:eastAsia="zh-CN" w:bidi="ar-SA"/>
              </w:rPr>
              <w:t>e</w:t>
            </w:r>
            <w:r>
              <w:rPr>
                <w:rFonts w:hint="default" w:ascii="Times New Roman" w:hAnsi="Times New Roman" w:eastAsia="Segoe UI" w:cs="Times New Roman"/>
                <w:i w:val="0"/>
                <w:iCs w:val="0"/>
                <w:caps w:val="0"/>
                <w:color w:val="auto"/>
                <w:spacing w:val="0"/>
                <w:sz w:val="21"/>
                <w:szCs w:val="21"/>
                <w:shd w:val="clear" w:fill="FFFFFF"/>
                <w:lang w:val="en-US" w:eastAsia="zh-CN" w:bidi="ar-SA"/>
              </w:rPr>
              <w:t>s.</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The overall ROB </w:t>
            </w:r>
            <w:r>
              <w:rPr>
                <w:rFonts w:hint="eastAsia" w:ascii="Times New Roman" w:hAnsi="Times New Roman" w:eastAsia="Segoe UI" w:cs="Times New Roman"/>
                <w:i w:val="0"/>
                <w:iCs w:val="0"/>
                <w:caps w:val="0"/>
                <w:color w:val="auto"/>
                <w:spacing w:val="0"/>
                <w:sz w:val="21"/>
                <w:szCs w:val="21"/>
                <w:shd w:val="clear" w:fill="FFFFFF"/>
                <w:lang w:val="en-US" w:eastAsia="zh-CN" w:bidi="ar-SA"/>
              </w:rPr>
              <w:t>for the</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study was defined as high risk when more than one-third of the factors (cross-sectional studies:</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≥3 of </w:t>
            </w:r>
            <w:r>
              <w:rPr>
                <w:rFonts w:hint="eastAsia" w:ascii="Times New Roman" w:hAnsi="Times New Roman" w:eastAsia="Segoe UI" w:cs="Times New Roman"/>
                <w:i w:val="0"/>
                <w:iCs w:val="0"/>
                <w:caps w:val="0"/>
                <w:color w:val="auto"/>
                <w:spacing w:val="0"/>
                <w:sz w:val="21"/>
                <w:szCs w:val="21"/>
                <w:shd w:val="clear" w:fill="FFFFFF"/>
                <w:lang w:val="en-US" w:eastAsia="zh-CN" w:bidi="ar-SA"/>
              </w:rPr>
              <w:t>8</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factors;</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cohort studies: ≥4 of 1</w:t>
            </w:r>
            <w:r>
              <w:rPr>
                <w:rFonts w:hint="eastAsia" w:ascii="Times New Roman" w:hAnsi="Times New Roman" w:eastAsia="Segoe UI" w:cs="Times New Roman"/>
                <w:i w:val="0"/>
                <w:iCs w:val="0"/>
                <w:caps w:val="0"/>
                <w:color w:val="auto"/>
                <w:spacing w:val="0"/>
                <w:sz w:val="21"/>
                <w:szCs w:val="21"/>
                <w:shd w:val="clear" w:fill="FFFFFF"/>
                <w:lang w:val="en-US" w:eastAsia="zh-CN" w:bidi="ar-SA"/>
              </w:rPr>
              <w:t>1</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factors) were rated as high risk</w:t>
            </w:r>
            <w:r>
              <w:rPr>
                <w:rFonts w:hint="eastAsia" w:ascii="Times New Roman" w:hAnsi="Times New Roman" w:eastAsia="Segoe UI" w:cs="Times New Roman"/>
                <w:i w:val="0"/>
                <w:iCs w:val="0"/>
                <w:caps w:val="0"/>
                <w:color w:val="auto"/>
                <w:spacing w:val="0"/>
                <w:sz w:val="21"/>
                <w:szCs w:val="21"/>
                <w:shd w:val="clear" w:fill="FFFFFF"/>
                <w:lang w:val="en-US" w:eastAsia="zh-CN" w:bidi="ar-SA"/>
              </w:rPr>
              <w:t>.</w:t>
            </w:r>
          </w:p>
        </w:tc>
        <w:tc>
          <w:tcPr>
            <w:tcW w:w="1260" w:type="dxa"/>
            <w:tcBorders>
              <w:bottom w:val="double" w:color="auto" w:sz="4" w:space="0"/>
              <w:right w:val="double" w:color="auto" w:sz="4" w:space="0"/>
            </w:tcBorders>
            <w:vAlign w:val="center"/>
          </w:tcPr>
          <w:p w14:paraId="6D44FFAF">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P6</w:t>
            </w:r>
            <w:r>
              <w:rPr>
                <w:rFonts w:hint="eastAsia" w:eastAsia="宋体" w:cs="Times New Roman"/>
                <w:color w:val="auto"/>
                <w:sz w:val="21"/>
                <w:szCs w:val="21"/>
                <w:highlight w:val="none"/>
                <w:lang w:val="en-US" w:eastAsia="zh-CN"/>
              </w:rPr>
              <w:t>-P7</w:t>
            </w:r>
          </w:p>
          <w:p w14:paraId="2C5EF935">
            <w:pPr>
              <w:pStyle w:val="2"/>
              <w:keepNext w:val="0"/>
              <w:keepLines w:val="0"/>
              <w:pageBreakBefore w:val="0"/>
              <w:widowControl/>
              <w:kinsoku/>
              <w:wordWrap/>
              <w:overflowPunct/>
              <w:topLinePunct w:val="0"/>
              <w:autoSpaceDE/>
              <w:autoSpaceDN/>
              <w:bidi w:val="0"/>
              <w:adjustRightInd/>
              <w:snapToGrid/>
              <w:spacing w:after="0"/>
              <w:ind w:left="0" w:leftChars="0" w:firstLine="0" w:firstLineChars="0"/>
              <w:jc w:val="center"/>
              <w:textAlignment w:val="auto"/>
              <w:rPr>
                <w:rFonts w:hint="eastAsia"/>
                <w:color w:val="auto"/>
                <w:lang w:val="en-US" w:eastAsia="zh-CN"/>
              </w:rPr>
            </w:pPr>
          </w:p>
          <w:p w14:paraId="60E4E700">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color w:val="auto"/>
                <w:lang w:val="en-US" w:eastAsia="zh-CN"/>
              </w:rPr>
            </w:pPr>
            <w:r>
              <w:rPr>
                <w:rFonts w:hint="default"/>
                <w:color w:val="auto"/>
                <w:sz w:val="20"/>
                <w:szCs w:val="22"/>
                <w:lang w:val="en-US" w:eastAsia="zh-CN"/>
              </w:rPr>
              <w:t>Supplement file</w:t>
            </w:r>
          </w:p>
        </w:tc>
      </w:tr>
      <w:tr w14:paraId="0ABF0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trPr>
        <w:tc>
          <w:tcPr>
            <w:tcW w:w="1786" w:type="dxa"/>
            <w:tcBorders>
              <w:top w:val="double" w:color="auto" w:sz="4" w:space="0"/>
              <w:left w:val="double" w:color="auto" w:sz="4" w:space="0"/>
            </w:tcBorders>
            <w:vAlign w:val="center"/>
          </w:tcPr>
          <w:p w14:paraId="28960E05">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Effect measures</w:t>
            </w:r>
          </w:p>
        </w:tc>
        <w:tc>
          <w:tcPr>
            <w:tcW w:w="731" w:type="dxa"/>
            <w:tcBorders>
              <w:top w:val="double" w:color="auto" w:sz="4" w:space="0"/>
            </w:tcBorders>
            <w:vAlign w:val="center"/>
          </w:tcPr>
          <w:p w14:paraId="062BE3F3">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12</w:t>
            </w:r>
          </w:p>
        </w:tc>
        <w:tc>
          <w:tcPr>
            <w:tcW w:w="11582" w:type="dxa"/>
            <w:tcBorders>
              <w:top w:val="double" w:color="auto" w:sz="4" w:space="0"/>
            </w:tcBorders>
            <w:vAlign w:val="center"/>
          </w:tcPr>
          <w:p w14:paraId="437D4355">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shd w:val="clear" w:fill="FFFFFF"/>
                <w:lang w:val="en-US" w:eastAsia="zh-CN" w:bidi="ar-SA"/>
              </w:rPr>
            </w:pPr>
            <w:r>
              <w:rPr>
                <w:rFonts w:hint="eastAsia" w:ascii="Times New Roman" w:hAnsi="Times New Roman" w:eastAsia="Segoe UI" w:cs="Times New Roman"/>
                <w:i w:val="0"/>
                <w:iCs w:val="0"/>
                <w:caps w:val="0"/>
                <w:color w:val="auto"/>
                <w:spacing w:val="0"/>
                <w:sz w:val="21"/>
                <w:szCs w:val="21"/>
                <w:shd w:val="clear" w:fill="FFFFFF"/>
                <w:lang w:val="en-US" w:eastAsia="zh-CN" w:bidi="ar-SA"/>
              </w:rPr>
              <w:t>Meta-analyses</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eastAsia" w:ascii="Times New Roman" w:hAnsi="Times New Roman" w:eastAsia="Segoe UI" w:cs="Times New Roman"/>
                <w:i w:val="0"/>
                <w:iCs w:val="0"/>
                <w:caps w:val="0"/>
                <w:color w:val="auto"/>
                <w:spacing w:val="0"/>
                <w:sz w:val="21"/>
                <w:szCs w:val="21"/>
                <w:shd w:val="clear" w:fill="FFFFFF"/>
                <w:lang w:val="en-US" w:eastAsia="zh-CN" w:bidi="ar-SA"/>
              </w:rPr>
              <w:t>were performed using Stata</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eastAsia" w:ascii="Times New Roman" w:hAnsi="Times New Roman" w:eastAsia="Segoe UI" w:cs="Times New Roman"/>
                <w:i w:val="0"/>
                <w:iCs w:val="0"/>
                <w:caps w:val="0"/>
                <w:color w:val="auto"/>
                <w:spacing w:val="0"/>
                <w:sz w:val="21"/>
                <w:szCs w:val="21"/>
                <w:shd w:val="clear" w:fill="FFFFFF"/>
                <w:lang w:val="en-US" w:eastAsia="zh-CN" w:bidi="ar-SA"/>
              </w:rPr>
              <w:t>software</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(version 17.0)</w:t>
            </w:r>
            <w:r>
              <w:rPr>
                <w:rFonts w:hint="eastAsia" w:ascii="Times New Roman" w:hAnsi="Times New Roman" w:eastAsia="Segoe UI" w:cs="Times New Roman"/>
                <w:i w:val="0"/>
                <w:iCs w:val="0"/>
                <w:caps w:val="0"/>
                <w:color w:val="auto"/>
                <w:spacing w:val="0"/>
                <w:sz w:val="21"/>
                <w:szCs w:val="21"/>
                <w:shd w:val="clear" w:fill="FFFFFF"/>
                <w:lang w:val="en-US" w:eastAsia="zh-CN" w:bidi="ar-SA"/>
              </w:rPr>
              <w:t>.</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eastAsia" w:ascii="Times New Roman" w:hAnsi="Times New Roman" w:eastAsia="Segoe UI" w:cs="Times New Roman"/>
                <w:i w:val="0"/>
                <w:iCs w:val="0"/>
                <w:caps w:val="0"/>
                <w:color w:val="auto"/>
                <w:spacing w:val="0"/>
                <w:sz w:val="21"/>
                <w:szCs w:val="21"/>
                <w:shd w:val="clear" w:fill="FFFFFF"/>
                <w:lang w:val="en-US" w:eastAsia="zh-CN" w:bidi="ar-SA"/>
              </w:rPr>
              <w:t>The reported OR</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eastAsia" w:ascii="Times New Roman" w:hAnsi="Times New Roman" w:eastAsia="Segoe UI" w:cs="Times New Roman"/>
                <w:i w:val="0"/>
                <w:iCs w:val="0"/>
                <w:caps w:val="0"/>
                <w:color w:val="auto"/>
                <w:spacing w:val="0"/>
                <w:sz w:val="21"/>
                <w:szCs w:val="21"/>
                <w:shd w:val="clear" w:fill="FFFFFF"/>
                <w:lang w:val="en-US" w:eastAsia="zh-CN" w:bidi="ar-SA"/>
              </w:rPr>
              <w:t>with its</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eastAsia" w:ascii="Times New Roman" w:hAnsi="Times New Roman" w:eastAsia="Segoe UI" w:cs="Times New Roman"/>
                <w:i w:val="0"/>
                <w:iCs w:val="0"/>
                <w:caps w:val="0"/>
                <w:color w:val="auto"/>
                <w:spacing w:val="0"/>
                <w:sz w:val="21"/>
                <w:szCs w:val="21"/>
                <w:shd w:val="clear" w:fill="FFFFFF"/>
                <w:lang w:val="en-US" w:eastAsia="zh-CN" w:bidi="ar-SA"/>
              </w:rPr>
              <w:t>95%</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CI </w:t>
            </w:r>
            <w:r>
              <w:rPr>
                <w:rFonts w:hint="eastAsia" w:ascii="Times New Roman" w:hAnsi="Times New Roman" w:eastAsia="Segoe UI" w:cs="Times New Roman"/>
                <w:i w:val="0"/>
                <w:iCs w:val="0"/>
                <w:caps w:val="0"/>
                <w:color w:val="auto"/>
                <w:spacing w:val="0"/>
                <w:sz w:val="21"/>
                <w:szCs w:val="21"/>
                <w:shd w:val="clear" w:fill="FFFFFF"/>
                <w:lang w:val="en-US" w:eastAsia="zh-CN" w:bidi="ar-SA"/>
              </w:rPr>
              <w:t>was adopted as the pooled effect size.</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The </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most appropriate effect sizes adjusted </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for </w:t>
            </w:r>
            <w:r>
              <w:rPr>
                <w:rFonts w:hint="default" w:ascii="Times New Roman" w:hAnsi="Times New Roman" w:eastAsia="Segoe UI" w:cs="Times New Roman"/>
                <w:i w:val="0"/>
                <w:iCs w:val="0"/>
                <w:caps w:val="0"/>
                <w:color w:val="auto"/>
                <w:spacing w:val="0"/>
                <w:sz w:val="21"/>
                <w:szCs w:val="21"/>
                <w:shd w:val="clear" w:fill="FFFFFF"/>
                <w:lang w:val="en-US" w:eastAsia="zh-CN" w:bidi="ar-SA"/>
              </w:rPr>
              <w:t>potential confounders</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were used if available. For studies that did not report ORs and 95% CIs, we converted </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the </w:t>
            </w:r>
            <w:r>
              <w:rPr>
                <w:rFonts w:hint="default" w:ascii="Times New Roman" w:hAnsi="Times New Roman" w:eastAsia="Segoe UI" w:cs="Times New Roman"/>
                <w:i w:val="0"/>
                <w:iCs w:val="0"/>
                <w:caps w:val="0"/>
                <w:color w:val="auto"/>
                <w:spacing w:val="0"/>
                <w:sz w:val="21"/>
                <w:szCs w:val="21"/>
                <w:shd w:val="clear" w:fill="FFFFFF"/>
                <w:lang w:val="en-US" w:eastAsia="zh-CN" w:bidi="ar-SA"/>
              </w:rPr>
              <w:t>relevant data using multiple methods.</w:t>
            </w:r>
          </w:p>
        </w:tc>
        <w:tc>
          <w:tcPr>
            <w:tcW w:w="1260" w:type="dxa"/>
            <w:tcBorders>
              <w:top w:val="double" w:color="auto" w:sz="4" w:space="0"/>
              <w:right w:val="double" w:color="auto" w:sz="4" w:space="0"/>
            </w:tcBorders>
            <w:vAlign w:val="center"/>
          </w:tcPr>
          <w:p w14:paraId="64149F40">
            <w:pPr>
              <w:keepNext w:val="0"/>
              <w:keepLines w:val="0"/>
              <w:pageBreakBefore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P</w:t>
            </w:r>
            <w:r>
              <w:rPr>
                <w:rFonts w:hint="eastAsia" w:eastAsia="宋体" w:cs="Times New Roman"/>
                <w:color w:val="auto"/>
                <w:sz w:val="21"/>
                <w:szCs w:val="21"/>
                <w:highlight w:val="none"/>
                <w:lang w:val="en-US" w:eastAsia="zh-CN"/>
              </w:rPr>
              <w:t>7</w:t>
            </w:r>
            <w:r>
              <w:rPr>
                <w:rFonts w:hint="eastAsia" w:ascii="Times New Roman" w:hAnsi="Times New Roman" w:eastAsia="宋体" w:cs="Times New Roman"/>
                <w:color w:val="auto"/>
                <w:sz w:val="21"/>
                <w:szCs w:val="21"/>
                <w:highlight w:val="none"/>
                <w:lang w:val="en-US" w:eastAsia="zh-CN"/>
              </w:rPr>
              <w:t>-P</w:t>
            </w:r>
            <w:r>
              <w:rPr>
                <w:rFonts w:hint="eastAsia" w:eastAsia="宋体" w:cs="Times New Roman"/>
                <w:color w:val="auto"/>
                <w:sz w:val="21"/>
                <w:szCs w:val="21"/>
                <w:highlight w:val="none"/>
                <w:lang w:val="en-US" w:eastAsia="zh-CN"/>
              </w:rPr>
              <w:t>8</w:t>
            </w:r>
          </w:p>
        </w:tc>
      </w:tr>
      <w:tr w14:paraId="5E2D2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786" w:type="dxa"/>
            <w:vMerge w:val="restart"/>
            <w:tcBorders>
              <w:left w:val="double" w:color="auto" w:sz="4" w:space="0"/>
            </w:tcBorders>
            <w:vAlign w:val="center"/>
          </w:tcPr>
          <w:p w14:paraId="76C08DCA">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Synthesis methods</w:t>
            </w:r>
          </w:p>
        </w:tc>
        <w:tc>
          <w:tcPr>
            <w:tcW w:w="731" w:type="dxa"/>
            <w:vAlign w:val="center"/>
          </w:tcPr>
          <w:p w14:paraId="52D35FF8">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13a</w:t>
            </w:r>
          </w:p>
        </w:tc>
        <w:tc>
          <w:tcPr>
            <w:tcW w:w="11582" w:type="dxa"/>
            <w:vAlign w:val="center"/>
          </w:tcPr>
          <w:p w14:paraId="3752856A">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shd w:val="clear" w:fill="FFFFFF"/>
                <w:lang w:val="en-US" w:eastAsia="zh-CN" w:bidi="ar-SA"/>
              </w:rPr>
            </w:pPr>
            <w:r>
              <w:rPr>
                <w:rFonts w:hint="default" w:ascii="Times New Roman" w:hAnsi="Times New Roman" w:eastAsia="Segoe UI" w:cs="Times New Roman"/>
                <w:i w:val="0"/>
                <w:iCs w:val="0"/>
                <w:caps w:val="0"/>
                <w:color w:val="auto"/>
                <w:spacing w:val="0"/>
                <w:sz w:val="21"/>
                <w:szCs w:val="21"/>
                <w:shd w:val="clear" w:fill="FFFFFF"/>
                <w:lang w:val="en-US" w:eastAsia="zh-CN" w:bidi="ar-SA"/>
              </w:rPr>
              <w:t>All the included studies</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were eligible for each synthesis, T</w:t>
            </w:r>
            <w:r>
              <w:rPr>
                <w:rFonts w:hint="default" w:ascii="Times New Roman" w:hAnsi="Times New Roman" w:eastAsia="Segoe UI" w:cs="Times New Roman"/>
                <w:i w:val="0"/>
                <w:iCs w:val="0"/>
                <w:caps w:val="0"/>
                <w:color w:val="auto"/>
                <w:spacing w:val="0"/>
                <w:sz w:val="21"/>
                <w:szCs w:val="21"/>
                <w:shd w:val="clear" w:fill="FFFFFF"/>
                <w:lang w:val="en-US" w:eastAsia="zh-CN" w:bidi="ar-SA"/>
              </w:rPr>
              <w:t>abulating the study intervention characteristics and comparing against the planned groups for each synthesis</w:t>
            </w:r>
            <w:r>
              <w:rPr>
                <w:rFonts w:hint="eastAsia" w:ascii="Times New Roman" w:hAnsi="Times New Roman" w:eastAsia="Segoe UI" w:cs="Times New Roman"/>
                <w:i w:val="0"/>
                <w:iCs w:val="0"/>
                <w:caps w:val="0"/>
                <w:color w:val="auto"/>
                <w:spacing w:val="0"/>
                <w:sz w:val="21"/>
                <w:szCs w:val="21"/>
                <w:shd w:val="clear" w:fill="FFFFFF"/>
                <w:lang w:val="en-US" w:eastAsia="zh-CN" w:bidi="ar-SA"/>
              </w:rPr>
              <w:t>, the synthesis results are shown in Table 1 (</w:t>
            </w:r>
            <w:r>
              <w:rPr>
                <w:rFonts w:hint="default" w:ascii="Times New Roman" w:hAnsi="Times New Roman" w:eastAsia="Segoe UI" w:cs="Times New Roman"/>
                <w:i w:val="0"/>
                <w:iCs w:val="0"/>
                <w:caps w:val="0"/>
                <w:color w:val="auto"/>
                <w:spacing w:val="0"/>
                <w:sz w:val="21"/>
                <w:szCs w:val="21"/>
                <w:shd w:val="clear" w:fill="FFFFFF"/>
                <w:lang w:val="en-US" w:eastAsia="zh-CN" w:bidi="ar-SA"/>
              </w:rPr>
              <w:t>Included studies characteristics</w:t>
            </w:r>
            <w:r>
              <w:rPr>
                <w:rFonts w:hint="eastAsia" w:ascii="Times New Roman" w:hAnsi="Times New Roman" w:eastAsia="Segoe UI" w:cs="Times New Roman"/>
                <w:i w:val="0"/>
                <w:iCs w:val="0"/>
                <w:caps w:val="0"/>
                <w:color w:val="auto"/>
                <w:spacing w:val="0"/>
                <w:sz w:val="21"/>
                <w:szCs w:val="21"/>
                <w:shd w:val="clear" w:fill="FFFFFF"/>
                <w:lang w:val="en-US" w:eastAsia="zh-CN" w:bidi="ar-SA"/>
              </w:rPr>
              <w:t>).</w:t>
            </w:r>
          </w:p>
        </w:tc>
        <w:tc>
          <w:tcPr>
            <w:tcW w:w="1260" w:type="dxa"/>
            <w:tcBorders>
              <w:right w:val="double" w:color="auto" w:sz="4" w:space="0"/>
            </w:tcBorders>
            <w:vAlign w:val="center"/>
          </w:tcPr>
          <w:p w14:paraId="280B19C2">
            <w:pPr>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P</w:t>
            </w:r>
            <w:r>
              <w:rPr>
                <w:rFonts w:hint="eastAsia" w:eastAsia="宋体" w:cs="Times New Roman"/>
                <w:color w:val="auto"/>
                <w:sz w:val="21"/>
                <w:szCs w:val="21"/>
                <w:highlight w:val="none"/>
                <w:lang w:val="en-US" w:eastAsia="zh-CN"/>
              </w:rPr>
              <w:t>7</w:t>
            </w:r>
            <w:r>
              <w:rPr>
                <w:rFonts w:hint="eastAsia" w:ascii="Times New Roman" w:hAnsi="Times New Roman" w:eastAsia="宋体" w:cs="Times New Roman"/>
                <w:color w:val="auto"/>
                <w:sz w:val="21"/>
                <w:szCs w:val="21"/>
                <w:highlight w:val="none"/>
                <w:lang w:val="en-US" w:eastAsia="zh-CN"/>
              </w:rPr>
              <w:t>-P</w:t>
            </w:r>
            <w:r>
              <w:rPr>
                <w:rFonts w:hint="eastAsia" w:eastAsia="宋体" w:cs="Times New Roman"/>
                <w:color w:val="auto"/>
                <w:sz w:val="21"/>
                <w:szCs w:val="21"/>
                <w:highlight w:val="none"/>
                <w:lang w:val="en-US" w:eastAsia="zh-CN"/>
              </w:rPr>
              <w:t>8</w:t>
            </w:r>
          </w:p>
        </w:tc>
      </w:tr>
      <w:tr w14:paraId="069F8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7" w:hRule="atLeast"/>
        </w:trPr>
        <w:tc>
          <w:tcPr>
            <w:tcW w:w="1786" w:type="dxa"/>
            <w:vMerge w:val="continue"/>
            <w:tcBorders>
              <w:left w:val="double" w:color="auto" w:sz="4" w:space="0"/>
            </w:tcBorders>
            <w:vAlign w:val="center"/>
          </w:tcPr>
          <w:p w14:paraId="0B85BE6F">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p>
        </w:tc>
        <w:tc>
          <w:tcPr>
            <w:tcW w:w="731" w:type="dxa"/>
            <w:vAlign w:val="center"/>
          </w:tcPr>
          <w:p w14:paraId="37B52193">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13b</w:t>
            </w:r>
          </w:p>
        </w:tc>
        <w:tc>
          <w:tcPr>
            <w:tcW w:w="11582" w:type="dxa"/>
            <w:vAlign w:val="center"/>
          </w:tcPr>
          <w:p w14:paraId="3F0040B5">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shd w:val="clear" w:fill="FFFFFF"/>
                <w:lang w:val="en-US" w:eastAsia="zh-CN" w:bidi="ar-SA"/>
              </w:rPr>
            </w:pP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For studies that did not report ORs and 95% CIs, we converted </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the </w:t>
            </w:r>
            <w:r>
              <w:rPr>
                <w:rFonts w:hint="default" w:ascii="Times New Roman" w:hAnsi="Times New Roman" w:eastAsia="Segoe UI" w:cs="Times New Roman"/>
                <w:i w:val="0"/>
                <w:iCs w:val="0"/>
                <w:caps w:val="0"/>
                <w:color w:val="auto"/>
                <w:spacing w:val="0"/>
                <w:sz w:val="21"/>
                <w:szCs w:val="21"/>
                <w:shd w:val="clear" w:fill="FFFFFF"/>
                <w:lang w:val="en-US" w:eastAsia="zh-CN" w:bidi="ar-SA"/>
              </w:rPr>
              <w:t>relevant data using multiple methods.</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For studies reporting regression coefficients, we converted them to ORs with 95%CIs using the method described by Hosmer and Newton. For studies reporting correlation coefficients, we converted them to ORs with 95% CIs using the formula proposed by Borenstein. </w:t>
            </w:r>
            <w:r>
              <w:rPr>
                <w:rFonts w:hint="default" w:ascii="Times New Roman" w:hAnsi="Times New Roman" w:eastAsia="Segoe UI" w:cs="Times New Roman"/>
                <w:i w:val="0"/>
                <w:iCs w:val="0"/>
                <w:caps w:val="0"/>
                <w:color w:val="auto"/>
                <w:spacing w:val="0"/>
                <w:sz w:val="21"/>
                <w:szCs w:val="21"/>
                <w:shd w:val="clear" w:fill="FFFFFF"/>
                <w:lang w:val="en-US" w:eastAsia="zh-CN" w:bidi="ar-SA"/>
              </w:rPr>
              <w:t>For studies in which</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no effect sizes were reported, we manually calculated them using the reported data or available statistics. When studies reported effect sizes separately for different types of screen devices, we combined </w:t>
            </w:r>
            <w:r>
              <w:rPr>
                <w:rFonts w:hint="default" w:ascii="Times New Roman" w:hAnsi="Times New Roman" w:eastAsia="Segoe UI" w:cs="Times New Roman"/>
                <w:i w:val="0"/>
                <w:iCs w:val="0"/>
                <w:caps w:val="0"/>
                <w:color w:val="auto"/>
                <w:spacing w:val="0"/>
                <w:sz w:val="21"/>
                <w:szCs w:val="21"/>
                <w:shd w:val="clear" w:fill="FFFFFF"/>
                <w:lang w:val="en-US" w:eastAsia="zh-CN" w:bidi="ar-SA"/>
              </w:rPr>
              <w:t>these</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effect sizes and used the </w:t>
            </w:r>
            <w:r>
              <w:rPr>
                <w:rFonts w:hint="default" w:ascii="Times New Roman" w:hAnsi="Times New Roman" w:eastAsia="Segoe UI" w:cs="Times New Roman"/>
                <w:i w:val="0"/>
                <w:iCs w:val="0"/>
                <w:caps w:val="0"/>
                <w:color w:val="auto"/>
                <w:spacing w:val="0"/>
                <w:sz w:val="21"/>
                <w:szCs w:val="21"/>
                <w:shd w:val="clear" w:fill="FFFFFF"/>
                <w:lang w:val="en-US" w:eastAsia="zh-CN" w:bidi="ar-SA"/>
              </w:rPr>
              <w:t>pooled data</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for the meta-analysis. </w:t>
            </w:r>
            <w:r>
              <w:rPr>
                <w:rFonts w:hint="default" w:ascii="Times New Roman" w:hAnsi="Times New Roman" w:eastAsia="Segoe UI" w:cs="Times New Roman"/>
                <w:i w:val="0"/>
                <w:iCs w:val="0"/>
                <w:caps w:val="0"/>
                <w:color w:val="auto"/>
                <w:spacing w:val="0"/>
                <w:sz w:val="21"/>
                <w:szCs w:val="21"/>
                <w:shd w:val="clear" w:fill="FFFFFF"/>
                <w:lang w:val="en-US" w:eastAsia="zh-CN" w:bidi="ar-SA"/>
              </w:rPr>
              <w:t>For studies that reported effect sizes</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separately for multiple categories of screen time, we combined </w:t>
            </w:r>
            <w:r>
              <w:rPr>
                <w:rFonts w:hint="default" w:ascii="Times New Roman" w:hAnsi="Times New Roman" w:eastAsia="Segoe UI" w:cs="Times New Roman"/>
                <w:i w:val="0"/>
                <w:iCs w:val="0"/>
                <w:caps w:val="0"/>
                <w:color w:val="auto"/>
                <w:spacing w:val="0"/>
                <w:sz w:val="21"/>
                <w:szCs w:val="21"/>
                <w:shd w:val="clear" w:fill="FFFFFF"/>
                <w:lang w:val="en-US" w:eastAsia="zh-CN" w:bidi="ar-SA"/>
              </w:rPr>
              <w:t>effect sizes across these categories</w:t>
            </w:r>
            <w:r>
              <w:rPr>
                <w:rFonts w:hint="eastAsia" w:ascii="Times New Roman" w:hAnsi="Times New Roman" w:eastAsia="Segoe UI" w:cs="Times New Roman"/>
                <w:i w:val="0"/>
                <w:iCs w:val="0"/>
                <w:caps w:val="0"/>
                <w:color w:val="auto"/>
                <w:spacing w:val="0"/>
                <w:sz w:val="21"/>
                <w:szCs w:val="21"/>
                <w:shd w:val="clear" w:fill="FFFFFF"/>
                <w:lang w:val="en-US" w:eastAsia="zh-CN" w:bidi="ar-SA"/>
              </w:rPr>
              <w:t xml:space="preserve"> using the method proposed by Hamling. </w:t>
            </w:r>
            <w:r>
              <w:rPr>
                <w:rFonts w:hint="default" w:ascii="Times New Roman" w:hAnsi="Times New Roman" w:eastAsia="Segoe UI" w:cs="Times New Roman"/>
                <w:i w:val="0"/>
                <w:iCs w:val="0"/>
                <w:caps w:val="0"/>
                <w:color w:val="auto"/>
                <w:spacing w:val="0"/>
                <w:sz w:val="21"/>
                <w:szCs w:val="21"/>
                <w:shd w:val="clear" w:fill="FFFFFF"/>
                <w:lang w:val="en-US" w:eastAsia="zh-CN" w:bidi="ar-SA"/>
              </w:rPr>
              <w:t>If a study provided effect sizes from multiple discrete samples with different population parameters (such as different cohorts), these samples were entered into the meta-analysis separately.</w:t>
            </w:r>
          </w:p>
        </w:tc>
        <w:tc>
          <w:tcPr>
            <w:tcW w:w="1260" w:type="dxa"/>
            <w:tcBorders>
              <w:right w:val="double" w:color="auto" w:sz="4" w:space="0"/>
            </w:tcBorders>
            <w:vAlign w:val="center"/>
          </w:tcPr>
          <w:p w14:paraId="52C38972">
            <w:pPr>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P</w:t>
            </w:r>
            <w:r>
              <w:rPr>
                <w:rFonts w:hint="eastAsia" w:eastAsia="宋体" w:cs="Times New Roman"/>
                <w:color w:val="auto"/>
                <w:sz w:val="21"/>
                <w:szCs w:val="21"/>
                <w:highlight w:val="none"/>
                <w:lang w:val="en-US" w:eastAsia="zh-CN"/>
              </w:rPr>
              <w:t>7</w:t>
            </w:r>
            <w:r>
              <w:rPr>
                <w:rFonts w:hint="eastAsia" w:ascii="Times New Roman" w:hAnsi="Times New Roman" w:eastAsia="宋体" w:cs="Times New Roman"/>
                <w:color w:val="auto"/>
                <w:sz w:val="21"/>
                <w:szCs w:val="21"/>
                <w:highlight w:val="none"/>
                <w:lang w:val="en-US" w:eastAsia="zh-CN"/>
              </w:rPr>
              <w:t>-P</w:t>
            </w:r>
            <w:r>
              <w:rPr>
                <w:rFonts w:hint="eastAsia" w:eastAsia="宋体" w:cs="Times New Roman"/>
                <w:color w:val="auto"/>
                <w:sz w:val="21"/>
                <w:szCs w:val="21"/>
                <w:highlight w:val="none"/>
                <w:lang w:val="en-US" w:eastAsia="zh-CN"/>
              </w:rPr>
              <w:t>8</w:t>
            </w:r>
          </w:p>
        </w:tc>
      </w:tr>
      <w:tr w14:paraId="398A5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7" w:hRule="atLeast"/>
        </w:trPr>
        <w:tc>
          <w:tcPr>
            <w:tcW w:w="1786" w:type="dxa"/>
            <w:vMerge w:val="continue"/>
            <w:tcBorders>
              <w:left w:val="double" w:color="auto" w:sz="4" w:space="0"/>
              <w:bottom w:val="double" w:color="auto" w:sz="4" w:space="0"/>
            </w:tcBorders>
            <w:vAlign w:val="center"/>
          </w:tcPr>
          <w:p w14:paraId="48662604">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p>
        </w:tc>
        <w:tc>
          <w:tcPr>
            <w:tcW w:w="731" w:type="dxa"/>
            <w:tcBorders>
              <w:bottom w:val="double" w:color="auto" w:sz="4" w:space="0"/>
            </w:tcBorders>
            <w:vAlign w:val="center"/>
          </w:tcPr>
          <w:p w14:paraId="5150CDFE">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13c</w:t>
            </w:r>
          </w:p>
        </w:tc>
        <w:tc>
          <w:tcPr>
            <w:tcW w:w="11582" w:type="dxa"/>
            <w:tcBorders>
              <w:bottom w:val="double" w:color="auto" w:sz="4" w:space="0"/>
            </w:tcBorders>
            <w:vAlign w:val="center"/>
          </w:tcPr>
          <w:p w14:paraId="3B85AE3F">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eastAsia" w:ascii="Times New Roman" w:hAnsi="Times New Roman" w:eastAsia="Segoe UI" w:cs="Times New Roman"/>
                <w:i w:val="0"/>
                <w:iCs w:val="0"/>
                <w:caps w:val="0"/>
                <w:color w:val="auto"/>
                <w:spacing w:val="0"/>
                <w:sz w:val="21"/>
                <w:szCs w:val="21"/>
                <w:shd w:val="clear" w:fill="FFFFFF"/>
                <w:lang w:val="en-US" w:eastAsia="zh-CN" w:bidi="ar-SA"/>
              </w:rPr>
            </w:pPr>
            <w:r>
              <w:rPr>
                <w:rFonts w:hint="default" w:ascii="Times New Roman" w:hAnsi="Times New Roman" w:eastAsia="Segoe UI" w:cs="Times New Roman"/>
                <w:i w:val="0"/>
                <w:iCs w:val="0"/>
                <w:caps w:val="0"/>
                <w:color w:val="auto"/>
                <w:spacing w:val="0"/>
                <w:sz w:val="21"/>
                <w:szCs w:val="21"/>
                <w:shd w:val="clear" w:fill="FFFFFF"/>
                <w:lang w:val="en-US" w:eastAsia="zh-CN" w:bidi="ar-SA"/>
              </w:rPr>
              <w:t>The Included studies characteristics were merged by Excel tables</w:t>
            </w:r>
            <w:r>
              <w:rPr>
                <w:rFonts w:hint="eastAsia" w:ascii="Times New Roman" w:hAnsi="Times New Roman" w:eastAsia="Segoe UI" w:cs="Times New Roman"/>
                <w:i w:val="0"/>
                <w:iCs w:val="0"/>
                <w:caps w:val="0"/>
                <w:color w:val="auto"/>
                <w:spacing w:val="0"/>
                <w:sz w:val="21"/>
                <w:szCs w:val="21"/>
                <w:shd w:val="clear" w:fill="FFFFFF"/>
                <w:lang w:val="en-US" w:eastAsia="zh-CN" w:bidi="ar-SA"/>
              </w:rPr>
              <w:t>.</w:t>
            </w:r>
          </w:p>
          <w:p w14:paraId="5A1FFF1C">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eastAsia" w:ascii="Times New Roman" w:hAnsi="Times New Roman" w:eastAsia="Segoe UI" w:cs="Times New Roman"/>
                <w:i w:val="0"/>
                <w:iCs w:val="0"/>
                <w:caps w:val="0"/>
                <w:color w:val="auto"/>
                <w:spacing w:val="0"/>
                <w:sz w:val="21"/>
                <w:szCs w:val="21"/>
                <w:shd w:val="clear" w:fill="FFFFFF"/>
                <w:lang w:val="en-US" w:eastAsia="zh-CN" w:bidi="ar-SA"/>
              </w:rPr>
            </w:pPr>
            <w:r>
              <w:rPr>
                <w:rFonts w:hint="eastAsia" w:ascii="Times New Roman" w:hAnsi="Times New Roman" w:eastAsia="Segoe UI" w:cs="Times New Roman"/>
                <w:i w:val="0"/>
                <w:iCs w:val="0"/>
                <w:caps w:val="0"/>
                <w:color w:val="auto"/>
                <w:spacing w:val="0"/>
                <w:sz w:val="21"/>
                <w:szCs w:val="21"/>
                <w:shd w:val="clear" w:fill="FFFFFF"/>
                <w:lang w:val="en-US" w:eastAsia="zh-CN" w:bidi="ar-SA"/>
              </w:rPr>
              <w:t>Meta-analyses</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eastAsia" w:ascii="Times New Roman" w:hAnsi="Times New Roman" w:eastAsia="Segoe UI" w:cs="Times New Roman"/>
                <w:i w:val="0"/>
                <w:iCs w:val="0"/>
                <w:caps w:val="0"/>
                <w:color w:val="auto"/>
                <w:spacing w:val="0"/>
                <w:sz w:val="21"/>
                <w:szCs w:val="21"/>
                <w:shd w:val="clear" w:fill="FFFFFF"/>
                <w:lang w:val="en-US" w:eastAsia="zh-CN" w:bidi="ar-SA"/>
              </w:rPr>
              <w:t>were performed using Stata</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w:t>
            </w:r>
            <w:r>
              <w:rPr>
                <w:rFonts w:hint="eastAsia" w:ascii="Times New Roman" w:hAnsi="Times New Roman" w:eastAsia="Segoe UI" w:cs="Times New Roman"/>
                <w:i w:val="0"/>
                <w:iCs w:val="0"/>
                <w:caps w:val="0"/>
                <w:color w:val="auto"/>
                <w:spacing w:val="0"/>
                <w:sz w:val="21"/>
                <w:szCs w:val="21"/>
                <w:shd w:val="clear" w:fill="FFFFFF"/>
                <w:lang w:val="en-US" w:eastAsia="zh-CN" w:bidi="ar-SA"/>
              </w:rPr>
              <w:t>software</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(version 17.0)</w:t>
            </w:r>
            <w:r>
              <w:rPr>
                <w:rFonts w:hint="eastAsia" w:ascii="Times New Roman" w:hAnsi="Times New Roman" w:eastAsia="Segoe UI" w:cs="Times New Roman"/>
                <w:i w:val="0"/>
                <w:iCs w:val="0"/>
                <w:caps w:val="0"/>
                <w:color w:val="auto"/>
                <w:spacing w:val="0"/>
                <w:sz w:val="21"/>
                <w:szCs w:val="21"/>
                <w:shd w:val="clear" w:fill="FFFFFF"/>
                <w:lang w:val="en-US" w:eastAsia="zh-CN" w:bidi="ar-SA"/>
              </w:rPr>
              <w:t>.</w:t>
            </w:r>
          </w:p>
          <w:p w14:paraId="4695FDC2">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shd w:val="clear" w:fill="FFFFFF"/>
                <w:lang w:val="en-US" w:eastAsia="zh-CN" w:bidi="ar-SA"/>
              </w:rPr>
            </w:pP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Heterogeneity between studies was evaluated </w:t>
            </w:r>
            <w:r>
              <w:rPr>
                <w:rFonts w:hint="eastAsia" w:ascii="Times New Roman" w:hAnsi="Times New Roman" w:eastAsia="Segoe UI" w:cs="Times New Roman"/>
                <w:i w:val="0"/>
                <w:iCs w:val="0"/>
                <w:caps w:val="0"/>
                <w:color w:val="auto"/>
                <w:spacing w:val="0"/>
                <w:sz w:val="21"/>
                <w:szCs w:val="21"/>
                <w:shd w:val="clear" w:fill="FFFFFF"/>
                <w:lang w:val="en-US" w:eastAsia="zh-CN" w:bidi="ar-SA"/>
              </w:rPr>
              <w:t>using</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Cochran's Q test (α = 0.05) and quantified by the I² statistic.</w:t>
            </w:r>
          </w:p>
          <w:p w14:paraId="777A6121">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shd w:val="clear" w:fill="FFFFFF"/>
                <w:lang w:val="en-US" w:eastAsia="zh-CN" w:bidi="ar-SA"/>
              </w:rPr>
            </w:pP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Publication bias was </w:t>
            </w:r>
            <w:r>
              <w:rPr>
                <w:rFonts w:hint="eastAsia" w:ascii="Times New Roman" w:hAnsi="Times New Roman" w:eastAsia="Segoe UI" w:cs="Times New Roman"/>
                <w:i w:val="0"/>
                <w:iCs w:val="0"/>
                <w:caps w:val="0"/>
                <w:color w:val="auto"/>
                <w:spacing w:val="0"/>
                <w:sz w:val="21"/>
                <w:szCs w:val="21"/>
                <w:shd w:val="clear" w:fill="FFFFFF"/>
                <w:lang w:val="en-US" w:eastAsia="zh-CN" w:bidi="ar-SA"/>
              </w:rPr>
              <w:t>assessed</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by funnel plot asymmetry, and </w:t>
            </w:r>
            <w:r>
              <w:rPr>
                <w:rFonts w:hint="eastAsia" w:ascii="Times New Roman" w:hAnsi="Times New Roman" w:eastAsia="Segoe UI" w:cs="Times New Roman"/>
                <w:i w:val="0"/>
                <w:iCs w:val="0"/>
                <w:caps w:val="0"/>
                <w:color w:val="auto"/>
                <w:spacing w:val="0"/>
                <w:sz w:val="21"/>
                <w:szCs w:val="21"/>
                <w:shd w:val="clear" w:fill="FFFFFF"/>
                <w:lang w:val="en-US" w:eastAsia="zh-CN" w:bidi="ar-SA"/>
              </w:rPr>
              <w:t>quantified using</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Begg's test and Egger's test. If significant publication bias was observed, the trim-and-fill method was applied to adjust the pooled results.</w:t>
            </w:r>
          </w:p>
          <w:p w14:paraId="3F67C894">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shd w:val="clear" w:fill="FFFFFF"/>
                <w:lang w:val="en-US" w:eastAsia="zh-CN" w:bidi="ar-SA"/>
              </w:rPr>
            </w:pPr>
            <w:r>
              <w:rPr>
                <w:rFonts w:hint="eastAsia" w:ascii="Times New Roman" w:hAnsi="Times New Roman" w:eastAsia="Segoe UI" w:cs="Times New Roman"/>
                <w:i w:val="0"/>
                <w:iCs w:val="0"/>
                <w:caps w:val="0"/>
                <w:color w:val="auto"/>
                <w:spacing w:val="0"/>
                <w:sz w:val="21"/>
                <w:szCs w:val="21"/>
                <w:shd w:val="clear" w:fill="FFFFFF"/>
                <w:lang w:val="en-US" w:eastAsia="zh-CN" w:bidi="ar-SA"/>
              </w:rPr>
              <w:t>Dose-response analysis was performed using R software (version 4.4.3). Multiple levels of screen exposure time and their corresponding ORs with 95%CIs were extracted from eligible studies, and restricted cubic splines were applied to fit the non-linear dose-response relationship at fixed knots of the exposure distribution.</w:t>
            </w:r>
          </w:p>
        </w:tc>
        <w:tc>
          <w:tcPr>
            <w:tcW w:w="1260" w:type="dxa"/>
            <w:tcBorders>
              <w:bottom w:val="double" w:color="auto" w:sz="4" w:space="0"/>
              <w:right w:val="double" w:color="auto" w:sz="4" w:space="0"/>
            </w:tcBorders>
            <w:vAlign w:val="center"/>
          </w:tcPr>
          <w:p w14:paraId="40C6D910">
            <w:pPr>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P</w:t>
            </w:r>
            <w:r>
              <w:rPr>
                <w:rFonts w:hint="eastAsia" w:eastAsia="宋体" w:cs="Times New Roman"/>
                <w:color w:val="auto"/>
                <w:sz w:val="21"/>
                <w:szCs w:val="21"/>
                <w:highlight w:val="none"/>
                <w:lang w:val="en-US" w:eastAsia="zh-CN"/>
              </w:rPr>
              <w:t>7</w:t>
            </w:r>
            <w:r>
              <w:rPr>
                <w:rFonts w:hint="eastAsia" w:ascii="Times New Roman" w:hAnsi="Times New Roman" w:eastAsia="宋体" w:cs="Times New Roman"/>
                <w:color w:val="auto"/>
                <w:sz w:val="21"/>
                <w:szCs w:val="21"/>
                <w:highlight w:val="none"/>
                <w:lang w:val="en-US" w:eastAsia="zh-CN"/>
              </w:rPr>
              <w:t>-P</w:t>
            </w:r>
            <w:r>
              <w:rPr>
                <w:rFonts w:hint="eastAsia" w:eastAsia="宋体" w:cs="Times New Roman"/>
                <w:color w:val="auto"/>
                <w:sz w:val="21"/>
                <w:szCs w:val="21"/>
                <w:highlight w:val="none"/>
                <w:lang w:val="en-US" w:eastAsia="zh-CN"/>
              </w:rPr>
              <w:t>8</w:t>
            </w:r>
          </w:p>
        </w:tc>
      </w:tr>
      <w:tr w14:paraId="5461F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atLeast"/>
        </w:trPr>
        <w:tc>
          <w:tcPr>
            <w:tcW w:w="1786" w:type="dxa"/>
            <w:vMerge w:val="continue"/>
            <w:tcBorders>
              <w:top w:val="double" w:color="auto" w:sz="4" w:space="0"/>
              <w:left w:val="double" w:color="auto" w:sz="4" w:space="0"/>
            </w:tcBorders>
            <w:vAlign w:val="center"/>
          </w:tcPr>
          <w:p w14:paraId="5CC21E72">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p>
        </w:tc>
        <w:tc>
          <w:tcPr>
            <w:tcW w:w="731" w:type="dxa"/>
            <w:tcBorders>
              <w:top w:val="double" w:color="auto" w:sz="4" w:space="0"/>
            </w:tcBorders>
            <w:vAlign w:val="center"/>
          </w:tcPr>
          <w:p w14:paraId="302EC421">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13d</w:t>
            </w:r>
          </w:p>
        </w:tc>
        <w:tc>
          <w:tcPr>
            <w:tcW w:w="11582" w:type="dxa"/>
            <w:tcBorders>
              <w:top w:val="double" w:color="auto" w:sz="4" w:space="0"/>
            </w:tcBorders>
            <w:vAlign w:val="center"/>
          </w:tcPr>
          <w:p w14:paraId="2AB0220C">
            <w:pPr>
              <w:keepNext w:val="0"/>
              <w:keepLines w:val="0"/>
              <w:pageBreakBefore w:val="0"/>
              <w:widowControl w:val="0"/>
              <w:numPr>
                <w:ilvl w:val="0"/>
                <w:numId w:val="0"/>
              </w:numPr>
              <w:shd w:val="clear"/>
              <w:kinsoku/>
              <w:wordWrap/>
              <w:overflowPunct/>
              <w:topLinePunct w:val="0"/>
              <w:autoSpaceDE/>
              <w:autoSpaceDN/>
              <w:bidi w:val="0"/>
              <w:adjustRightInd/>
              <w:snapToGrid/>
              <w:spacing w:line="336" w:lineRule="auto"/>
              <w:ind w:firstLine="0" w:firstLineChars="0"/>
              <w:jc w:val="both"/>
              <w:textAlignment w:val="auto"/>
              <w:rPr>
                <w:rFonts w:hint="eastAsia" w:ascii="Times New Roman" w:hAnsi="Times New Roman" w:eastAsia="Segoe UI" w:cs="Times New Roman"/>
                <w:i w:val="0"/>
                <w:iCs w:val="0"/>
                <w:caps w:val="0"/>
                <w:color w:val="auto"/>
                <w:spacing w:val="0"/>
                <w:sz w:val="21"/>
                <w:szCs w:val="21"/>
                <w:shd w:val="clear" w:fill="FFFFFF"/>
                <w:lang w:val="en-US" w:eastAsia="zh-CN" w:bidi="ar-SA"/>
              </w:rPr>
            </w:pPr>
            <w:r>
              <w:rPr>
                <w:rFonts w:hint="eastAsia" w:ascii="Times New Roman" w:hAnsi="Times New Roman" w:eastAsia="Segoe UI" w:cs="Times New Roman"/>
                <w:i w:val="0"/>
                <w:iCs w:val="0"/>
                <w:caps w:val="0"/>
                <w:color w:val="auto"/>
                <w:spacing w:val="0"/>
                <w:sz w:val="21"/>
                <w:szCs w:val="21"/>
                <w:shd w:val="clear" w:fill="FFFFFF"/>
                <w:lang w:val="en-US" w:eastAsia="zh-CN" w:bidi="ar-SA"/>
              </w:rPr>
              <w:t>Meta-analyses were performed using Stata software (version 17.0). The reported OR with its 95%CI was adopted as the pooled effect size. The most appropriate effect sizes adjusted for potential confounders were used if available. For studies that did not report ORs and 95% CIs, we converted the relevant data using multiple methods. For studies reporting regression coefficients, we converted them to ORs with 95%CIs using the method described by Hosmer [19] and Newton [20]. For studies reporting correlation coefficients, we converted them to ORs with 95% CIs using the formula proposed by Borenstein [21]. For studies in which no effect sizes were reported, we manually calculated them using the reported data or available statistics [22-23]. When studies reported effect sizes separately for different types of screen devices, we combined these effect sizes and used the pooled data for the meta-analysis [24]. For studies that reported effect sizes separately for multiple categories of screen time, we combined effect sizes across these categories using the method proposed by Hamling [25]. If a study provided effect sizes from multiple discrete samples with different population parameters (such as different cohorts), these samples were entered into the meta-analysis separately. Given the heterogeneity in the thresholds used to classify "high" and "low" screen time across the original studies, this meta-analysis used the "lowest exposure group" defined within each study as the unified reference to estimate pooled effect sizes. To account for this and other between-study variations, we used the DerSimonian and Laird random-effects model to estimate an overall OR and 95% CI.</w:t>
            </w:r>
          </w:p>
          <w:p w14:paraId="0A6709AB">
            <w:pPr>
              <w:keepNext w:val="0"/>
              <w:keepLines w:val="0"/>
              <w:pageBreakBefore w:val="0"/>
              <w:widowControl w:val="0"/>
              <w:numPr>
                <w:ilvl w:val="0"/>
                <w:numId w:val="0"/>
              </w:numPr>
              <w:shd w:val="clear"/>
              <w:kinsoku/>
              <w:wordWrap/>
              <w:overflowPunct/>
              <w:topLinePunct w:val="0"/>
              <w:autoSpaceDE/>
              <w:autoSpaceDN/>
              <w:bidi w:val="0"/>
              <w:adjustRightInd/>
              <w:snapToGrid/>
              <w:spacing w:line="336" w:lineRule="auto"/>
              <w:ind w:firstLine="0" w:firstLineChars="0"/>
              <w:jc w:val="both"/>
              <w:textAlignment w:val="auto"/>
              <w:rPr>
                <w:rFonts w:hint="eastAsia" w:ascii="Times New Roman" w:hAnsi="Times New Roman" w:eastAsia="Segoe UI" w:cs="Times New Roman"/>
                <w:i w:val="0"/>
                <w:iCs w:val="0"/>
                <w:caps w:val="0"/>
                <w:color w:val="auto"/>
                <w:spacing w:val="0"/>
                <w:sz w:val="21"/>
                <w:szCs w:val="21"/>
                <w:shd w:val="clear" w:fill="FFFFFF"/>
                <w:lang w:val="en-US" w:eastAsia="zh-CN" w:bidi="ar-SA"/>
              </w:rPr>
            </w:pPr>
            <w:r>
              <w:rPr>
                <w:rFonts w:hint="eastAsia" w:ascii="Times New Roman" w:hAnsi="Times New Roman" w:eastAsia="Segoe UI" w:cs="Times New Roman"/>
                <w:i w:val="0"/>
                <w:iCs w:val="0"/>
                <w:caps w:val="0"/>
                <w:color w:val="auto"/>
                <w:spacing w:val="0"/>
                <w:sz w:val="21"/>
                <w:szCs w:val="21"/>
                <w:shd w:val="clear" w:fill="FFFFFF"/>
                <w:lang w:val="en-US" w:eastAsia="zh-CN" w:bidi="ar-SA"/>
              </w:rPr>
              <w:t>Heterogeneity between studies was evaluated using Cochran's Q test (α = 0.05) and quantified by the I² statistic. Low heterogeneity between studies is indicated when I² ≤50% and P ≥0.1, whereas high heterogeneity between studies is indicated when I² &gt;50% and P &lt;0.1. To test the robustness of the meta-analysis results, sensitivity analyses were performed using the leave-one-out method. Publication bias was assessed by funnel plot asymmetry, and quantified using Begg's test [26] and Egger's test [27]. If significant publication bias was observed, the trim-and-fill method was applied to adjust the pooled results [28]. We further performed subgroup analyses by screen type, study quality, study period, and population to explore potential sources of heterogeneity. Statistical significance was defined as P &lt;0.05.</w:t>
            </w:r>
          </w:p>
          <w:p w14:paraId="1657E028">
            <w:pPr>
              <w:keepNext w:val="0"/>
              <w:keepLines w:val="0"/>
              <w:pageBreakBefore w:val="0"/>
              <w:widowControl w:val="0"/>
              <w:numPr>
                <w:ilvl w:val="0"/>
                <w:numId w:val="0"/>
              </w:numPr>
              <w:shd w:val="clear"/>
              <w:kinsoku/>
              <w:wordWrap/>
              <w:overflowPunct/>
              <w:topLinePunct w:val="0"/>
              <w:autoSpaceDE/>
              <w:autoSpaceDN/>
              <w:bidi w:val="0"/>
              <w:adjustRightInd/>
              <w:snapToGrid/>
              <w:spacing w:line="336"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shd w:val="clear" w:fill="FFFFFF"/>
                <w:lang w:val="en-US" w:eastAsia="zh-CN" w:bidi="ar-SA"/>
              </w:rPr>
            </w:pPr>
            <w:r>
              <w:rPr>
                <w:rFonts w:hint="eastAsia" w:ascii="Times New Roman" w:hAnsi="Times New Roman" w:eastAsia="Segoe UI" w:cs="Times New Roman"/>
                <w:i w:val="0"/>
                <w:iCs w:val="0"/>
                <w:caps w:val="0"/>
                <w:color w:val="auto"/>
                <w:spacing w:val="0"/>
                <w:sz w:val="21"/>
                <w:szCs w:val="21"/>
                <w:shd w:val="clear" w:fill="FFFFFF"/>
                <w:lang w:val="en-US" w:eastAsia="zh-CN" w:bidi="ar-SA"/>
              </w:rPr>
              <w:t>This study performed dose-response analyses using R software (version 4.4.3) to investigate the non-linear association between screen time and depression risk. Multiple levels of screen exposure time and their corresponding ORs with 95%CIs were extracted from eligible studies. All screen exposure doses were uniformly converted to "hours/day," with the lowest global exposure dose set as the reference category. To adequately capture potential non-linear relationships between variables, a one-stage restricted cubic spline (RCS) model was adopted and fitted with weighted least squares [29-30]. Four fixed knots were placed at the 5th, 35th, 65th, and 95th percentiles of the exposure distribution to balance flexibility and stability in model fitting. Owing to insufficient dose-response data for academic performance, anxiety, stress, sleep duration, BMI, and physical activity, dose-response analysis was performed only for depression, physical pain, sleep quality, and digital eye strain.</w:t>
            </w:r>
          </w:p>
        </w:tc>
        <w:tc>
          <w:tcPr>
            <w:tcW w:w="1260" w:type="dxa"/>
            <w:tcBorders>
              <w:top w:val="double" w:color="auto" w:sz="4" w:space="0"/>
              <w:right w:val="double" w:color="auto" w:sz="4" w:space="0"/>
            </w:tcBorders>
            <w:vAlign w:val="center"/>
          </w:tcPr>
          <w:p w14:paraId="7213BC1B">
            <w:pPr>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P</w:t>
            </w:r>
            <w:r>
              <w:rPr>
                <w:rFonts w:hint="eastAsia" w:eastAsia="宋体" w:cs="Times New Roman"/>
                <w:color w:val="auto"/>
                <w:sz w:val="21"/>
                <w:szCs w:val="21"/>
                <w:highlight w:val="none"/>
                <w:lang w:val="en-US" w:eastAsia="zh-CN"/>
              </w:rPr>
              <w:t>7</w:t>
            </w:r>
            <w:r>
              <w:rPr>
                <w:rFonts w:hint="eastAsia" w:ascii="Times New Roman" w:hAnsi="Times New Roman" w:eastAsia="宋体" w:cs="Times New Roman"/>
                <w:color w:val="auto"/>
                <w:sz w:val="21"/>
                <w:szCs w:val="21"/>
                <w:highlight w:val="none"/>
                <w:lang w:val="en-US" w:eastAsia="zh-CN"/>
              </w:rPr>
              <w:t>-P</w:t>
            </w:r>
            <w:r>
              <w:rPr>
                <w:rFonts w:hint="eastAsia" w:eastAsia="宋体" w:cs="Times New Roman"/>
                <w:color w:val="auto"/>
                <w:sz w:val="21"/>
                <w:szCs w:val="21"/>
                <w:highlight w:val="none"/>
                <w:lang w:val="en-US" w:eastAsia="zh-CN"/>
              </w:rPr>
              <w:t>8</w:t>
            </w:r>
          </w:p>
        </w:tc>
      </w:tr>
      <w:tr w14:paraId="040F3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0" w:hRule="atLeast"/>
        </w:trPr>
        <w:tc>
          <w:tcPr>
            <w:tcW w:w="1786" w:type="dxa"/>
            <w:vMerge w:val="continue"/>
            <w:tcBorders>
              <w:left w:val="double" w:color="auto" w:sz="4" w:space="0"/>
            </w:tcBorders>
            <w:vAlign w:val="center"/>
          </w:tcPr>
          <w:p w14:paraId="5625BD3D">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p>
        </w:tc>
        <w:tc>
          <w:tcPr>
            <w:tcW w:w="731" w:type="dxa"/>
            <w:vAlign w:val="center"/>
          </w:tcPr>
          <w:p w14:paraId="58F553EB">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13e</w:t>
            </w:r>
          </w:p>
        </w:tc>
        <w:tc>
          <w:tcPr>
            <w:tcW w:w="11582" w:type="dxa"/>
            <w:vAlign w:val="center"/>
          </w:tcPr>
          <w:p w14:paraId="3A9F3E51">
            <w:pPr>
              <w:keepNext w:val="0"/>
              <w:keepLines w:val="0"/>
              <w:pageBreakBefore w:val="0"/>
              <w:widowControl w:val="0"/>
              <w:numPr>
                <w:ilvl w:val="0"/>
                <w:numId w:val="0"/>
              </w:numPr>
              <w:shd w:val="clear"/>
              <w:kinsoku/>
              <w:wordWrap/>
              <w:overflowPunct/>
              <w:topLinePunct w:val="0"/>
              <w:autoSpaceDE/>
              <w:autoSpaceDN/>
              <w:bidi w:val="0"/>
              <w:adjustRightInd/>
              <w:snapToGrid/>
              <w:spacing w:line="336" w:lineRule="auto"/>
              <w:ind w:firstLine="0" w:firstLineChars="0"/>
              <w:jc w:val="left"/>
              <w:textAlignment w:val="auto"/>
              <w:rPr>
                <w:rFonts w:hint="default" w:ascii="Times New Roman" w:hAnsi="Times New Roman" w:eastAsia="Segoe UI" w:cs="Times New Roman"/>
                <w:i w:val="0"/>
                <w:iCs w:val="0"/>
                <w:caps w:val="0"/>
                <w:color w:val="auto"/>
                <w:spacing w:val="0"/>
                <w:sz w:val="21"/>
                <w:szCs w:val="21"/>
                <w:shd w:val="clear" w:fill="FFFFFF"/>
                <w:lang w:val="en-US" w:eastAsia="zh-CN" w:bidi="ar-SA"/>
              </w:rPr>
            </w:pP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Heterogeneity between studies was evaluated </w:t>
            </w:r>
            <w:r>
              <w:rPr>
                <w:rFonts w:hint="eastAsia" w:ascii="Times New Roman" w:hAnsi="Times New Roman" w:eastAsia="Segoe UI" w:cs="Times New Roman"/>
                <w:i w:val="0"/>
                <w:iCs w:val="0"/>
                <w:caps w:val="0"/>
                <w:color w:val="auto"/>
                <w:spacing w:val="0"/>
                <w:sz w:val="21"/>
                <w:szCs w:val="21"/>
                <w:shd w:val="clear" w:fill="FFFFFF"/>
                <w:lang w:val="en-US" w:eastAsia="zh-CN" w:bidi="ar-SA"/>
              </w:rPr>
              <w:t>using</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Cochran's Q test (α = 0.05) and quantified by the I² statistic. Low heterogeneity between studies </w:t>
            </w:r>
            <w:r>
              <w:rPr>
                <w:rFonts w:hint="eastAsia" w:ascii="Times New Roman" w:hAnsi="Times New Roman" w:eastAsia="Segoe UI" w:cs="Times New Roman"/>
                <w:i w:val="0"/>
                <w:iCs w:val="0"/>
                <w:caps w:val="0"/>
                <w:color w:val="auto"/>
                <w:spacing w:val="0"/>
                <w:sz w:val="21"/>
                <w:szCs w:val="21"/>
                <w:shd w:val="clear" w:fill="FFFFFF"/>
                <w:lang w:val="en-US" w:eastAsia="zh-CN" w:bidi="ar-SA"/>
              </w:rPr>
              <w:t>i</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s indicated when I² ≤50% and P ≥0.1, whereas high heterogeneity between studies </w:t>
            </w:r>
            <w:r>
              <w:rPr>
                <w:rFonts w:hint="eastAsia" w:ascii="Times New Roman" w:hAnsi="Times New Roman" w:eastAsia="Segoe UI" w:cs="Times New Roman"/>
                <w:i w:val="0"/>
                <w:iCs w:val="0"/>
                <w:caps w:val="0"/>
                <w:color w:val="auto"/>
                <w:spacing w:val="0"/>
                <w:sz w:val="21"/>
                <w:szCs w:val="21"/>
                <w:shd w:val="clear" w:fill="FFFFFF"/>
                <w:lang w:val="en-US" w:eastAsia="zh-CN" w:bidi="ar-SA"/>
              </w:rPr>
              <w:t>i</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s indicated when I² &gt;50% and P &lt;0.1. To test the robustness of the meta-analysis results, sensitivity analyses were performed using the leave-one-out method. Publication bias was </w:t>
            </w:r>
            <w:r>
              <w:rPr>
                <w:rFonts w:hint="eastAsia" w:ascii="Times New Roman" w:hAnsi="Times New Roman" w:eastAsia="Segoe UI" w:cs="Times New Roman"/>
                <w:i w:val="0"/>
                <w:iCs w:val="0"/>
                <w:caps w:val="0"/>
                <w:color w:val="auto"/>
                <w:spacing w:val="0"/>
                <w:sz w:val="21"/>
                <w:szCs w:val="21"/>
                <w:shd w:val="clear" w:fill="FFFFFF"/>
                <w:lang w:val="en-US" w:eastAsia="zh-CN" w:bidi="ar-SA"/>
              </w:rPr>
              <w:t>assessed</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by funnel plot asymmetry, and </w:t>
            </w:r>
            <w:r>
              <w:rPr>
                <w:rFonts w:hint="eastAsia" w:ascii="Times New Roman" w:hAnsi="Times New Roman" w:eastAsia="Segoe UI" w:cs="Times New Roman"/>
                <w:i w:val="0"/>
                <w:iCs w:val="0"/>
                <w:caps w:val="0"/>
                <w:color w:val="auto"/>
                <w:spacing w:val="0"/>
                <w:sz w:val="21"/>
                <w:szCs w:val="21"/>
                <w:shd w:val="clear" w:fill="FFFFFF"/>
                <w:lang w:val="en-US" w:eastAsia="zh-CN" w:bidi="ar-SA"/>
              </w:rPr>
              <w:t>quantified using</w:t>
            </w:r>
            <w:r>
              <w:rPr>
                <w:rFonts w:hint="default" w:ascii="Times New Roman" w:hAnsi="Times New Roman" w:eastAsia="Segoe UI" w:cs="Times New Roman"/>
                <w:i w:val="0"/>
                <w:iCs w:val="0"/>
                <w:caps w:val="0"/>
                <w:color w:val="auto"/>
                <w:spacing w:val="0"/>
                <w:sz w:val="21"/>
                <w:szCs w:val="21"/>
                <w:shd w:val="clear" w:fill="FFFFFF"/>
                <w:lang w:val="en-US" w:eastAsia="zh-CN" w:bidi="ar-SA"/>
              </w:rPr>
              <w:t xml:space="preserve"> Begg's test and Egger's test. If significant publication bias was observed, the trim-and-fill method was applied to adjust the pooled results.</w:t>
            </w:r>
          </w:p>
        </w:tc>
        <w:tc>
          <w:tcPr>
            <w:tcW w:w="1260" w:type="dxa"/>
            <w:tcBorders>
              <w:right w:val="double" w:color="auto" w:sz="4" w:space="0"/>
            </w:tcBorders>
            <w:vAlign w:val="center"/>
          </w:tcPr>
          <w:p w14:paraId="52DDAF30">
            <w:pPr>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P</w:t>
            </w:r>
            <w:r>
              <w:rPr>
                <w:rFonts w:hint="eastAsia" w:eastAsia="宋体" w:cs="Times New Roman"/>
                <w:color w:val="auto"/>
                <w:sz w:val="21"/>
                <w:szCs w:val="21"/>
                <w:highlight w:val="none"/>
                <w:lang w:val="en-US" w:eastAsia="zh-CN"/>
              </w:rPr>
              <w:t>7</w:t>
            </w:r>
            <w:r>
              <w:rPr>
                <w:rFonts w:hint="eastAsia" w:ascii="Times New Roman" w:hAnsi="Times New Roman" w:eastAsia="宋体" w:cs="Times New Roman"/>
                <w:color w:val="auto"/>
                <w:sz w:val="21"/>
                <w:szCs w:val="21"/>
                <w:highlight w:val="none"/>
                <w:lang w:val="en-US" w:eastAsia="zh-CN"/>
              </w:rPr>
              <w:t>-P</w:t>
            </w:r>
            <w:r>
              <w:rPr>
                <w:rFonts w:hint="eastAsia" w:eastAsia="宋体" w:cs="Times New Roman"/>
                <w:color w:val="auto"/>
                <w:sz w:val="21"/>
                <w:szCs w:val="21"/>
                <w:highlight w:val="none"/>
                <w:lang w:val="en-US" w:eastAsia="zh-CN"/>
              </w:rPr>
              <w:t>8</w:t>
            </w:r>
          </w:p>
        </w:tc>
      </w:tr>
      <w:tr w14:paraId="27254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1786" w:type="dxa"/>
            <w:vMerge w:val="continue"/>
            <w:tcBorders>
              <w:left w:val="double" w:color="auto" w:sz="4" w:space="0"/>
              <w:bottom w:val="double" w:color="auto" w:sz="4" w:space="0"/>
            </w:tcBorders>
            <w:vAlign w:val="center"/>
          </w:tcPr>
          <w:p w14:paraId="29210FEF">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p>
        </w:tc>
        <w:tc>
          <w:tcPr>
            <w:tcW w:w="731" w:type="dxa"/>
            <w:tcBorders>
              <w:bottom w:val="double" w:color="auto" w:sz="4" w:space="0"/>
            </w:tcBorders>
            <w:vAlign w:val="center"/>
          </w:tcPr>
          <w:p w14:paraId="758DF039">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13f</w:t>
            </w:r>
          </w:p>
        </w:tc>
        <w:tc>
          <w:tcPr>
            <w:tcW w:w="11582" w:type="dxa"/>
            <w:tcBorders>
              <w:bottom w:val="double" w:color="auto" w:sz="4" w:space="0"/>
            </w:tcBorders>
            <w:vAlign w:val="center"/>
          </w:tcPr>
          <w:p w14:paraId="7E32B23C">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left"/>
              <w:textAlignment w:val="auto"/>
              <w:rPr>
                <w:rFonts w:hint="default" w:ascii="Times New Roman" w:hAnsi="Times New Roman" w:eastAsia="Segoe UI" w:cs="Times New Roman"/>
                <w:i w:val="0"/>
                <w:iCs w:val="0"/>
                <w:caps w:val="0"/>
                <w:color w:val="auto"/>
                <w:spacing w:val="0"/>
                <w:sz w:val="21"/>
                <w:szCs w:val="21"/>
                <w:shd w:val="clear" w:fill="FFFFFF"/>
                <w:lang w:val="en-US" w:eastAsia="zh-CN" w:bidi="ar-SA"/>
              </w:rPr>
            </w:pP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To test the robustness of the meta-analysis results, sensitivity analyses were performed using the leave-one-out method.</w:t>
            </w:r>
          </w:p>
        </w:tc>
        <w:tc>
          <w:tcPr>
            <w:tcW w:w="1260" w:type="dxa"/>
            <w:tcBorders>
              <w:bottom w:val="double" w:color="auto" w:sz="4" w:space="0"/>
              <w:right w:val="double" w:color="auto" w:sz="4" w:space="0"/>
            </w:tcBorders>
            <w:vAlign w:val="center"/>
          </w:tcPr>
          <w:p w14:paraId="3B45FCD4">
            <w:pPr>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P</w:t>
            </w:r>
            <w:r>
              <w:rPr>
                <w:rFonts w:hint="eastAsia" w:eastAsia="宋体" w:cs="Times New Roman"/>
                <w:color w:val="auto"/>
                <w:sz w:val="21"/>
                <w:szCs w:val="21"/>
                <w:highlight w:val="none"/>
                <w:lang w:val="en-US" w:eastAsia="zh-CN"/>
              </w:rPr>
              <w:t>7</w:t>
            </w:r>
            <w:r>
              <w:rPr>
                <w:rFonts w:hint="eastAsia" w:ascii="Times New Roman" w:hAnsi="Times New Roman" w:eastAsia="宋体" w:cs="Times New Roman"/>
                <w:color w:val="auto"/>
                <w:sz w:val="21"/>
                <w:szCs w:val="21"/>
                <w:highlight w:val="none"/>
                <w:lang w:val="en-US" w:eastAsia="zh-CN"/>
              </w:rPr>
              <w:t>-P</w:t>
            </w:r>
            <w:r>
              <w:rPr>
                <w:rFonts w:hint="eastAsia" w:eastAsia="宋体" w:cs="Times New Roman"/>
                <w:color w:val="auto"/>
                <w:sz w:val="21"/>
                <w:szCs w:val="21"/>
                <w:highlight w:val="none"/>
                <w:lang w:val="en-US" w:eastAsia="zh-CN"/>
              </w:rPr>
              <w:t>8</w:t>
            </w:r>
          </w:p>
        </w:tc>
      </w:tr>
      <w:tr w14:paraId="5C454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trPr>
        <w:tc>
          <w:tcPr>
            <w:tcW w:w="1786" w:type="dxa"/>
            <w:tcBorders>
              <w:top w:val="double" w:color="auto" w:sz="4" w:space="0"/>
              <w:left w:val="double" w:color="auto" w:sz="4" w:space="0"/>
            </w:tcBorders>
            <w:vAlign w:val="center"/>
          </w:tcPr>
          <w:p w14:paraId="4459CE23">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Reporting bias assessment</w:t>
            </w:r>
          </w:p>
        </w:tc>
        <w:tc>
          <w:tcPr>
            <w:tcW w:w="731" w:type="dxa"/>
            <w:tcBorders>
              <w:top w:val="double" w:color="auto" w:sz="4" w:space="0"/>
            </w:tcBorders>
            <w:vAlign w:val="center"/>
          </w:tcPr>
          <w:p w14:paraId="33267C79">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14</w:t>
            </w:r>
          </w:p>
        </w:tc>
        <w:tc>
          <w:tcPr>
            <w:tcW w:w="11582" w:type="dxa"/>
            <w:tcBorders>
              <w:top w:val="double" w:color="auto" w:sz="4" w:space="0"/>
            </w:tcBorders>
            <w:vAlign w:val="center"/>
          </w:tcPr>
          <w:p w14:paraId="290DFE8C">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left"/>
              <w:textAlignment w:val="auto"/>
              <w:rPr>
                <w:rFonts w:hint="default" w:ascii="Times New Roman" w:hAnsi="Times New Roman" w:eastAsia="Segoe UI" w:cs="Times New Roman"/>
                <w:i w:val="0"/>
                <w:iCs w:val="0"/>
                <w:caps w:val="0"/>
                <w:color w:val="auto"/>
                <w:spacing w:val="0"/>
                <w:sz w:val="21"/>
                <w:szCs w:val="21"/>
                <w:highlight w:val="none"/>
                <w:shd w:val="clear" w:fill="FFFFFF"/>
                <w:lang w:val="en-US" w:eastAsia="zh-CN"/>
              </w:rPr>
            </w:pP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Publication bias was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assessed</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by funnel plot asymmetry, and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quantified using</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Begg's test and Egger's test. If significant publication bias was observed, the trim-and-fill method was applied to adjust the pooled results.</w:t>
            </w:r>
          </w:p>
        </w:tc>
        <w:tc>
          <w:tcPr>
            <w:tcW w:w="1260" w:type="dxa"/>
            <w:tcBorders>
              <w:top w:val="double" w:color="auto" w:sz="4" w:space="0"/>
              <w:right w:val="double" w:color="auto" w:sz="4" w:space="0"/>
            </w:tcBorders>
            <w:vAlign w:val="center"/>
          </w:tcPr>
          <w:p w14:paraId="3BB1DF31">
            <w:pPr>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P</w:t>
            </w:r>
            <w:r>
              <w:rPr>
                <w:rFonts w:hint="eastAsia" w:eastAsia="宋体" w:cs="Times New Roman"/>
                <w:color w:val="auto"/>
                <w:sz w:val="21"/>
                <w:szCs w:val="21"/>
                <w:highlight w:val="none"/>
                <w:lang w:val="en-US" w:eastAsia="zh-CN"/>
              </w:rPr>
              <w:t>7</w:t>
            </w:r>
            <w:r>
              <w:rPr>
                <w:rFonts w:hint="eastAsia" w:ascii="Times New Roman" w:hAnsi="Times New Roman" w:eastAsia="宋体" w:cs="Times New Roman"/>
                <w:color w:val="auto"/>
                <w:sz w:val="21"/>
                <w:szCs w:val="21"/>
                <w:highlight w:val="none"/>
                <w:lang w:val="en-US" w:eastAsia="zh-CN"/>
              </w:rPr>
              <w:t>-P</w:t>
            </w:r>
            <w:r>
              <w:rPr>
                <w:rFonts w:hint="eastAsia" w:eastAsia="宋体" w:cs="Times New Roman"/>
                <w:color w:val="auto"/>
                <w:sz w:val="21"/>
                <w:szCs w:val="21"/>
                <w:highlight w:val="none"/>
                <w:lang w:val="en-US" w:eastAsia="zh-CN"/>
              </w:rPr>
              <w:t>8</w:t>
            </w:r>
          </w:p>
        </w:tc>
      </w:tr>
      <w:tr w14:paraId="45277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1" w:hRule="atLeast"/>
        </w:trPr>
        <w:tc>
          <w:tcPr>
            <w:tcW w:w="1786" w:type="dxa"/>
            <w:tcBorders>
              <w:left w:val="double" w:color="auto" w:sz="4" w:space="0"/>
              <w:bottom w:val="double" w:color="auto" w:sz="4" w:space="0"/>
            </w:tcBorders>
            <w:vAlign w:val="center"/>
          </w:tcPr>
          <w:p w14:paraId="1BD21527">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Certainty assessment</w:t>
            </w:r>
          </w:p>
        </w:tc>
        <w:tc>
          <w:tcPr>
            <w:tcW w:w="731" w:type="dxa"/>
            <w:tcBorders>
              <w:bottom w:val="double" w:color="auto" w:sz="4" w:space="0"/>
            </w:tcBorders>
            <w:vAlign w:val="center"/>
          </w:tcPr>
          <w:p w14:paraId="3824FC71">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15</w:t>
            </w:r>
          </w:p>
        </w:tc>
        <w:tc>
          <w:tcPr>
            <w:tcW w:w="11582" w:type="dxa"/>
            <w:tcBorders>
              <w:bottom w:val="double" w:color="auto" w:sz="4" w:space="0"/>
            </w:tcBorders>
            <w:vAlign w:val="center"/>
          </w:tcPr>
          <w:p w14:paraId="250F0CD2">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left"/>
              <w:textAlignment w:val="auto"/>
              <w:rPr>
                <w:rFonts w:hint="default" w:ascii="Times New Roman" w:hAnsi="Times New Roman" w:eastAsia="Segoe UI" w:cs="Times New Roman"/>
                <w:i w:val="0"/>
                <w:iCs w:val="0"/>
                <w:caps w:val="0"/>
                <w:color w:val="auto"/>
                <w:spacing w:val="0"/>
                <w:sz w:val="21"/>
                <w:szCs w:val="21"/>
                <w:highlight w:val="none"/>
                <w:shd w:val="clear" w:fill="FFFFFF"/>
                <w:lang w:val="en-US" w:eastAsia="zh-CN"/>
              </w:rPr>
            </w:pP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The certainty of evidence</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for the included studies was assessed using the Grading of Recommendations, Assessment, Development and Evaluation</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(GRADE) framework.</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Evidence from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cross-sectional and longitudinal studies was</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initially considered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"low"</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certainty</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It</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was graded down if there w</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ere</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concern</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s</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regarding risk of bias</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(ROB)</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indirectness,</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inconsistency,</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imprecision</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or publication bias,</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as these factors reduce confidence in the estimated effects.</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I</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f there was no cause to downgrade,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it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was upgraded if applicable according to the GRADE criteria</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such as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large magnitude of effect, evidence of dose response).</w:t>
            </w:r>
          </w:p>
        </w:tc>
        <w:tc>
          <w:tcPr>
            <w:tcW w:w="1260" w:type="dxa"/>
            <w:tcBorders>
              <w:bottom w:val="double" w:color="auto" w:sz="4" w:space="0"/>
              <w:right w:val="double" w:color="auto" w:sz="4" w:space="0"/>
            </w:tcBorders>
            <w:vAlign w:val="center"/>
          </w:tcPr>
          <w:p w14:paraId="17521E33">
            <w:pPr>
              <w:keepNext w:val="0"/>
              <w:keepLines w:val="0"/>
              <w:pageBreakBefore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P6</w:t>
            </w:r>
            <w:r>
              <w:rPr>
                <w:rFonts w:hint="eastAsia" w:eastAsia="宋体" w:cs="Times New Roman"/>
                <w:color w:val="auto"/>
                <w:sz w:val="21"/>
                <w:szCs w:val="21"/>
                <w:highlight w:val="none"/>
                <w:lang w:val="en-US" w:eastAsia="zh-CN"/>
              </w:rPr>
              <w:t>-P7</w:t>
            </w:r>
          </w:p>
        </w:tc>
      </w:tr>
      <w:tr w14:paraId="5F112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359" w:type="dxa"/>
            <w:gridSpan w:val="4"/>
            <w:tcBorders>
              <w:top w:val="double" w:color="auto" w:sz="4" w:space="0"/>
              <w:left w:val="double" w:color="auto" w:sz="4" w:space="0"/>
              <w:bottom w:val="double" w:color="auto" w:sz="4" w:space="0"/>
              <w:right w:val="double" w:color="auto" w:sz="4" w:space="0"/>
            </w:tcBorders>
            <w:shd w:val="clear" w:color="auto" w:fill="FFFFCC"/>
            <w:vAlign w:val="center"/>
          </w:tcPr>
          <w:p w14:paraId="678504E8">
            <w:pPr>
              <w:pStyle w:val="15"/>
              <w:keepNext w:val="0"/>
              <w:keepLines w:val="0"/>
              <w:pageBreakBefore w:val="0"/>
              <w:kinsoku/>
              <w:wordWrap/>
              <w:overflowPunct/>
              <w:topLinePunct w:val="0"/>
              <w:bidi w:val="0"/>
              <w:snapToGrid/>
              <w:spacing w:line="240" w:lineRule="auto"/>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RESULTS</w:t>
            </w:r>
          </w:p>
        </w:tc>
      </w:tr>
      <w:tr w14:paraId="0A241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1786" w:type="dxa"/>
            <w:vMerge w:val="restart"/>
            <w:tcBorders>
              <w:top w:val="double" w:color="auto" w:sz="4" w:space="0"/>
              <w:left w:val="double" w:color="auto" w:sz="4" w:space="0"/>
              <w:bottom w:val="double" w:color="auto" w:sz="4" w:space="0"/>
            </w:tcBorders>
            <w:vAlign w:val="center"/>
          </w:tcPr>
          <w:p w14:paraId="2F9FC52F">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Study selection</w:t>
            </w:r>
          </w:p>
        </w:tc>
        <w:tc>
          <w:tcPr>
            <w:tcW w:w="731" w:type="dxa"/>
            <w:tcBorders>
              <w:top w:val="double" w:color="auto" w:sz="4" w:space="0"/>
              <w:bottom w:val="double" w:color="auto" w:sz="4" w:space="0"/>
            </w:tcBorders>
            <w:vAlign w:val="center"/>
          </w:tcPr>
          <w:p w14:paraId="399B0A9B">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16a</w:t>
            </w:r>
          </w:p>
        </w:tc>
        <w:tc>
          <w:tcPr>
            <w:tcW w:w="11582" w:type="dxa"/>
            <w:tcBorders>
              <w:top w:val="double" w:color="auto" w:sz="4" w:space="0"/>
              <w:bottom w:val="double" w:color="auto" w:sz="4" w:space="0"/>
            </w:tcBorders>
            <w:vAlign w:val="center"/>
          </w:tcPr>
          <w:p w14:paraId="39DC2225">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left"/>
              <w:textAlignment w:val="auto"/>
              <w:rPr>
                <w:rFonts w:hint="default" w:ascii="Times New Roman" w:hAnsi="Times New Roman" w:eastAsia="Segoe UI" w:cs="Times New Roman"/>
                <w:i w:val="0"/>
                <w:iCs w:val="0"/>
                <w:caps w:val="0"/>
                <w:color w:val="auto"/>
                <w:spacing w:val="0"/>
                <w:sz w:val="21"/>
                <w:szCs w:val="21"/>
                <w:highlight w:val="none"/>
                <w:shd w:val="clear" w:fill="FFFFFF"/>
                <w:lang w:val="en-US" w:eastAsia="zh-CN"/>
              </w:rPr>
            </w:pP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A total of 15532 records were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identified</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from database searches, and 2 additional records were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identified</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through other sources. After screening against the inclusion and exclusion criteria, 72 studies were included for analysis, including 69 cross-sectional studies and 3 longitudinal studies.</w:t>
            </w:r>
            <w:r>
              <w:rPr>
                <w:rFonts w:hint="eastAsia" w:eastAsia="Segoe UI" w:cs="Times New Roman"/>
                <w:i w:val="0"/>
                <w:iCs w:val="0"/>
                <w:caps w:val="0"/>
                <w:color w:val="auto"/>
                <w:spacing w:val="0"/>
                <w:sz w:val="21"/>
                <w:szCs w:val="21"/>
                <w:highlight w:val="none"/>
                <w:shd w:val="clear"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The study selection process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and results are</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illustrated in Figure 1.</w:t>
            </w:r>
          </w:p>
          <w:p w14:paraId="44328218">
            <w:pPr>
              <w:pStyle w:val="2"/>
              <w:ind w:left="0" w:leftChars="0" w:firstLine="0" w:firstLineChars="0"/>
              <w:jc w:val="left"/>
              <w:rPr>
                <w:rFonts w:hint="default"/>
                <w:color w:val="auto"/>
                <w:lang w:val="en-US" w:eastAsia="zh-CN"/>
              </w:rPr>
            </w:pPr>
            <w:r>
              <w:rPr>
                <w:rFonts w:hint="default"/>
                <w:color w:val="auto"/>
                <w:lang w:val="en-US" w:eastAsia="zh-CN"/>
              </w:rPr>
              <w:drawing>
                <wp:inline distT="0" distB="0" distL="114300" distR="114300">
                  <wp:extent cx="3959860" cy="3180715"/>
                  <wp:effectExtent l="0" t="0" r="2540" b="4445"/>
                  <wp:docPr id="2" name="图片 2" descr="Figure 1  Flowchart of the study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1  Flowchart of the study selection"/>
                          <pic:cNvPicPr>
                            <a:picLocks noChangeAspect="1"/>
                          </pic:cNvPicPr>
                        </pic:nvPicPr>
                        <pic:blipFill>
                          <a:blip r:embed="rId5"/>
                          <a:stretch>
                            <a:fillRect/>
                          </a:stretch>
                        </pic:blipFill>
                        <pic:spPr>
                          <a:xfrm>
                            <a:off x="0" y="0"/>
                            <a:ext cx="3959860" cy="3180715"/>
                          </a:xfrm>
                          <a:prstGeom prst="rect">
                            <a:avLst/>
                          </a:prstGeom>
                        </pic:spPr>
                      </pic:pic>
                    </a:graphicData>
                  </a:graphic>
                </wp:inline>
              </w:drawing>
            </w:r>
          </w:p>
          <w:p w14:paraId="0A99F21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color w:val="auto"/>
                <w:lang w:val="en-US" w:eastAsia="zh-CN"/>
              </w:rPr>
            </w:pPr>
            <w:r>
              <w:rPr>
                <w:rFonts w:hint="default" w:ascii="Times New Roman" w:hAnsi="Times New Roman" w:eastAsia="黑体" w:cs="Times New Roman"/>
                <w:b/>
                <w:bCs/>
                <w:caps w:val="0"/>
                <w:color w:val="auto"/>
                <w:kern w:val="0"/>
                <w:sz w:val="21"/>
                <w:szCs w:val="21"/>
                <w:highlight w:val="none"/>
                <w:lang w:bidi="ar"/>
              </w:rPr>
              <w:t xml:space="preserve">Figure 1 </w:t>
            </w:r>
            <w:r>
              <w:rPr>
                <w:rFonts w:hint="eastAsia" w:ascii="Times New Roman" w:hAnsi="Times New Roman" w:eastAsia="黑体" w:cs="Times New Roman"/>
                <w:b/>
                <w:bCs/>
                <w:caps w:val="0"/>
                <w:color w:val="auto"/>
                <w:kern w:val="0"/>
                <w:sz w:val="21"/>
                <w:szCs w:val="21"/>
                <w:highlight w:val="none"/>
                <w:lang w:val="en-US" w:eastAsia="zh-CN" w:bidi="ar"/>
              </w:rPr>
              <w:t xml:space="preserve"> </w:t>
            </w:r>
            <w:r>
              <w:rPr>
                <w:rFonts w:hint="default" w:ascii="Times New Roman" w:hAnsi="Times New Roman" w:eastAsia="黑体" w:cs="Times New Roman"/>
                <w:b w:val="0"/>
                <w:bCs w:val="0"/>
                <w:caps w:val="0"/>
                <w:color w:val="auto"/>
                <w:kern w:val="0"/>
                <w:sz w:val="21"/>
                <w:szCs w:val="21"/>
                <w:highlight w:val="none"/>
                <w:lang w:bidi="ar"/>
              </w:rPr>
              <w:t>Flowchart of the study selection</w:t>
            </w:r>
          </w:p>
        </w:tc>
        <w:tc>
          <w:tcPr>
            <w:tcW w:w="1260" w:type="dxa"/>
            <w:tcBorders>
              <w:top w:val="double" w:color="auto" w:sz="4" w:space="0"/>
              <w:bottom w:val="double" w:color="auto" w:sz="4" w:space="0"/>
              <w:right w:val="double" w:color="auto" w:sz="4" w:space="0"/>
            </w:tcBorders>
            <w:vAlign w:val="center"/>
          </w:tcPr>
          <w:p w14:paraId="5FA4DE66">
            <w:pPr>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lang w:val="en-US"/>
              </w:rPr>
            </w:pPr>
            <w:r>
              <w:rPr>
                <w:rFonts w:hint="eastAsia" w:eastAsia="宋体" w:cs="Times New Roman"/>
                <w:color w:val="auto"/>
                <w:sz w:val="21"/>
                <w:szCs w:val="21"/>
                <w:highlight w:val="none"/>
                <w:lang w:val="en-US" w:eastAsia="zh-CN"/>
              </w:rPr>
              <w:t>P8</w:t>
            </w:r>
          </w:p>
        </w:tc>
      </w:tr>
      <w:tr w14:paraId="0F285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1" w:hRule="atLeast"/>
        </w:trPr>
        <w:tc>
          <w:tcPr>
            <w:tcW w:w="1786" w:type="dxa"/>
            <w:vMerge w:val="continue"/>
            <w:tcBorders>
              <w:top w:val="double" w:color="auto" w:sz="4" w:space="0"/>
              <w:left w:val="double" w:color="auto" w:sz="4" w:space="0"/>
            </w:tcBorders>
            <w:vAlign w:val="center"/>
          </w:tcPr>
          <w:p w14:paraId="0136B10E">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p>
        </w:tc>
        <w:tc>
          <w:tcPr>
            <w:tcW w:w="731" w:type="dxa"/>
            <w:tcBorders>
              <w:top w:val="double" w:color="auto" w:sz="4" w:space="0"/>
            </w:tcBorders>
            <w:vAlign w:val="center"/>
          </w:tcPr>
          <w:p w14:paraId="5791A884">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16b</w:t>
            </w:r>
          </w:p>
        </w:tc>
        <w:tc>
          <w:tcPr>
            <w:tcW w:w="11582" w:type="dxa"/>
            <w:tcBorders>
              <w:top w:val="double" w:color="auto" w:sz="4" w:space="0"/>
            </w:tcBorders>
            <w:vAlign w:val="center"/>
          </w:tcPr>
          <w:p w14:paraId="414DF4B0">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highlight w:val="none"/>
                <w:shd w:val="clear" w:fill="FFFFFF"/>
                <w:lang w:val="en-US" w:eastAsia="zh-CN"/>
              </w:rPr>
            </w:pP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Cite studies that might appear to meet the inclusion criteria, but which were excluded, They may be：</w:t>
            </w:r>
          </w:p>
          <w:p w14:paraId="33804863">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highlight w:val="none"/>
                <w:shd w:val="clear" w:fill="FFFFFF"/>
                <w:lang w:val="en-US" w:eastAsia="zh-CN"/>
              </w:rPr>
            </w:pPr>
            <w:r>
              <w:rPr>
                <w:rFonts w:hint="default" w:ascii="Times New Roman" w:hAnsi="Times New Roman" w:eastAsia="Segoe UI" w:cs="Times New Roman"/>
                <w:i w:val="0"/>
                <w:iCs w:val="0"/>
                <w:caps w:val="0"/>
                <w:color w:val="auto"/>
                <w:spacing w:val="0"/>
                <w:sz w:val="21"/>
                <w:szCs w:val="21"/>
                <w:shd w:val="clear" w:fill="FFFFFF"/>
                <w:lang w:val="en-US" w:eastAsia="zh-CN" w:bidi="ar-SA"/>
              </w:rPr>
              <w:t>(1)</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studies that did not report any relevant statistical data;</w:t>
            </w:r>
          </w:p>
          <w:p w14:paraId="0CD5ECAC">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highlight w:val="none"/>
                <w:shd w:val="clear" w:fill="FFFFFF"/>
                <w:lang w:val="en-US" w:eastAsia="zh-CN"/>
              </w:rPr>
            </w:pP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(2) studies focusing on screen content (such as violent video games) or electromagnetic radiation;</w:t>
            </w:r>
          </w:p>
          <w:p w14:paraId="3B286EEE">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highlight w:val="none"/>
                <w:shd w:val="clear" w:fill="FFFFFF"/>
                <w:lang w:val="en-US" w:eastAsia="zh-CN"/>
              </w:rPr>
            </w:pP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(3) </w:t>
            </w:r>
            <w:r>
              <w:rPr>
                <w:rFonts w:hint="default" w:ascii="Times New Roman" w:hAnsi="Times New Roman" w:eastAsia="宋体" w:cs="Times New Roman"/>
                <w:color w:val="auto"/>
                <w:szCs w:val="21"/>
                <w:highlight w:val="none"/>
                <w:shd w:val="clear" w:fill="FFFFFF"/>
                <w:lang w:eastAsia="zh-CN"/>
              </w:rPr>
              <w:t>h</w:t>
            </w:r>
            <w:r>
              <w:rPr>
                <w:rFonts w:hint="default" w:ascii="Times New Roman" w:hAnsi="Times New Roman" w:eastAsia="Segoe UI" w:cs="Times New Roman"/>
                <w:color w:val="auto"/>
                <w:szCs w:val="21"/>
                <w:highlight w:val="none"/>
                <w:shd w:val="clear" w:fill="FFFFFF"/>
              </w:rPr>
              <w:t>aving severe diseases that may affect the study results (e.g., ocular diseases, mental disorders, and various chronic diseases)</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w:t>
            </w:r>
          </w:p>
          <w:p w14:paraId="368894C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宋体" w:cs="Times New Roman"/>
                <w:color w:val="auto"/>
                <w:szCs w:val="21"/>
                <w:highlight w:val="none"/>
                <w:shd w:val="clear" w:fill="FFFFFF"/>
                <w:lang w:val="en-US" w:eastAsia="zh-CN"/>
              </w:rPr>
            </w:pP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(4) </w:t>
            </w:r>
            <w:r>
              <w:rPr>
                <w:rFonts w:hint="default" w:ascii="Times New Roman" w:hAnsi="Times New Roman" w:eastAsia="Segoe UI" w:cs="Times New Roman"/>
                <w:color w:val="auto"/>
                <w:szCs w:val="21"/>
                <w:highlight w:val="none"/>
                <w:shd w:val="clear" w:fill="FFFFFF"/>
              </w:rPr>
              <w:t>chronic use of any medication that could potentially interfere with the study outcomes, including but not limited to psychotropic agents and sedative-hypnotic drugs</w:t>
            </w:r>
            <w:r>
              <w:rPr>
                <w:rFonts w:hint="default" w:ascii="Times New Roman" w:hAnsi="Times New Roman" w:eastAsia="宋体" w:cs="Times New Roman"/>
                <w:color w:val="auto"/>
                <w:szCs w:val="21"/>
                <w:highlight w:val="none"/>
                <w:shd w:val="clear" w:fill="FFFFFF"/>
                <w:lang w:val="en-US" w:eastAsia="zh-CN"/>
              </w:rPr>
              <w:t>;</w:t>
            </w:r>
          </w:p>
          <w:p w14:paraId="59CA8257">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highlight w:val="none"/>
                <w:shd w:val="clear" w:fill="FFFFFF"/>
                <w:lang w:val="en-US" w:eastAsia="zh-CN"/>
              </w:rPr>
            </w:pP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(5) reviews, conference abstracts, letters, and duplicate studies.</w:t>
            </w:r>
          </w:p>
        </w:tc>
        <w:tc>
          <w:tcPr>
            <w:tcW w:w="1260" w:type="dxa"/>
            <w:tcBorders>
              <w:top w:val="double" w:color="auto" w:sz="4" w:space="0"/>
              <w:right w:val="double" w:color="auto" w:sz="4" w:space="0"/>
            </w:tcBorders>
            <w:vAlign w:val="center"/>
          </w:tcPr>
          <w:p w14:paraId="2EA2D5E6">
            <w:pPr>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lang w:val="en-US"/>
              </w:rPr>
            </w:pPr>
            <w:r>
              <w:rPr>
                <w:rFonts w:hint="eastAsia" w:ascii="Times New Roman" w:hAnsi="Times New Roman" w:eastAsia="Segoe UI" w:cs="Times New Roman"/>
                <w:i w:val="0"/>
                <w:iCs w:val="0"/>
                <w:caps w:val="0"/>
                <w:color w:val="auto"/>
                <w:spacing w:val="0"/>
                <w:sz w:val="21"/>
                <w:szCs w:val="21"/>
                <w:highlight w:val="none"/>
                <w:shd w:val="clear" w:fill="FFFFFF"/>
                <w:lang w:val="en-US" w:eastAsia="zh-CN" w:bidi="ar-SA"/>
              </w:rPr>
              <w:t>P</w:t>
            </w:r>
            <w:r>
              <w:rPr>
                <w:rFonts w:hint="eastAsia" w:eastAsia="Segoe UI" w:cs="Times New Roman"/>
                <w:i w:val="0"/>
                <w:iCs w:val="0"/>
                <w:caps w:val="0"/>
                <w:color w:val="auto"/>
                <w:spacing w:val="0"/>
                <w:sz w:val="21"/>
                <w:szCs w:val="21"/>
                <w:highlight w:val="none"/>
                <w:shd w:val="clear" w:fill="FFFFFF"/>
                <w:lang w:val="en-US" w:eastAsia="zh-CN" w:bidi="ar-SA"/>
              </w:rPr>
              <w:t>5-P6</w:t>
            </w:r>
          </w:p>
        </w:tc>
      </w:tr>
      <w:tr w14:paraId="030F8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786" w:type="dxa"/>
            <w:tcBorders>
              <w:left w:val="double" w:color="auto" w:sz="4" w:space="0"/>
            </w:tcBorders>
            <w:vAlign w:val="center"/>
          </w:tcPr>
          <w:p w14:paraId="6E94C4AA">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Study characteristics</w:t>
            </w:r>
          </w:p>
        </w:tc>
        <w:tc>
          <w:tcPr>
            <w:tcW w:w="731" w:type="dxa"/>
            <w:vAlign w:val="center"/>
          </w:tcPr>
          <w:p w14:paraId="4A8F8E3A">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17</w:t>
            </w:r>
          </w:p>
        </w:tc>
        <w:tc>
          <w:tcPr>
            <w:tcW w:w="11582" w:type="dxa"/>
            <w:vAlign w:val="center"/>
          </w:tcPr>
          <w:p w14:paraId="4AEFE244">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highlight w:val="none"/>
                <w:shd w:val="clear" w:fill="FFFFFF"/>
                <w:lang w:val="en-US" w:eastAsia="zh-CN"/>
              </w:rPr>
            </w:pP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A total of 72 independent studies (73 independent research datasets) from 27 countries were included in this systematic review. These studies were published between 2009 and 2024, comprising 71633 university students (including 28845 males, 40146 females, and 2642 students with unreported gender), all of whom had no prior history of the target outcomes (e.g., mental disorders, ocular diseases, and various chronic diseases) or long-term medication use for these conditions. Among these studies, Regarding mental health, 32 studies used standardized scales to assess the associations between screen time and depression (17 studies) [3, 9-10, 40-45, 54-56, 89-92], anxiety (9 studies) [3, 9-10, 41, 44-45, 51, 89], and stress (6 studies) [3, 41, 53, 79-80]. Regarding sleep outcomes, 8 studies assessed sleep duration (via self-report) [4, 6, 31-32, 40, 43, 73, 81], and 25 studies assessed sleep quality (primarily using the Pittsburgh Sleep Quality Index (PSQI)) [3-4, 6-7, 9-10, 31-34, 43-48, 56, 79-83, 88-89]. In terms of somatic symptoms, 9 studies explored the association between screen time and physical pain via self-report [35, 52, 59, 83-88]. For functional and behavioral indicators, 4 studies evaluated the correlation between screen time and academic performance using grade point average (GPA) [14, 50, 65, 77]; 26 studies assessed digital eye strain with standardized tools such as the CVS questionnaire [7, 16-17, 36-39, 57-72, 82-84]; and 5 studies evaluated physical activity level using the International Physical Activity Questionnaire (IPAQ) [3, 12, 74-75]. In addition, another 5 studies analyzed the correlation between screen time and BMI [3, 49, 76, 78]. The studies were conducted in the following regions: Asia (n=53), Europe (n=5), South America (n=3), Africa (n=5), and North America (n=7). The basic characteristics of the included studies are presented in Table 1.</w:t>
            </w:r>
          </w:p>
        </w:tc>
        <w:tc>
          <w:tcPr>
            <w:tcW w:w="1260" w:type="dxa"/>
            <w:tcBorders>
              <w:right w:val="double" w:color="auto" w:sz="4" w:space="0"/>
            </w:tcBorders>
            <w:vAlign w:val="center"/>
          </w:tcPr>
          <w:p w14:paraId="7C1C4E52">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eastAsia="Times New Roman" w:cs="Times New Roman"/>
                <w:color w:val="auto"/>
                <w:sz w:val="21"/>
                <w:szCs w:val="21"/>
                <w:highlight w:val="none"/>
                <w:lang w:val="en-US" w:eastAsia="en-CA" w:bidi="ar-SA"/>
              </w:rPr>
            </w:pPr>
            <w:r>
              <w:rPr>
                <w:rFonts w:hint="eastAsia" w:ascii="Times New Roman" w:hAnsi="Times New Roman" w:eastAsia="Segoe UI" w:cs="Times New Roman"/>
                <w:i w:val="0"/>
                <w:iCs w:val="0"/>
                <w:caps w:val="0"/>
                <w:color w:val="auto"/>
                <w:spacing w:val="0"/>
                <w:sz w:val="21"/>
                <w:szCs w:val="21"/>
                <w:highlight w:val="none"/>
                <w:shd w:val="clear" w:fill="FFFFFF"/>
                <w:lang w:val="en-US" w:eastAsia="zh-CN" w:bidi="ar-SA"/>
              </w:rPr>
              <w:t>P8-P9</w:t>
            </w:r>
          </w:p>
        </w:tc>
      </w:tr>
      <w:tr w14:paraId="0A1AA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86" w:type="dxa"/>
            <w:tcBorders>
              <w:left w:val="double" w:color="auto" w:sz="4" w:space="0"/>
            </w:tcBorders>
            <w:vAlign w:val="center"/>
          </w:tcPr>
          <w:p w14:paraId="566FB0BE">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Risk of bias in studies</w:t>
            </w:r>
          </w:p>
        </w:tc>
        <w:tc>
          <w:tcPr>
            <w:tcW w:w="731" w:type="dxa"/>
            <w:vAlign w:val="center"/>
          </w:tcPr>
          <w:p w14:paraId="21163CE7">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18</w:t>
            </w:r>
          </w:p>
        </w:tc>
        <w:tc>
          <w:tcPr>
            <w:tcW w:w="11582" w:type="dxa"/>
            <w:vAlign w:val="center"/>
          </w:tcPr>
          <w:p w14:paraId="2D55FF1F">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Segoe UI" w:cs="Times New Roman"/>
                <w:i w:val="0"/>
                <w:iCs w:val="0"/>
                <w:caps w:val="0"/>
                <w:color w:val="auto"/>
                <w:spacing w:val="0"/>
                <w:sz w:val="21"/>
                <w:szCs w:val="21"/>
                <w:highlight w:val="none"/>
                <w:shd w:val="clear" w:fill="FFFFFF"/>
                <w:lang w:val="en-US" w:eastAsia="zh-CN"/>
              </w:rPr>
            </w:pP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The GRADE evidence quality assessments and JBI risk of bias evaluation results are shown in Supplement </w:t>
            </w:r>
            <w:r>
              <w:rPr>
                <w:rFonts w:hint="eastAsia" w:eastAsia="Segoe UI" w:cs="Times New Roman"/>
                <w:i w:val="0"/>
                <w:iCs w:val="0"/>
                <w:caps w:val="0"/>
                <w:color w:val="auto"/>
                <w:spacing w:val="0"/>
                <w:sz w:val="21"/>
                <w:szCs w:val="21"/>
                <w:highlight w:val="none"/>
                <w:shd w:val="clear" w:fill="FFFFFF"/>
                <w:lang w:val="en-US" w:eastAsia="zh-CN"/>
              </w:rPr>
              <w:t>file</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(Tables S1 - S3).</w:t>
            </w:r>
          </w:p>
        </w:tc>
        <w:tc>
          <w:tcPr>
            <w:tcW w:w="1260" w:type="dxa"/>
            <w:tcBorders>
              <w:right w:val="double" w:color="auto" w:sz="4" w:space="0"/>
            </w:tcBorders>
            <w:vAlign w:val="center"/>
          </w:tcPr>
          <w:p w14:paraId="5F783CB9">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eastAsia="Segoe UI" w:cs="Times New Roman"/>
                <w:i w:val="0"/>
                <w:iCs w:val="0"/>
                <w:caps w:val="0"/>
                <w:color w:val="auto"/>
                <w:spacing w:val="0"/>
                <w:sz w:val="21"/>
                <w:szCs w:val="21"/>
                <w:highlight w:val="none"/>
                <w:shd w:val="clear" w:fill="FFFFFF"/>
                <w:lang w:val="en-US" w:eastAsia="zh-CN" w:bidi="ar-SA"/>
              </w:rPr>
            </w:pPr>
            <w:r>
              <w:rPr>
                <w:rFonts w:hint="eastAsia" w:ascii="Times New Roman" w:hAnsi="Times New Roman" w:cs="Times New Roman"/>
                <w:color w:val="auto"/>
                <w:sz w:val="18"/>
                <w:szCs w:val="18"/>
                <w:highlight w:val="none"/>
                <w:lang w:val="en-US" w:eastAsia="zh-CN"/>
              </w:rPr>
              <w:t>Supplement file</w:t>
            </w:r>
          </w:p>
        </w:tc>
      </w:tr>
      <w:tr w14:paraId="2368D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1786" w:type="dxa"/>
            <w:tcBorders>
              <w:left w:val="double" w:color="auto" w:sz="4" w:space="0"/>
              <w:bottom w:val="double" w:color="auto" w:sz="4" w:space="0"/>
            </w:tcBorders>
            <w:vAlign w:val="center"/>
          </w:tcPr>
          <w:p w14:paraId="6A1A5EF1">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Results of individual studies</w:t>
            </w:r>
          </w:p>
        </w:tc>
        <w:tc>
          <w:tcPr>
            <w:tcW w:w="731" w:type="dxa"/>
            <w:tcBorders>
              <w:bottom w:val="double" w:color="auto" w:sz="4" w:space="0"/>
            </w:tcBorders>
            <w:vAlign w:val="center"/>
          </w:tcPr>
          <w:p w14:paraId="180237E8">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19</w:t>
            </w:r>
          </w:p>
        </w:tc>
        <w:tc>
          <w:tcPr>
            <w:tcW w:w="11582" w:type="dxa"/>
            <w:tcBorders>
              <w:bottom w:val="double" w:color="auto" w:sz="4" w:space="0"/>
            </w:tcBorders>
          </w:tcPr>
          <w:p w14:paraId="687EF5DB">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highlight w:val="none"/>
                <w:shd w:val="clear" w:fill="FFFFFF"/>
                <w:lang w:val="en-US" w:eastAsia="zh-CN"/>
              </w:rPr>
            </w:pP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Meta-analysis results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showed</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that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screen time was significantly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associated</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with an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increased risk of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depression</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(OR=1.93; 95%CI: 1.75-2.12)</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anxiety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(OR=1.55; 95%CI: 1.36-1.78)</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stress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(OR=1.67; 95%CI: 1.35-2.07)</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physical pain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(OR=1.70; 95%CI: 1.31-2.20)</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sleep quality</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d</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eterioration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(OR=1.12; 95%CI: 1.06-1.18)</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digital eye strain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(OR=1.96; 95%CI: 1.67-2.31)</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insufficient</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physical activity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(OR=1.29; 95%CI: 1.01-1.65)</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and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reduced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academic performance</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(OR=1.79; 95%CI: 1.29-2.48).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There was no significant association between screen time and sleep duration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(OR=1.05; 95%CI: 0.93-1.19)</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and body</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mass</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index</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(BMI) (OR=1.37; 95%CI: 0.99-1.90). Dose-response analysis further revealed that after daily screen time exceeded 2.5 hours, the risks of depression and digital eye strain increased sharply, with the risks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increasing</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by more than 15% for each additional hour of screen exposure.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Similarly, when</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daily screen time exceeded 3 hours, the risks of physical pain and deterioration in sleep quality increased significantly, with the risk elevations exceeding 5% and 10% respectively for each additional hour of screen exposure.</w:t>
            </w:r>
          </w:p>
        </w:tc>
        <w:tc>
          <w:tcPr>
            <w:tcW w:w="1260" w:type="dxa"/>
            <w:tcBorders>
              <w:bottom w:val="double" w:color="auto" w:sz="4" w:space="0"/>
              <w:right w:val="double" w:color="auto" w:sz="4" w:space="0"/>
            </w:tcBorders>
            <w:vAlign w:val="center"/>
          </w:tcPr>
          <w:p w14:paraId="0C5B83FA">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P8-P14</w:t>
            </w:r>
          </w:p>
        </w:tc>
      </w:tr>
      <w:tr w14:paraId="29EA5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4" w:hRule="atLeast"/>
        </w:trPr>
        <w:tc>
          <w:tcPr>
            <w:tcW w:w="1786" w:type="dxa"/>
            <w:vMerge w:val="restart"/>
            <w:tcBorders>
              <w:top w:val="double" w:color="auto" w:sz="4" w:space="0"/>
              <w:left w:val="double" w:color="auto" w:sz="4" w:space="0"/>
            </w:tcBorders>
            <w:vAlign w:val="center"/>
          </w:tcPr>
          <w:p w14:paraId="58A58BD9">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Results of syntheses</w:t>
            </w:r>
          </w:p>
        </w:tc>
        <w:tc>
          <w:tcPr>
            <w:tcW w:w="731" w:type="dxa"/>
            <w:tcBorders>
              <w:top w:val="double" w:color="auto" w:sz="4" w:space="0"/>
            </w:tcBorders>
            <w:vAlign w:val="center"/>
          </w:tcPr>
          <w:p w14:paraId="26E41479">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20a</w:t>
            </w:r>
          </w:p>
        </w:tc>
        <w:tc>
          <w:tcPr>
            <w:tcW w:w="11582" w:type="dxa"/>
            <w:tcBorders>
              <w:top w:val="double" w:color="auto" w:sz="4" w:space="0"/>
            </w:tcBorders>
            <w:vAlign w:val="center"/>
          </w:tcPr>
          <w:p w14:paraId="678C4049">
            <w:pPr>
              <w:keepNext w:val="0"/>
              <w:keepLines w:val="0"/>
              <w:pageBreakBefore w:val="0"/>
              <w:widowControl w:val="0"/>
              <w:numPr>
                <w:ilvl w:val="0"/>
                <w:numId w:val="0"/>
              </w:numPr>
              <w:shd w:val="clear"/>
              <w:kinsoku/>
              <w:wordWrap/>
              <w:overflowPunct/>
              <w:topLinePunct w:val="0"/>
              <w:autoSpaceDE/>
              <w:autoSpaceDN/>
              <w:bidi w:val="0"/>
              <w:adjustRightInd/>
              <w:snapToGrid/>
              <w:spacing w:line="348" w:lineRule="auto"/>
              <w:ind w:firstLine="0" w:firstLineChars="0"/>
              <w:jc w:val="both"/>
              <w:textAlignment w:val="auto"/>
              <w:rPr>
                <w:rFonts w:hint="default"/>
                <w:color w:val="auto"/>
                <w:lang w:val="en-US" w:eastAsia="zh-CN"/>
              </w:rPr>
            </w:pP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Among these studies, Regarding mental health, 32 studies used standardized scales to assess the associations between screen time and depression (17 studies) [3, 9-10, 40-45, 54-56, 89-92], anxiety (9 studies) [3, 9-10, 41, 44-45, 51, 89], and stress (6 studies) [3, 41, 53, 79-80]. Regarding sleep outcomes, 8 studies assessed sleep duration (via self-report) [4, 6, 31-32, 40, 43, 73, 81], and 25 studies assessed sleep quality (primarily using the Pittsburgh Sleep Quality Index (PSQI)) [3-4, 6-7, 9-10, 31-34, 43-48, 56, 79-83, 88-89]. In terms of somatic symptoms, 9 studies explored the association between screen time and physical pain via self-report [35, 52, 59, 83-88]. For functional and behavioral indicators, 4 studies evaluated the correlation between screen time and academic performance using grade point average (GPA) [14, 50, 65, 77]; 26 studies assessed digital eye strain with standardized tools such as the CVS questionnaire [7, 16-17, 36-39, 57-72, 82-84]; and 5 studies evaluated physical activity level using the International Physical Activity Questionnaire (IPAQ) [3, 12, 74-75]. In addition, another 5 studies analyzed the correlation between screen time and BMI [3, 49, 76, 78]. The studies were conducted in the following regions: Asia (n=53), Europe (n=5), South America (n=3), Africa (n=5), and North America (n=7). The basic characteristics of the included studies are presented in Table 1. The GRADE evidence quality assessments and Joanna Briggs Institute (JBI) ROB evaluation results are shown in Supplement file (Tables S1 - S3).</w:t>
            </w:r>
          </w:p>
        </w:tc>
        <w:tc>
          <w:tcPr>
            <w:tcW w:w="1260" w:type="dxa"/>
            <w:tcBorders>
              <w:top w:val="double" w:color="auto" w:sz="4" w:space="0"/>
              <w:right w:val="double" w:color="auto" w:sz="4" w:space="0"/>
            </w:tcBorders>
            <w:vAlign w:val="center"/>
          </w:tcPr>
          <w:p w14:paraId="2FDDBA33">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P8-P14</w:t>
            </w:r>
          </w:p>
          <w:p w14:paraId="56D2D5D8">
            <w:pPr>
              <w:pStyle w:val="15"/>
              <w:keepNext w:val="0"/>
              <w:keepLines w:val="0"/>
              <w:pageBreakBefore w:val="0"/>
              <w:kinsoku/>
              <w:wordWrap/>
              <w:overflowPunct/>
              <w:topLinePunct w:val="0"/>
              <w:bidi w:val="0"/>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p>
          <w:p w14:paraId="67A7980B">
            <w:pPr>
              <w:pStyle w:val="15"/>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Segoe UI" w:cs="Times New Roman"/>
                <w:i w:val="0"/>
                <w:iCs w:val="0"/>
                <w:caps w:val="0"/>
                <w:color w:val="auto"/>
                <w:spacing w:val="0"/>
                <w:sz w:val="18"/>
                <w:szCs w:val="18"/>
                <w:highlight w:val="none"/>
                <w:shd w:val="clear" w:fill="FFFFFF"/>
                <w:lang w:val="en-US" w:eastAsia="zh-CN"/>
              </w:rPr>
              <w:t>Supplement file</w:t>
            </w:r>
          </w:p>
        </w:tc>
      </w:tr>
      <w:tr w14:paraId="13366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1786" w:type="dxa"/>
            <w:vMerge w:val="continue"/>
            <w:tcBorders>
              <w:left w:val="double" w:color="auto" w:sz="4" w:space="0"/>
            </w:tcBorders>
            <w:vAlign w:val="center"/>
          </w:tcPr>
          <w:p w14:paraId="77675892">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p>
        </w:tc>
        <w:tc>
          <w:tcPr>
            <w:tcW w:w="731" w:type="dxa"/>
            <w:vAlign w:val="center"/>
          </w:tcPr>
          <w:p w14:paraId="4992C20F">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20b</w:t>
            </w:r>
          </w:p>
        </w:tc>
        <w:tc>
          <w:tcPr>
            <w:tcW w:w="11582" w:type="dxa"/>
          </w:tcPr>
          <w:p w14:paraId="75EEE6A3">
            <w:pPr>
              <w:keepNext w:val="0"/>
              <w:keepLines w:val="0"/>
              <w:pageBreakBefore w:val="0"/>
              <w:widowControl w:val="0"/>
              <w:numPr>
                <w:ilvl w:val="0"/>
                <w:numId w:val="0"/>
              </w:numPr>
              <w:shd w:val="clear"/>
              <w:kinsoku/>
              <w:wordWrap/>
              <w:overflowPunct/>
              <w:topLinePunct w:val="0"/>
              <w:autoSpaceDE/>
              <w:autoSpaceDN/>
              <w:bidi w:val="0"/>
              <w:adjustRightInd/>
              <w:snapToGrid/>
              <w:spacing w:line="348"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highlight w:val="none"/>
                <w:shd w:val="clear" w:fill="FFFFFF"/>
                <w:lang w:val="en-US" w:eastAsia="zh-CN"/>
              </w:rPr>
            </w:pP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Meta-analysis results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showed</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that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screen time was significantly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associated</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with an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increased risk of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depression</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(OR=1.93; 95%CI: 1.75-2.12)</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anxiety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(OR=1.55; 95%CI: 1.36-1.78)</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stress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(OR=1.67; 95%CI: 1.35-2.07)</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physical pain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(OR=1.70; 95%CI: 1.31-2.20)</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sleep quality</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d</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eterioration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(OR=1.12; 95%CI: 1.06-1.18)</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digital eye strain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(OR=1.96; 95%CI: 1.67-2.31)</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insufficient</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physical activity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(OR=1.29; 95%CI: 1.01-1.65)</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and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reduced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academic performance</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(OR=1.79; 95%CI: 1.29-2.48).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There was no significant association between screen time and sleep duration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(OR=1.05; 95%CI: 0.93-1.19)</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and body</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mass</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index</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(BMI) (OR=1.37; 95%CI: 0.99-1.90). Dose-response analysis further revealed that after daily screen time exceeded 2.5 hours, the risks of depression and digital eye strain increased sharply, with the risks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increasing</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by more than 15% for each additional hour of screen exposure.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Similarly, when</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daily screen time exceeded 3 hours, the risks of physical pain and deterioration in sleep quality increased significantly, with the risk elevations exceeding 5% and 10% respectively for each additional hour of screen exposure.</w:t>
            </w:r>
          </w:p>
        </w:tc>
        <w:tc>
          <w:tcPr>
            <w:tcW w:w="1260" w:type="dxa"/>
            <w:tcBorders>
              <w:right w:val="double" w:color="auto" w:sz="4" w:space="0"/>
            </w:tcBorders>
            <w:vAlign w:val="center"/>
          </w:tcPr>
          <w:p w14:paraId="4E72866F">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P8-P14</w:t>
            </w:r>
          </w:p>
        </w:tc>
      </w:tr>
      <w:tr w14:paraId="24198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1786" w:type="dxa"/>
            <w:vMerge w:val="continue"/>
            <w:tcBorders>
              <w:left w:val="double" w:color="auto" w:sz="4" w:space="0"/>
              <w:bottom w:val="double" w:color="auto" w:sz="4" w:space="0"/>
            </w:tcBorders>
            <w:vAlign w:val="center"/>
          </w:tcPr>
          <w:p w14:paraId="698CF604">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p>
        </w:tc>
        <w:tc>
          <w:tcPr>
            <w:tcW w:w="731" w:type="dxa"/>
            <w:tcBorders>
              <w:bottom w:val="double" w:color="auto" w:sz="4" w:space="0"/>
            </w:tcBorders>
            <w:vAlign w:val="center"/>
          </w:tcPr>
          <w:p w14:paraId="09310001">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20c</w:t>
            </w:r>
          </w:p>
        </w:tc>
        <w:tc>
          <w:tcPr>
            <w:tcW w:w="11582" w:type="dxa"/>
            <w:tcBorders>
              <w:bottom w:val="double" w:color="auto" w:sz="4" w:space="0"/>
            </w:tcBorders>
          </w:tcPr>
          <w:p w14:paraId="34C9C8EF">
            <w:pPr>
              <w:keepNext w:val="0"/>
              <w:keepLines w:val="0"/>
              <w:pageBreakBefore w:val="0"/>
              <w:widowControl w:val="0"/>
              <w:numPr>
                <w:ilvl w:val="0"/>
                <w:numId w:val="0"/>
              </w:numPr>
              <w:shd w:val="clear"/>
              <w:kinsoku/>
              <w:wordWrap/>
              <w:overflowPunct/>
              <w:topLinePunct w:val="0"/>
              <w:autoSpaceDE/>
              <w:autoSpaceDN/>
              <w:bidi w:val="0"/>
              <w:adjustRightInd/>
              <w:snapToGrid/>
              <w:spacing w:line="348" w:lineRule="auto"/>
              <w:ind w:firstLine="0" w:firstLineChars="0"/>
              <w:jc w:val="both"/>
              <w:textAlignment w:val="auto"/>
              <w:rPr>
                <w:rFonts w:hint="eastAsia" w:ascii="Times New Roman" w:hAnsi="Times New Roman" w:eastAsia="Segoe UI" w:cs="Times New Roman"/>
                <w:i w:val="0"/>
                <w:iCs w:val="0"/>
                <w:caps w:val="0"/>
                <w:color w:val="auto"/>
                <w:spacing w:val="0"/>
                <w:sz w:val="21"/>
                <w:szCs w:val="21"/>
                <w:highlight w:val="none"/>
                <w:shd w:val="clear" w:fill="FFFFFF"/>
                <w:lang w:val="en-US" w:eastAsia="zh-CN"/>
              </w:rPr>
            </w:pPr>
            <w:r>
              <w:rPr>
                <w:rFonts w:hint="eastAsia" w:ascii="Times New Roman" w:hAnsi="Times New Roman" w:eastAsia="Segoe UI" w:cs="Times New Roman"/>
                <w:i w:val="0"/>
                <w:iCs w:val="0"/>
                <w:caps w:val="0"/>
                <w:color w:val="auto"/>
                <w:spacing w:val="0"/>
                <w:sz w:val="21"/>
                <w:szCs w:val="21"/>
                <w:shd w:val="clear" w:fill="FFFFFF"/>
                <w:lang w:val="en-US" w:eastAsia="zh-CN" w:bidi="ar-SA"/>
              </w:rPr>
              <w:t>(</w:t>
            </w:r>
            <w:r>
              <w:rPr>
                <w:rFonts w:hint="eastAsia" w:eastAsia="Segoe UI" w:cs="Times New Roman"/>
                <w:i w:val="0"/>
                <w:iCs w:val="0"/>
                <w:caps w:val="0"/>
                <w:color w:val="auto"/>
                <w:spacing w:val="0"/>
                <w:sz w:val="21"/>
                <w:szCs w:val="21"/>
                <w:shd w:val="clear" w:fill="FFFFFF"/>
                <w:lang w:val="en-US" w:eastAsia="zh-CN" w:bidi="ar-SA"/>
              </w:rPr>
              <w:t>1</w:t>
            </w:r>
            <w:r>
              <w:rPr>
                <w:rFonts w:hint="eastAsia" w:ascii="Times New Roman" w:hAnsi="Times New Roman" w:eastAsia="Segoe UI" w:cs="Times New Roman"/>
                <w:i w:val="0"/>
                <w:iCs w:val="0"/>
                <w:caps w:val="0"/>
                <w:color w:val="auto"/>
                <w:spacing w:val="0"/>
                <w:sz w:val="21"/>
                <w:szCs w:val="21"/>
                <w:shd w:val="clear" w:fill="FFFFFF"/>
                <w:lang w:val="en-US" w:eastAsia="zh-CN" w:bidi="ar-SA"/>
              </w:rPr>
              <w:t>)</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The geographical distribution of study participants may be a source of the observed heterogeneity</w:t>
            </w:r>
            <w:r>
              <w:rPr>
                <w:rFonts w:hint="eastAsia" w:eastAsia="Segoe UI" w:cs="Times New Roman"/>
                <w:i w:val="0"/>
                <w:iCs w:val="0"/>
                <w:caps w:val="0"/>
                <w:color w:val="auto"/>
                <w:spacing w:val="0"/>
                <w:sz w:val="21"/>
                <w:szCs w:val="21"/>
                <w:highlight w:val="none"/>
                <w:shd w:val="clear" w:fill="FFFFFF"/>
                <w:lang w:val="en-US" w:eastAsia="zh-CN"/>
              </w:rPr>
              <w:t>;</w:t>
            </w:r>
          </w:p>
          <w:p w14:paraId="192B477E">
            <w:pPr>
              <w:keepNext w:val="0"/>
              <w:keepLines w:val="0"/>
              <w:pageBreakBefore w:val="0"/>
              <w:widowControl w:val="0"/>
              <w:numPr>
                <w:ilvl w:val="0"/>
                <w:numId w:val="0"/>
              </w:numPr>
              <w:shd w:val="clear"/>
              <w:kinsoku/>
              <w:wordWrap/>
              <w:overflowPunct/>
              <w:topLinePunct w:val="0"/>
              <w:autoSpaceDE/>
              <w:autoSpaceDN/>
              <w:bidi w:val="0"/>
              <w:adjustRightInd/>
              <w:snapToGrid/>
              <w:spacing w:line="348" w:lineRule="auto"/>
              <w:ind w:firstLine="0" w:firstLineChars="0"/>
              <w:jc w:val="both"/>
              <w:textAlignment w:val="auto"/>
              <w:rPr>
                <w:rFonts w:hint="eastAsia" w:ascii="Times New Roman" w:hAnsi="Times New Roman" w:eastAsia="Segoe UI" w:cs="Times New Roman"/>
                <w:i w:val="0"/>
                <w:iCs w:val="0"/>
                <w:caps w:val="0"/>
                <w:color w:val="auto"/>
                <w:spacing w:val="0"/>
                <w:sz w:val="21"/>
                <w:szCs w:val="21"/>
                <w:highlight w:val="none"/>
                <w:shd w:val="clear" w:fill="FFFFFF"/>
                <w:lang w:val="en-US" w:eastAsia="zh-CN"/>
              </w:rPr>
            </w:pP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(2) The study results may be confounded by unmeasured confounding factors</w:t>
            </w:r>
            <w:r>
              <w:rPr>
                <w:rFonts w:hint="eastAsia" w:eastAsia="Segoe UI" w:cs="Times New Roman"/>
                <w:i w:val="0"/>
                <w:iCs w:val="0"/>
                <w:caps w:val="0"/>
                <w:color w:val="auto"/>
                <w:spacing w:val="0"/>
                <w:sz w:val="21"/>
                <w:szCs w:val="21"/>
                <w:highlight w:val="none"/>
                <w:shd w:val="clear" w:fill="FFFFFF"/>
                <w:lang w:val="en-US" w:eastAsia="zh-CN"/>
              </w:rPr>
              <w:t>;</w:t>
            </w:r>
          </w:p>
          <w:p w14:paraId="5DF1AD0A">
            <w:pPr>
              <w:keepNext w:val="0"/>
              <w:keepLines w:val="0"/>
              <w:pageBreakBefore w:val="0"/>
              <w:widowControl w:val="0"/>
              <w:numPr>
                <w:ilvl w:val="0"/>
                <w:numId w:val="0"/>
              </w:numPr>
              <w:shd w:val="clear"/>
              <w:kinsoku/>
              <w:wordWrap/>
              <w:overflowPunct/>
              <w:topLinePunct w:val="0"/>
              <w:autoSpaceDE/>
              <w:autoSpaceDN/>
              <w:bidi w:val="0"/>
              <w:adjustRightInd/>
              <w:snapToGrid/>
              <w:spacing w:line="348"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highlight w:val="none"/>
                <w:shd w:val="clear" w:fill="FFFFFF"/>
                <w:lang w:val="en-US" w:eastAsia="zh-CN"/>
              </w:rPr>
            </w:pP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(3)</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Due to the inherent nature of observational studies, it is difficult to completely rule out potential biases caused by other factors. Although some studies have adjusted for potential confounding variables, the methods used for such adjustments have varied across different studies</w:t>
            </w:r>
            <w:r>
              <w:rPr>
                <w:rFonts w:hint="eastAsia" w:eastAsia="Segoe UI" w:cs="Times New Roman"/>
                <w:i w:val="0"/>
                <w:iCs w:val="0"/>
                <w:caps w:val="0"/>
                <w:color w:val="auto"/>
                <w:spacing w:val="0"/>
                <w:sz w:val="21"/>
                <w:szCs w:val="21"/>
                <w:highlight w:val="none"/>
                <w:shd w:val="clear" w:fill="FFFFFF"/>
                <w:lang w:val="en-US" w:eastAsia="zh-CN"/>
              </w:rPr>
              <w:t>;</w:t>
            </w:r>
          </w:p>
          <w:p w14:paraId="7EF34C0C">
            <w:pPr>
              <w:keepNext w:val="0"/>
              <w:keepLines w:val="0"/>
              <w:pageBreakBefore w:val="0"/>
              <w:widowControl w:val="0"/>
              <w:numPr>
                <w:ilvl w:val="0"/>
                <w:numId w:val="0"/>
              </w:numPr>
              <w:shd w:val="clear"/>
              <w:kinsoku/>
              <w:wordWrap/>
              <w:overflowPunct/>
              <w:topLinePunct w:val="0"/>
              <w:autoSpaceDE/>
              <w:autoSpaceDN/>
              <w:bidi w:val="0"/>
              <w:adjustRightInd/>
              <w:snapToGrid/>
              <w:spacing w:line="348"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highlight w:val="none"/>
                <w:shd w:val="clear" w:fill="FFFFFF"/>
                <w:lang w:val="en-US" w:eastAsia="zh-CN"/>
              </w:rPr>
            </w:pP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(4)</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There are significant differences in the methods used to measure screen time across the included studies.</w:t>
            </w:r>
          </w:p>
        </w:tc>
        <w:tc>
          <w:tcPr>
            <w:tcW w:w="1260" w:type="dxa"/>
            <w:tcBorders>
              <w:bottom w:val="double" w:color="auto" w:sz="4" w:space="0"/>
              <w:right w:val="double" w:color="auto" w:sz="4" w:space="0"/>
            </w:tcBorders>
            <w:vAlign w:val="center"/>
          </w:tcPr>
          <w:p w14:paraId="0916D81E">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P19-P20</w:t>
            </w:r>
          </w:p>
        </w:tc>
      </w:tr>
      <w:tr w14:paraId="15956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6" w:hRule="atLeast"/>
        </w:trPr>
        <w:tc>
          <w:tcPr>
            <w:tcW w:w="1786" w:type="dxa"/>
            <w:vMerge w:val="continue"/>
            <w:tcBorders>
              <w:top w:val="double" w:color="auto" w:sz="4" w:space="0"/>
              <w:left w:val="double" w:color="auto" w:sz="4" w:space="0"/>
              <w:bottom w:val="double" w:color="auto" w:sz="4" w:space="0"/>
            </w:tcBorders>
            <w:vAlign w:val="center"/>
          </w:tcPr>
          <w:p w14:paraId="69051D40">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p>
        </w:tc>
        <w:tc>
          <w:tcPr>
            <w:tcW w:w="731" w:type="dxa"/>
            <w:tcBorders>
              <w:top w:val="double" w:color="auto" w:sz="4" w:space="0"/>
              <w:bottom w:val="double" w:color="auto" w:sz="4" w:space="0"/>
            </w:tcBorders>
            <w:vAlign w:val="center"/>
          </w:tcPr>
          <w:p w14:paraId="27C6B355">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20d</w:t>
            </w:r>
          </w:p>
        </w:tc>
        <w:tc>
          <w:tcPr>
            <w:tcW w:w="11582" w:type="dxa"/>
            <w:tcBorders>
              <w:top w:val="double" w:color="auto" w:sz="4" w:space="0"/>
              <w:bottom w:val="double" w:color="auto" w:sz="4" w:space="0"/>
            </w:tcBorders>
            <w:vAlign w:val="center"/>
          </w:tcPr>
          <w:p w14:paraId="527D52D2">
            <w:pPr>
              <w:keepNext w:val="0"/>
              <w:keepLines w:val="0"/>
              <w:pageBreakBefore w:val="0"/>
              <w:widowControl w:val="0"/>
              <w:numPr>
                <w:ilvl w:val="0"/>
                <w:numId w:val="0"/>
              </w:numPr>
              <w:shd w:val="clear"/>
              <w:kinsoku/>
              <w:wordWrap/>
              <w:overflowPunct/>
              <w:topLinePunct w:val="0"/>
              <w:autoSpaceDE/>
              <w:autoSpaceDN/>
              <w:bidi w:val="0"/>
              <w:adjustRightInd/>
              <w:snapToGrid/>
              <w:spacing w:line="372" w:lineRule="auto"/>
              <w:ind w:leftChars="0" w:firstLine="0" w:firstLineChars="0"/>
              <w:jc w:val="both"/>
              <w:textAlignment w:val="auto"/>
              <w:rPr>
                <w:rFonts w:hint="default" w:ascii="Times New Roman" w:hAnsi="Times New Roman" w:eastAsia="Segoe UI" w:cs="Times New Roman"/>
                <w:i w:val="0"/>
                <w:iCs w:val="0"/>
                <w:caps w:val="0"/>
                <w:color w:val="auto"/>
                <w:spacing w:val="0"/>
                <w:sz w:val="21"/>
                <w:szCs w:val="21"/>
                <w:highlight w:val="none"/>
                <w:shd w:val="clear" w:fill="FFFFFF"/>
                <w:lang w:val="en-US" w:eastAsia="zh-CN"/>
              </w:rPr>
            </w:pPr>
            <w:r>
              <w:rPr>
                <w:rFonts w:hint="default" w:ascii="Times New Roman" w:hAnsi="Times New Roman" w:eastAsia="宋体" w:cs="Times New Roman"/>
                <w:b/>
                <w:bCs/>
                <w:color w:val="auto"/>
                <w:sz w:val="21"/>
                <w:szCs w:val="21"/>
                <w:highlight w:val="none"/>
                <w:lang w:val="en-US" w:eastAsia="zh-CN"/>
              </w:rPr>
              <w:t xml:space="preserve">(1)academic performance: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There was low heterogeneity across studies (I²=31.4%, P=0.224), so sensitivity analysis was not performed.</w:t>
            </w:r>
          </w:p>
          <w:p w14:paraId="75629A35">
            <w:pPr>
              <w:pStyle w:val="2"/>
              <w:keepNext w:val="0"/>
              <w:keepLines w:val="0"/>
              <w:pageBreakBefore w:val="0"/>
              <w:widowControl/>
              <w:numPr>
                <w:ilvl w:val="0"/>
                <w:numId w:val="0"/>
              </w:numPr>
              <w:kinsoku/>
              <w:wordWrap/>
              <w:overflowPunct/>
              <w:topLinePunct w:val="0"/>
              <w:autoSpaceDE/>
              <w:autoSpaceDN/>
              <w:bidi w:val="0"/>
              <w:adjustRightInd/>
              <w:snapToGrid/>
              <w:spacing w:after="0" w:line="372" w:lineRule="auto"/>
              <w:ind w:left="0" w:leftChars="0" w:firstLine="0" w:firstLineChars="0"/>
              <w:jc w:val="both"/>
              <w:textAlignment w:val="auto"/>
              <w:rPr>
                <w:rFonts w:hint="default" w:ascii="Times New Roman" w:hAnsi="Times New Roman" w:eastAsia="宋体" w:cs="Times New Roman"/>
                <w:b/>
                <w:bCs/>
                <w:color w:val="auto"/>
                <w:sz w:val="21"/>
                <w:szCs w:val="21"/>
                <w:highlight w:val="none"/>
                <w:lang w:val="en-US" w:eastAsia="zh-CN" w:bidi="ar-SA"/>
              </w:rPr>
            </w:pPr>
            <w:r>
              <w:rPr>
                <w:rFonts w:hint="default" w:ascii="Times New Roman" w:hAnsi="Times New Roman" w:eastAsia="宋体" w:cs="Times New Roman"/>
                <w:b/>
                <w:bCs/>
                <w:color w:val="auto"/>
                <w:sz w:val="21"/>
                <w:szCs w:val="21"/>
                <w:highlight w:val="none"/>
                <w:lang w:val="en-US" w:eastAsia="zh-CN" w:bidi="ar-SA"/>
              </w:rPr>
              <w:t>(2)</w:t>
            </w:r>
            <w:r>
              <w:rPr>
                <w:rFonts w:hint="default" w:ascii="Times New Roman" w:hAnsi="Times New Roman" w:eastAsia="宋体" w:cs="Times New Roman"/>
                <w:b/>
                <w:bCs/>
                <w:color w:val="auto"/>
                <w:sz w:val="21"/>
                <w:szCs w:val="21"/>
                <w:highlight w:val="none"/>
                <w:lang w:val="en-US" w:eastAsia="zh-CN"/>
              </w:rPr>
              <w:t xml:space="preserve">depression risk: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Sensitivity analysis indicated that 5 studies were the source of heterogeneity. After excluding these 5 studies, the heterogeneity disappeared (I² decreased from 94.40% to 0.00%, P=0.523), and the pooled result did not change significantly (OR=1.93; 95%CI: 1.75-2.12).</w:t>
            </w:r>
          </w:p>
          <w:p w14:paraId="135DF8E2">
            <w:pPr>
              <w:keepNext w:val="0"/>
              <w:keepLines w:val="0"/>
              <w:pageBreakBefore w:val="0"/>
              <w:widowControl/>
              <w:kinsoku/>
              <w:wordWrap/>
              <w:overflowPunct/>
              <w:topLinePunct w:val="0"/>
              <w:autoSpaceDE/>
              <w:autoSpaceDN/>
              <w:bidi w:val="0"/>
              <w:adjustRightInd/>
              <w:snapToGrid/>
              <w:spacing w:line="372" w:lineRule="auto"/>
              <w:ind w:left="0" w:leftChars="0" w:firstLine="0" w:firstLineChars="0"/>
              <w:jc w:val="both"/>
              <w:textAlignment w:val="auto"/>
              <w:rPr>
                <w:rFonts w:hint="default" w:ascii="Times New Roman" w:hAnsi="Times New Roman" w:eastAsia="宋体" w:cs="Times New Roman"/>
                <w:b/>
                <w:bCs/>
                <w:color w:val="auto"/>
                <w:sz w:val="21"/>
                <w:szCs w:val="21"/>
                <w:highlight w:val="none"/>
                <w:lang w:val="en-US" w:eastAsia="zh-CN" w:bidi="ar-SA"/>
              </w:rPr>
            </w:pPr>
            <w:r>
              <w:rPr>
                <w:rFonts w:hint="default" w:ascii="Times New Roman" w:hAnsi="Times New Roman" w:eastAsia="宋体" w:cs="Times New Roman"/>
                <w:b/>
                <w:bCs/>
                <w:color w:val="auto"/>
                <w:sz w:val="21"/>
                <w:szCs w:val="21"/>
                <w:highlight w:val="none"/>
                <w:lang w:val="en-US" w:eastAsia="zh-CN" w:bidi="ar-SA"/>
              </w:rPr>
              <w:t>(3)</w:t>
            </w:r>
            <w:r>
              <w:rPr>
                <w:rFonts w:hint="default" w:ascii="Times New Roman" w:hAnsi="Times New Roman" w:eastAsia="宋体" w:cs="Times New Roman"/>
                <w:b/>
                <w:bCs/>
                <w:color w:val="auto"/>
                <w:sz w:val="21"/>
                <w:szCs w:val="21"/>
                <w:highlight w:val="none"/>
                <w:lang w:val="en-US" w:eastAsia="zh-CN"/>
              </w:rPr>
              <w:t xml:space="preserve">anxiety risk: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Sensitivity analysis indicated that 3 studies were the source of heterogeneity. After excluding these 3 studies, the heterogeneity decreased significantly (I² decreased from 90.60% to 17.30%, P=0.302), and the pooled result did not change significantly (OR=1.55; 95%CI: 1.36-1.78).</w:t>
            </w:r>
          </w:p>
          <w:p w14:paraId="38D5E2E9">
            <w:pPr>
              <w:pStyle w:val="2"/>
              <w:keepNext w:val="0"/>
              <w:keepLines w:val="0"/>
              <w:pageBreakBefore w:val="0"/>
              <w:widowControl/>
              <w:kinsoku/>
              <w:wordWrap/>
              <w:overflowPunct/>
              <w:topLinePunct w:val="0"/>
              <w:autoSpaceDE/>
              <w:autoSpaceDN/>
              <w:bidi w:val="0"/>
              <w:adjustRightInd/>
              <w:snapToGrid/>
              <w:spacing w:after="0" w:line="372" w:lineRule="auto"/>
              <w:ind w:left="0" w:leftChars="0" w:firstLine="0" w:firstLineChars="0"/>
              <w:jc w:val="both"/>
              <w:textAlignment w:val="auto"/>
              <w:rPr>
                <w:rFonts w:hint="default" w:ascii="Times New Roman" w:hAnsi="Times New Roman" w:eastAsia="宋体" w:cs="Times New Roman"/>
                <w:b/>
                <w:bCs/>
                <w:color w:val="auto"/>
                <w:sz w:val="21"/>
                <w:szCs w:val="21"/>
                <w:highlight w:val="none"/>
                <w:lang w:val="en-US" w:eastAsia="zh-CN" w:bidi="ar-SA"/>
              </w:rPr>
            </w:pPr>
            <w:r>
              <w:rPr>
                <w:rFonts w:hint="default" w:ascii="Times New Roman" w:hAnsi="Times New Roman" w:eastAsia="宋体" w:cs="Times New Roman"/>
                <w:b/>
                <w:bCs/>
                <w:color w:val="auto"/>
                <w:sz w:val="21"/>
                <w:szCs w:val="21"/>
                <w:highlight w:val="none"/>
                <w:lang w:val="en-US" w:eastAsia="zh-CN" w:bidi="ar-SA"/>
              </w:rPr>
              <w:t>(4)</w:t>
            </w:r>
            <w:r>
              <w:rPr>
                <w:rFonts w:hint="default" w:ascii="Times New Roman" w:hAnsi="Times New Roman" w:eastAsia="宋体" w:cs="Times New Roman"/>
                <w:b/>
                <w:bCs/>
                <w:color w:val="auto"/>
                <w:sz w:val="21"/>
                <w:szCs w:val="21"/>
                <w:highlight w:val="none"/>
                <w:lang w:val="en-US" w:eastAsia="zh-CN"/>
              </w:rPr>
              <w:t xml:space="preserve">stress risk: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Sensitivity analysis indicated that 2 studies were the source of heterogeneity. After excluding these 2 studies, the heterogeneity decreased significantly (I² decreased from 84.80% to 45.10%, P=0.140), and the pooled result did not change significantly (OR=1.67; 95%CI: 1.35-2.07).</w:t>
            </w:r>
          </w:p>
          <w:p w14:paraId="79FB03C9">
            <w:pPr>
              <w:keepNext w:val="0"/>
              <w:keepLines w:val="0"/>
              <w:pageBreakBefore w:val="0"/>
              <w:widowControl/>
              <w:kinsoku/>
              <w:wordWrap/>
              <w:overflowPunct/>
              <w:topLinePunct w:val="0"/>
              <w:autoSpaceDE/>
              <w:autoSpaceDN/>
              <w:bidi w:val="0"/>
              <w:adjustRightInd/>
              <w:snapToGrid/>
              <w:spacing w:line="372" w:lineRule="auto"/>
              <w:ind w:left="0" w:leftChars="0" w:firstLine="0" w:firstLineChars="0"/>
              <w:jc w:val="both"/>
              <w:textAlignment w:val="auto"/>
              <w:rPr>
                <w:rFonts w:hint="default" w:ascii="Times New Roman" w:hAnsi="Times New Roman" w:eastAsia="宋体" w:cs="Times New Roman"/>
                <w:b/>
                <w:bCs/>
                <w:color w:val="auto"/>
                <w:sz w:val="21"/>
                <w:szCs w:val="21"/>
                <w:highlight w:val="none"/>
                <w:lang w:val="en-US" w:eastAsia="zh-CN" w:bidi="ar-SA"/>
              </w:rPr>
            </w:pPr>
            <w:r>
              <w:rPr>
                <w:rFonts w:hint="default" w:ascii="Times New Roman" w:hAnsi="Times New Roman" w:eastAsia="宋体" w:cs="Times New Roman"/>
                <w:b/>
                <w:bCs/>
                <w:color w:val="auto"/>
                <w:sz w:val="21"/>
                <w:szCs w:val="21"/>
                <w:highlight w:val="none"/>
                <w:lang w:val="en-US" w:eastAsia="zh-CN" w:bidi="ar-SA"/>
              </w:rPr>
              <w:t>(5)</w:t>
            </w:r>
            <w:r>
              <w:rPr>
                <w:rFonts w:hint="default" w:ascii="Times New Roman" w:hAnsi="Times New Roman" w:eastAsia="宋体" w:cs="Times New Roman"/>
                <w:b/>
                <w:bCs/>
                <w:color w:val="auto"/>
                <w:sz w:val="21"/>
                <w:szCs w:val="21"/>
                <w:highlight w:val="none"/>
                <w:lang w:val="en-US" w:eastAsia="zh-CN"/>
              </w:rPr>
              <w:t xml:space="preserve">physical pain: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Sensitivity analysis indicated that 3 studies were the source of heterogeneity. After excluding these 3 studies, the heterogeneity decreased significantly (I² decreased from 84.50% to 41.70%, P=0.127), and the pooled result did not change significantly (OR=1.70; 95%CI: 1.31-2.20).</w:t>
            </w:r>
          </w:p>
          <w:p w14:paraId="53D74D7C">
            <w:pPr>
              <w:pStyle w:val="2"/>
              <w:keepNext w:val="0"/>
              <w:keepLines w:val="0"/>
              <w:pageBreakBefore w:val="0"/>
              <w:widowControl/>
              <w:kinsoku/>
              <w:wordWrap/>
              <w:overflowPunct/>
              <w:topLinePunct w:val="0"/>
              <w:autoSpaceDE/>
              <w:autoSpaceDN/>
              <w:bidi w:val="0"/>
              <w:adjustRightInd/>
              <w:snapToGrid/>
              <w:spacing w:after="0" w:line="372" w:lineRule="auto"/>
              <w:ind w:left="0" w:leftChars="0" w:firstLine="0" w:firstLineChars="0"/>
              <w:jc w:val="both"/>
              <w:textAlignment w:val="auto"/>
              <w:rPr>
                <w:rFonts w:hint="default" w:ascii="Times New Roman" w:hAnsi="Times New Roman" w:eastAsia="宋体" w:cs="Times New Roman"/>
                <w:b/>
                <w:bCs/>
                <w:color w:val="auto"/>
                <w:sz w:val="21"/>
                <w:szCs w:val="21"/>
                <w:highlight w:val="none"/>
                <w:lang w:val="en-US" w:eastAsia="zh-CN" w:bidi="ar-SA"/>
              </w:rPr>
            </w:pPr>
            <w:r>
              <w:rPr>
                <w:rFonts w:hint="default" w:ascii="Times New Roman" w:hAnsi="Times New Roman" w:eastAsia="宋体" w:cs="Times New Roman"/>
                <w:b/>
                <w:bCs/>
                <w:color w:val="auto"/>
                <w:sz w:val="21"/>
                <w:szCs w:val="21"/>
                <w:highlight w:val="none"/>
                <w:lang w:val="en-US" w:eastAsia="zh-CN" w:bidi="ar-SA"/>
              </w:rPr>
              <w:t>(6)</w:t>
            </w:r>
            <w:r>
              <w:rPr>
                <w:rFonts w:hint="default" w:ascii="Times New Roman" w:hAnsi="Times New Roman" w:eastAsia="宋体" w:cs="Times New Roman"/>
                <w:b/>
                <w:bCs/>
                <w:color w:val="auto"/>
                <w:sz w:val="21"/>
                <w:szCs w:val="21"/>
                <w:highlight w:val="none"/>
                <w:lang w:val="en-US" w:eastAsia="zh-CN"/>
              </w:rPr>
              <w:t xml:space="preserve">sleep duration: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Sensitivity analysis indicated that 3 studies were the source of heterogeneity. After excluding these 3 studies, the association became non-significant (OR=1.05; 95%CI: 0.93-1.19).</w:t>
            </w:r>
          </w:p>
          <w:p w14:paraId="690191D9">
            <w:pPr>
              <w:keepNext w:val="0"/>
              <w:keepLines w:val="0"/>
              <w:pageBreakBefore w:val="0"/>
              <w:widowControl/>
              <w:kinsoku/>
              <w:wordWrap/>
              <w:overflowPunct/>
              <w:topLinePunct w:val="0"/>
              <w:autoSpaceDE/>
              <w:autoSpaceDN/>
              <w:bidi w:val="0"/>
              <w:adjustRightInd/>
              <w:snapToGrid/>
              <w:spacing w:line="372" w:lineRule="auto"/>
              <w:ind w:left="0" w:leftChars="0" w:firstLine="0" w:firstLineChars="0"/>
              <w:jc w:val="both"/>
              <w:textAlignment w:val="auto"/>
              <w:rPr>
                <w:rFonts w:hint="default" w:ascii="Times New Roman" w:hAnsi="Times New Roman" w:eastAsia="宋体" w:cs="Times New Roman"/>
                <w:b/>
                <w:bCs/>
                <w:color w:val="auto"/>
                <w:sz w:val="21"/>
                <w:szCs w:val="21"/>
                <w:highlight w:val="none"/>
                <w:lang w:val="en-US" w:eastAsia="zh-CN" w:bidi="ar-SA"/>
              </w:rPr>
            </w:pPr>
            <w:r>
              <w:rPr>
                <w:rFonts w:hint="default" w:ascii="Times New Roman" w:hAnsi="Times New Roman" w:eastAsia="宋体" w:cs="Times New Roman"/>
                <w:b/>
                <w:bCs/>
                <w:color w:val="auto"/>
                <w:sz w:val="21"/>
                <w:szCs w:val="21"/>
                <w:highlight w:val="none"/>
                <w:lang w:val="en-US" w:eastAsia="zh-CN" w:bidi="ar-SA"/>
              </w:rPr>
              <w:t>(7)</w:t>
            </w:r>
            <w:r>
              <w:rPr>
                <w:rFonts w:hint="default" w:ascii="Times New Roman" w:hAnsi="Times New Roman" w:eastAsia="宋体" w:cs="Times New Roman"/>
                <w:b/>
                <w:bCs/>
                <w:color w:val="auto"/>
                <w:sz w:val="21"/>
                <w:szCs w:val="21"/>
                <w:highlight w:val="none"/>
                <w:lang w:val="en-US" w:eastAsia="zh-CN"/>
              </w:rPr>
              <w:t xml:space="preserve">sleep quality: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Sensitivity analysis indicated that 6 studies were the source of heterogeneity. After excluding these 6 studies, the heterogeneity decreased significantly (I² decreased from 79.30% to 47.60%, P=0.011), and the pooled result did not change significantly (OR=1.12; 95%CI: 1.06-1.18).</w:t>
            </w:r>
          </w:p>
          <w:p w14:paraId="04DA109F">
            <w:pPr>
              <w:pStyle w:val="2"/>
              <w:keepNext w:val="0"/>
              <w:keepLines w:val="0"/>
              <w:pageBreakBefore w:val="0"/>
              <w:widowControl/>
              <w:kinsoku/>
              <w:wordWrap/>
              <w:overflowPunct/>
              <w:topLinePunct w:val="0"/>
              <w:autoSpaceDE/>
              <w:autoSpaceDN/>
              <w:bidi w:val="0"/>
              <w:adjustRightInd/>
              <w:snapToGrid/>
              <w:spacing w:after="0" w:line="372" w:lineRule="auto"/>
              <w:ind w:left="0" w:leftChars="0" w:firstLine="0" w:firstLineChars="0"/>
              <w:jc w:val="both"/>
              <w:textAlignment w:val="auto"/>
              <w:rPr>
                <w:rFonts w:hint="default" w:ascii="Times New Roman" w:hAnsi="Times New Roman" w:eastAsia="宋体" w:cs="Times New Roman"/>
                <w:b/>
                <w:bCs/>
                <w:color w:val="auto"/>
                <w:sz w:val="21"/>
                <w:szCs w:val="21"/>
                <w:highlight w:val="none"/>
                <w:lang w:val="en-US" w:eastAsia="zh-CN" w:bidi="ar-SA"/>
              </w:rPr>
            </w:pPr>
            <w:r>
              <w:rPr>
                <w:rFonts w:hint="default" w:ascii="Times New Roman" w:hAnsi="Times New Roman" w:eastAsia="宋体" w:cs="Times New Roman"/>
                <w:b/>
                <w:bCs/>
                <w:color w:val="auto"/>
                <w:sz w:val="21"/>
                <w:szCs w:val="21"/>
                <w:highlight w:val="none"/>
                <w:lang w:val="en-US" w:eastAsia="zh-CN" w:bidi="ar-SA"/>
              </w:rPr>
              <w:t>(8)</w:t>
            </w:r>
            <w:r>
              <w:rPr>
                <w:rFonts w:hint="default" w:ascii="Times New Roman" w:hAnsi="Times New Roman" w:eastAsia="宋体" w:cs="Times New Roman"/>
                <w:b/>
                <w:bCs/>
                <w:color w:val="auto"/>
                <w:sz w:val="21"/>
                <w:szCs w:val="21"/>
                <w:highlight w:val="none"/>
                <w:lang w:val="en-US" w:eastAsia="zh-CN"/>
              </w:rPr>
              <w:t xml:space="preserve">digital eye strain: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Sensitivity analysis indicated that 5 studies were the source of heterogeneity. After excluding these 5 studies, the heterogeneity decreased significantly (I² decreased from 88.80% to 48.50%, P=0.007), and the pooled result did not change significantly (OR=1.96; 95%CI: 1.67-2.31).</w:t>
            </w:r>
          </w:p>
          <w:p w14:paraId="4BE86A76">
            <w:pPr>
              <w:keepNext w:val="0"/>
              <w:keepLines w:val="0"/>
              <w:pageBreakBefore w:val="0"/>
              <w:widowControl/>
              <w:kinsoku/>
              <w:wordWrap/>
              <w:overflowPunct/>
              <w:topLinePunct w:val="0"/>
              <w:autoSpaceDE/>
              <w:autoSpaceDN/>
              <w:bidi w:val="0"/>
              <w:adjustRightInd/>
              <w:snapToGrid/>
              <w:spacing w:line="372" w:lineRule="auto"/>
              <w:ind w:left="0" w:leftChars="0" w:firstLine="0" w:firstLineChars="0"/>
              <w:jc w:val="both"/>
              <w:textAlignment w:val="auto"/>
              <w:rPr>
                <w:rFonts w:hint="default" w:ascii="Times New Roman" w:hAnsi="Times New Roman" w:eastAsia="宋体" w:cs="Times New Roman"/>
                <w:b/>
                <w:bCs/>
                <w:color w:val="auto"/>
                <w:sz w:val="21"/>
                <w:szCs w:val="21"/>
                <w:highlight w:val="none"/>
                <w:lang w:val="en-US" w:eastAsia="zh-CN" w:bidi="ar-SA"/>
              </w:rPr>
            </w:pPr>
            <w:r>
              <w:rPr>
                <w:rFonts w:hint="default" w:ascii="Times New Roman" w:hAnsi="Times New Roman" w:eastAsia="宋体" w:cs="Times New Roman"/>
                <w:b/>
                <w:bCs/>
                <w:color w:val="auto"/>
                <w:sz w:val="21"/>
                <w:szCs w:val="21"/>
                <w:highlight w:val="none"/>
                <w:lang w:val="en-US" w:eastAsia="zh-CN" w:bidi="ar-SA"/>
              </w:rPr>
              <w:t>(9)</w:t>
            </w:r>
            <w:r>
              <w:rPr>
                <w:rFonts w:hint="default" w:ascii="Times New Roman" w:hAnsi="Times New Roman" w:eastAsia="宋体" w:cs="Times New Roman"/>
                <w:b/>
                <w:bCs/>
                <w:color w:val="auto"/>
                <w:sz w:val="21"/>
                <w:szCs w:val="21"/>
                <w:highlight w:val="none"/>
                <w:lang w:val="en-US" w:eastAsia="zh-CN"/>
              </w:rPr>
              <w:t xml:space="preserve">BMI: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There was low heterogeneity across studies (I²=45.90%, P=0.116), so sensitivity analysis was not performed.</w:t>
            </w:r>
          </w:p>
          <w:p w14:paraId="5950F13A">
            <w:pPr>
              <w:pStyle w:val="15"/>
              <w:keepNext w:val="0"/>
              <w:keepLines w:val="0"/>
              <w:pageBreakBefore w:val="0"/>
              <w:widowControl w:val="0"/>
              <w:kinsoku/>
              <w:wordWrap/>
              <w:overflowPunct/>
              <w:topLinePunct w:val="0"/>
              <w:autoSpaceDE w:val="0"/>
              <w:autoSpaceDN w:val="0"/>
              <w:bidi w:val="0"/>
              <w:adjustRightInd w:val="0"/>
              <w:snapToGrid/>
              <w:spacing w:line="372" w:lineRule="auto"/>
              <w:jc w:val="both"/>
              <w:textAlignment w:val="auto"/>
              <w:rPr>
                <w:rFonts w:hint="default" w:ascii="Times New Roman" w:hAnsi="Times New Roman" w:eastAsia="Times New Roman" w:cs="Times New Roman"/>
                <w:color w:val="auto"/>
                <w:kern w:val="0"/>
                <w:sz w:val="21"/>
                <w:szCs w:val="21"/>
                <w:highlight w:val="none"/>
                <w:lang w:val="en-US" w:eastAsia="zh-CN" w:bidi="ar-SA"/>
              </w:rPr>
            </w:pPr>
            <w:r>
              <w:rPr>
                <w:rFonts w:hint="default" w:ascii="Times New Roman" w:hAnsi="Times New Roman" w:eastAsia="宋体" w:cs="Times New Roman"/>
                <w:b/>
                <w:bCs/>
                <w:color w:val="auto"/>
                <w:sz w:val="21"/>
                <w:szCs w:val="21"/>
                <w:highlight w:val="none"/>
                <w:lang w:val="en-US" w:eastAsia="zh-CN" w:bidi="ar-SA"/>
              </w:rPr>
              <w:t>(10)</w:t>
            </w:r>
            <w:r>
              <w:rPr>
                <w:rFonts w:hint="default" w:ascii="Times New Roman" w:hAnsi="Times New Roman" w:eastAsia="宋体" w:cs="Times New Roman"/>
                <w:b/>
                <w:bCs/>
                <w:color w:val="auto"/>
                <w:sz w:val="21"/>
                <w:szCs w:val="21"/>
                <w:highlight w:val="none"/>
                <w:lang w:val="en-US" w:eastAsia="zh-CN"/>
              </w:rPr>
              <w:t xml:space="preserve">physical activity: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Sensitivity analysis indicated that 1 study was the source of heterogeneity. After its exclusion, a significant association between screen time and physical activity was observed (OR=1.29; 95%CI: 1.01-1.65; I²=31.10%, P=0.226).</w:t>
            </w:r>
          </w:p>
        </w:tc>
        <w:tc>
          <w:tcPr>
            <w:tcW w:w="1260" w:type="dxa"/>
            <w:tcBorders>
              <w:top w:val="double" w:color="auto" w:sz="4" w:space="0"/>
              <w:bottom w:val="double" w:color="auto" w:sz="4" w:space="0"/>
              <w:right w:val="double" w:color="auto" w:sz="4" w:space="0"/>
            </w:tcBorders>
            <w:vAlign w:val="center"/>
          </w:tcPr>
          <w:p w14:paraId="2CE29D2A">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P8-P14</w:t>
            </w:r>
          </w:p>
        </w:tc>
      </w:tr>
      <w:tr w14:paraId="23F13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86" w:type="dxa"/>
            <w:tcBorders>
              <w:top w:val="double" w:color="auto" w:sz="4" w:space="0"/>
              <w:left w:val="double" w:color="auto" w:sz="4" w:space="0"/>
              <w:bottom w:val="double" w:color="auto" w:sz="4" w:space="0"/>
            </w:tcBorders>
            <w:vAlign w:val="center"/>
          </w:tcPr>
          <w:p w14:paraId="6B16F1E4">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Reporting biases</w:t>
            </w:r>
          </w:p>
        </w:tc>
        <w:tc>
          <w:tcPr>
            <w:tcW w:w="731" w:type="dxa"/>
            <w:tcBorders>
              <w:top w:val="double" w:color="auto" w:sz="4" w:space="0"/>
              <w:bottom w:val="double" w:color="auto" w:sz="4" w:space="0"/>
            </w:tcBorders>
            <w:vAlign w:val="center"/>
          </w:tcPr>
          <w:p w14:paraId="4E6224F2">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21</w:t>
            </w:r>
          </w:p>
        </w:tc>
        <w:tc>
          <w:tcPr>
            <w:tcW w:w="11582" w:type="dxa"/>
            <w:tcBorders>
              <w:top w:val="double" w:color="auto" w:sz="4" w:space="0"/>
              <w:bottom w:val="double" w:color="auto" w:sz="4" w:space="0"/>
            </w:tcBorders>
            <w:vAlign w:val="center"/>
          </w:tcPr>
          <w:p w14:paraId="6E4106B7">
            <w:pPr>
              <w:keepNext w:val="0"/>
              <w:keepLines w:val="0"/>
              <w:pageBreakBefore w:val="0"/>
              <w:widowControl w:val="0"/>
              <w:numPr>
                <w:ilvl w:val="0"/>
                <w:numId w:val="0"/>
              </w:numPr>
              <w:shd w:val="clear"/>
              <w:kinsoku/>
              <w:wordWrap/>
              <w:overflowPunct/>
              <w:topLinePunct w:val="0"/>
              <w:autoSpaceDE/>
              <w:autoSpaceDN/>
              <w:bidi w:val="0"/>
              <w:adjustRightInd/>
              <w:snapToGrid/>
              <w:spacing w:line="320" w:lineRule="auto"/>
              <w:ind w:leftChars="0" w:firstLine="0" w:firstLineChars="0"/>
              <w:jc w:val="both"/>
              <w:textAlignment w:val="auto"/>
              <w:rPr>
                <w:rFonts w:hint="eastAsia" w:eastAsia="Segoe UI" w:cs="Times New Roman"/>
                <w:i w:val="0"/>
                <w:iCs w:val="0"/>
                <w:caps w:val="0"/>
                <w:color w:val="auto"/>
                <w:spacing w:val="0"/>
                <w:sz w:val="21"/>
                <w:szCs w:val="21"/>
                <w:highlight w:val="none"/>
                <w:shd w:val="clear" w:fill="FFFFFF"/>
                <w:lang w:val="en-US" w:eastAsia="zh-CN"/>
              </w:rPr>
            </w:pPr>
            <w:r>
              <w:rPr>
                <w:rFonts w:hint="eastAsia" w:ascii="Times New Roman" w:hAnsi="Times New Roman" w:eastAsia="宋体" w:cs="Times New Roman"/>
                <w:b/>
                <w:bCs/>
                <w:color w:val="auto"/>
                <w:sz w:val="21"/>
                <w:szCs w:val="21"/>
                <w:highlight w:val="none"/>
                <w:lang w:val="en-US" w:eastAsia="zh-CN"/>
              </w:rPr>
              <w:t>(1)academic performance</w:t>
            </w:r>
            <w:r>
              <w:rPr>
                <w:rFonts w:hint="eastAsia" w:eastAsia="宋体" w:cs="Times New Roman"/>
                <w:b/>
                <w:bCs/>
                <w:color w:val="auto"/>
                <w:sz w:val="21"/>
                <w:szCs w:val="21"/>
                <w:highlight w:val="none"/>
                <w:lang w:val="en-US" w:eastAsia="zh-CN"/>
              </w:rPr>
              <w:t xml:space="preserve">: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Four studies (involving 886 university students) reported the association between categorical exposure to screen time (high vs. low) and academic performance.</w:t>
            </w:r>
            <w:r>
              <w:rPr>
                <w:rFonts w:hint="eastAsia" w:eastAsia="Segoe UI" w:cs="Times New Roman"/>
                <w:i w:val="0"/>
                <w:iCs w:val="0"/>
                <w:caps w:val="0"/>
                <w:color w:val="auto"/>
                <w:spacing w:val="0"/>
                <w:sz w:val="21"/>
                <w:szCs w:val="21"/>
                <w:highlight w:val="none"/>
                <w:shd w:val="clear" w:fill="FFFFFF"/>
                <w:lang w:val="en-US" w:eastAsia="zh-CN"/>
              </w:rPr>
              <w:t xml:space="preserve"> </w:t>
            </w:r>
            <w:r>
              <w:rPr>
                <w:rFonts w:hint="eastAsia" w:eastAsia="宋体" w:cs="Times New Roman"/>
                <w:color w:val="auto"/>
                <w:sz w:val="21"/>
                <w:szCs w:val="21"/>
                <w:highlight w:val="none"/>
                <w:lang w:val="en-US" w:eastAsia="zh-CN"/>
              </w:rPr>
              <w:t>B</w:t>
            </w:r>
            <w:r>
              <w:rPr>
                <w:rFonts w:hint="eastAsia" w:ascii="Times New Roman" w:hAnsi="Times New Roman" w:eastAsia="宋体" w:cs="Times New Roman"/>
                <w:color w:val="auto"/>
                <w:sz w:val="21"/>
                <w:szCs w:val="21"/>
                <w:highlight w:val="none"/>
                <w:lang w:val="en-US" w:eastAsia="zh-CN"/>
              </w:rPr>
              <w:t xml:space="preserve">oth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Egger</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s linear regression test (P=0.432) and Begg</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s rank correlation test (P=0.734) indicated no significant publication bias among the included studies</w:t>
            </w:r>
            <w:r>
              <w:rPr>
                <w:rFonts w:hint="eastAsia" w:eastAsia="Segoe UI" w:cs="Times New Roman"/>
                <w:i w:val="0"/>
                <w:iCs w:val="0"/>
                <w:caps w:val="0"/>
                <w:color w:val="auto"/>
                <w:spacing w:val="0"/>
                <w:sz w:val="21"/>
                <w:szCs w:val="21"/>
                <w:highlight w:val="none"/>
                <w:shd w:val="clear" w:fill="FFFFFF"/>
                <w:lang w:val="en-US" w:eastAsia="zh-CN"/>
              </w:rPr>
              <w:t>.</w:t>
            </w:r>
          </w:p>
          <w:p w14:paraId="65313106">
            <w:pPr>
              <w:pStyle w:val="2"/>
              <w:keepNext w:val="0"/>
              <w:keepLines w:val="0"/>
              <w:pageBreakBefore w:val="0"/>
              <w:widowControl/>
              <w:numPr>
                <w:ilvl w:val="0"/>
                <w:numId w:val="0"/>
              </w:numPr>
              <w:kinsoku/>
              <w:wordWrap/>
              <w:overflowPunct/>
              <w:topLinePunct w:val="0"/>
              <w:autoSpaceDE/>
              <w:autoSpaceDN/>
              <w:bidi w:val="0"/>
              <w:adjustRightInd/>
              <w:snapToGrid/>
              <w:spacing w:after="0" w:line="320" w:lineRule="auto"/>
              <w:ind w:left="0" w:leftChars="0" w:firstLine="0" w:firstLineChars="0"/>
              <w:jc w:val="both"/>
              <w:textAlignment w:val="auto"/>
              <w:rPr>
                <w:rFonts w:hint="default" w:ascii="Times New Roman" w:hAnsi="Times New Roman" w:eastAsia="宋体" w:cs="Times New Roman"/>
                <w:b/>
                <w:bCs/>
                <w:color w:val="auto"/>
                <w:sz w:val="21"/>
                <w:szCs w:val="21"/>
                <w:highlight w:val="none"/>
                <w:lang w:val="en-US" w:eastAsia="zh-CN" w:bidi="ar-SA"/>
              </w:rPr>
            </w:pPr>
            <w:r>
              <w:rPr>
                <w:rFonts w:hint="eastAsia" w:ascii="Times New Roman" w:hAnsi="Times New Roman" w:eastAsia="宋体" w:cs="Times New Roman"/>
                <w:b/>
                <w:bCs/>
                <w:color w:val="auto"/>
                <w:sz w:val="21"/>
                <w:szCs w:val="21"/>
                <w:highlight w:val="none"/>
                <w:lang w:val="en-US" w:eastAsia="zh-CN" w:bidi="ar-SA"/>
              </w:rPr>
              <w:t>(2)</w:t>
            </w:r>
            <w:r>
              <w:rPr>
                <w:rFonts w:hint="eastAsia" w:ascii="Times New Roman" w:hAnsi="Times New Roman" w:eastAsia="宋体" w:cs="Times New Roman"/>
                <w:b/>
                <w:bCs/>
                <w:color w:val="auto"/>
                <w:sz w:val="21"/>
                <w:szCs w:val="21"/>
                <w:highlight w:val="none"/>
                <w:lang w:val="en-US" w:eastAsia="zh-CN"/>
              </w:rPr>
              <w:t>depression risk</w:t>
            </w:r>
            <w:r>
              <w:rPr>
                <w:rFonts w:hint="eastAsia" w:eastAsia="宋体" w:cs="Times New Roman"/>
                <w:b/>
                <w:bCs/>
                <w:color w:val="auto"/>
                <w:sz w:val="21"/>
                <w:szCs w:val="21"/>
                <w:highlight w:val="none"/>
                <w:lang w:val="en-US" w:eastAsia="zh-CN"/>
              </w:rPr>
              <w:t xml:space="preserve">: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Seventeen studies (involving 30352 university students) explored the association between categorical exposure to screen time (high vs. low) and depression risk.</w:t>
            </w:r>
            <w:r>
              <w:rPr>
                <w:rFonts w:hint="eastAsia" w:eastAsia="Segoe UI" w:cs="Times New Roman"/>
                <w:i w:val="0"/>
                <w:iCs w:val="0"/>
                <w:caps w:val="0"/>
                <w:color w:val="auto"/>
                <w:spacing w:val="0"/>
                <w:sz w:val="21"/>
                <w:szCs w:val="21"/>
                <w:highlight w:val="none"/>
                <w:shd w:val="clear" w:fill="FFFFFF"/>
                <w:lang w:val="en-US" w:eastAsia="zh-CN"/>
              </w:rPr>
              <w:t xml:space="preserve"> T</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he funnel plot was basically symmetric, and both Egger</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s linear regression test (P=0.455) and Begg</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s rank correlation test (P=0.631) indicated no significant publication bias among the included studies.</w:t>
            </w:r>
          </w:p>
          <w:p w14:paraId="0B2B0E19">
            <w:pPr>
              <w:keepNext w:val="0"/>
              <w:keepLines w:val="0"/>
              <w:pageBreakBefore w:val="0"/>
              <w:widowControl/>
              <w:kinsoku/>
              <w:wordWrap/>
              <w:overflowPunct/>
              <w:topLinePunct w:val="0"/>
              <w:autoSpaceDE/>
              <w:autoSpaceDN/>
              <w:bidi w:val="0"/>
              <w:adjustRightInd/>
              <w:snapToGrid/>
              <w:spacing w:line="320" w:lineRule="auto"/>
              <w:ind w:left="0" w:leftChars="0" w:firstLine="0" w:firstLineChars="0"/>
              <w:jc w:val="both"/>
              <w:textAlignment w:val="auto"/>
              <w:rPr>
                <w:rFonts w:hint="default" w:ascii="Times New Roman" w:hAnsi="Times New Roman" w:eastAsia="宋体" w:cs="Times New Roman"/>
                <w:b/>
                <w:bCs/>
                <w:color w:val="auto"/>
                <w:sz w:val="21"/>
                <w:szCs w:val="21"/>
                <w:highlight w:val="none"/>
                <w:lang w:val="en-US" w:eastAsia="zh-CN" w:bidi="ar-SA"/>
              </w:rPr>
            </w:pPr>
            <w:r>
              <w:rPr>
                <w:rFonts w:hint="eastAsia" w:ascii="Times New Roman" w:hAnsi="Times New Roman" w:eastAsia="宋体" w:cs="Times New Roman"/>
                <w:b/>
                <w:bCs/>
                <w:color w:val="auto"/>
                <w:sz w:val="21"/>
                <w:szCs w:val="21"/>
                <w:highlight w:val="none"/>
                <w:lang w:val="en-US" w:eastAsia="zh-CN" w:bidi="ar-SA"/>
              </w:rPr>
              <w:t>(3)</w:t>
            </w:r>
            <w:r>
              <w:rPr>
                <w:rFonts w:hint="eastAsia" w:ascii="Times New Roman" w:hAnsi="Times New Roman" w:eastAsia="宋体" w:cs="Times New Roman"/>
                <w:b/>
                <w:bCs/>
                <w:color w:val="auto"/>
                <w:sz w:val="21"/>
                <w:szCs w:val="21"/>
                <w:highlight w:val="none"/>
                <w:lang w:val="en-US" w:eastAsia="zh-CN"/>
              </w:rPr>
              <w:t>anxiety risk</w:t>
            </w:r>
            <w:r>
              <w:rPr>
                <w:rFonts w:hint="eastAsia" w:eastAsia="宋体" w:cs="Times New Roman"/>
                <w:b/>
                <w:bCs/>
                <w:color w:val="auto"/>
                <w:sz w:val="21"/>
                <w:szCs w:val="21"/>
                <w:highlight w:val="none"/>
                <w:lang w:val="en-US" w:eastAsia="zh-CN"/>
              </w:rPr>
              <w:t xml:space="preserve">: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Nine studies (involving 10990 university students) explored the association between categorical exposure to screen time (high vs. low) and anxiety risk.</w:t>
            </w:r>
            <w:r>
              <w:rPr>
                <w:rFonts w:hint="eastAsia" w:eastAsia="Segoe UI" w:cs="Times New Roman"/>
                <w:i w:val="0"/>
                <w:iCs w:val="0"/>
                <w:caps w:val="0"/>
                <w:color w:val="auto"/>
                <w:spacing w:val="0"/>
                <w:sz w:val="21"/>
                <w:szCs w:val="21"/>
                <w:highlight w:val="none"/>
                <w:shd w:val="clear" w:fill="FFFFFF"/>
                <w:lang w:val="en-US" w:eastAsia="zh-CN"/>
              </w:rPr>
              <w:t xml:space="preserve"> B</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oth Egger</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s linear regression test (P=0.768) and Begg</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s rank correlation test (P=0.707) indicated no significant publication bias among the included studies.</w:t>
            </w:r>
          </w:p>
          <w:p w14:paraId="0BB3169F">
            <w:pPr>
              <w:pStyle w:val="2"/>
              <w:keepNext w:val="0"/>
              <w:keepLines w:val="0"/>
              <w:pageBreakBefore w:val="0"/>
              <w:widowControl/>
              <w:kinsoku/>
              <w:wordWrap/>
              <w:overflowPunct/>
              <w:topLinePunct w:val="0"/>
              <w:autoSpaceDE/>
              <w:autoSpaceDN/>
              <w:bidi w:val="0"/>
              <w:adjustRightInd/>
              <w:snapToGrid/>
              <w:spacing w:after="0" w:line="320" w:lineRule="auto"/>
              <w:ind w:left="0" w:leftChars="0" w:firstLine="0" w:firstLineChars="0"/>
              <w:jc w:val="both"/>
              <w:textAlignment w:val="auto"/>
              <w:rPr>
                <w:rFonts w:hint="default" w:ascii="Times New Roman" w:hAnsi="Times New Roman" w:eastAsia="宋体" w:cs="Times New Roman"/>
                <w:b/>
                <w:bCs/>
                <w:color w:val="auto"/>
                <w:sz w:val="21"/>
                <w:szCs w:val="21"/>
                <w:highlight w:val="none"/>
                <w:lang w:val="en-US" w:eastAsia="zh-CN" w:bidi="ar-SA"/>
              </w:rPr>
            </w:pPr>
            <w:r>
              <w:rPr>
                <w:rFonts w:hint="eastAsia" w:ascii="Times New Roman" w:hAnsi="Times New Roman" w:eastAsia="宋体" w:cs="Times New Roman"/>
                <w:b/>
                <w:bCs/>
                <w:color w:val="auto"/>
                <w:sz w:val="21"/>
                <w:szCs w:val="21"/>
                <w:highlight w:val="none"/>
                <w:lang w:val="en-US" w:eastAsia="zh-CN" w:bidi="ar-SA"/>
              </w:rPr>
              <w:t>(4)</w:t>
            </w:r>
            <w:r>
              <w:rPr>
                <w:rFonts w:hint="eastAsia" w:ascii="Times New Roman" w:hAnsi="Times New Roman" w:eastAsia="宋体" w:cs="Times New Roman"/>
                <w:b/>
                <w:bCs/>
                <w:color w:val="auto"/>
                <w:sz w:val="21"/>
                <w:szCs w:val="21"/>
                <w:highlight w:val="none"/>
                <w:lang w:val="en-US" w:eastAsia="zh-CN"/>
              </w:rPr>
              <w:t>stress risk</w:t>
            </w:r>
            <w:r>
              <w:rPr>
                <w:rFonts w:hint="eastAsia" w:eastAsia="宋体" w:cs="Times New Roman"/>
                <w:b/>
                <w:bCs/>
                <w:color w:val="auto"/>
                <w:sz w:val="21"/>
                <w:szCs w:val="21"/>
                <w:highlight w:val="none"/>
                <w:lang w:val="en-US" w:eastAsia="zh-CN"/>
              </w:rPr>
              <w:t xml:space="preserve">: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Six studies (involving 4453 university students) explored the association between categorical exposure to screen time (high vs. low) and stress risk.</w:t>
            </w:r>
            <w:r>
              <w:rPr>
                <w:rFonts w:hint="eastAsia" w:eastAsia="Segoe UI" w:cs="Times New Roman"/>
                <w:i w:val="0"/>
                <w:iCs w:val="0"/>
                <w:caps w:val="0"/>
                <w:color w:val="auto"/>
                <w:spacing w:val="0"/>
                <w:sz w:val="21"/>
                <w:szCs w:val="21"/>
                <w:highlight w:val="none"/>
                <w:shd w:val="clear" w:fill="FFFFFF"/>
                <w:lang w:val="en-US" w:eastAsia="zh-CN"/>
              </w:rPr>
              <w:t xml:space="preserve"> B</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oth Egger</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s linear regression test (P=0.382) and Begg</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s rank correlation test (P=0.308) indicated no significant publication bias among the included studies.</w:t>
            </w:r>
          </w:p>
          <w:p w14:paraId="2E107093">
            <w:pPr>
              <w:keepNext w:val="0"/>
              <w:keepLines w:val="0"/>
              <w:pageBreakBefore w:val="0"/>
              <w:widowControl/>
              <w:kinsoku/>
              <w:wordWrap/>
              <w:overflowPunct/>
              <w:topLinePunct w:val="0"/>
              <w:autoSpaceDE/>
              <w:autoSpaceDN/>
              <w:bidi w:val="0"/>
              <w:adjustRightInd/>
              <w:snapToGrid/>
              <w:spacing w:line="320" w:lineRule="auto"/>
              <w:ind w:left="0" w:leftChars="0" w:firstLine="0" w:firstLineChars="0"/>
              <w:jc w:val="both"/>
              <w:textAlignment w:val="auto"/>
              <w:rPr>
                <w:rFonts w:hint="default" w:ascii="Times New Roman" w:hAnsi="Times New Roman" w:eastAsia="宋体" w:cs="Times New Roman"/>
                <w:b/>
                <w:bCs/>
                <w:color w:val="auto"/>
                <w:sz w:val="21"/>
                <w:szCs w:val="21"/>
                <w:highlight w:val="none"/>
                <w:lang w:val="en-US" w:eastAsia="zh-CN" w:bidi="ar-SA"/>
              </w:rPr>
            </w:pPr>
            <w:r>
              <w:rPr>
                <w:rFonts w:hint="eastAsia" w:ascii="Times New Roman" w:hAnsi="Times New Roman" w:eastAsia="宋体" w:cs="Times New Roman"/>
                <w:b/>
                <w:bCs/>
                <w:color w:val="auto"/>
                <w:sz w:val="21"/>
                <w:szCs w:val="21"/>
                <w:highlight w:val="none"/>
                <w:lang w:val="en-US" w:eastAsia="zh-CN" w:bidi="ar-SA"/>
              </w:rPr>
              <w:t>(5)</w:t>
            </w:r>
            <w:r>
              <w:rPr>
                <w:rFonts w:hint="default" w:ascii="Times New Roman" w:hAnsi="Times New Roman" w:eastAsia="宋体" w:cs="Times New Roman"/>
                <w:b/>
                <w:bCs/>
                <w:color w:val="auto"/>
                <w:sz w:val="21"/>
                <w:szCs w:val="21"/>
                <w:highlight w:val="none"/>
                <w:lang w:val="en-US" w:eastAsia="zh-CN"/>
              </w:rPr>
              <w:t>p</w:t>
            </w:r>
            <w:r>
              <w:rPr>
                <w:rFonts w:hint="eastAsia" w:ascii="Times New Roman" w:hAnsi="Times New Roman" w:eastAsia="宋体" w:cs="Times New Roman"/>
                <w:b/>
                <w:bCs/>
                <w:color w:val="auto"/>
                <w:sz w:val="21"/>
                <w:szCs w:val="21"/>
                <w:highlight w:val="none"/>
                <w:lang w:val="en-US" w:eastAsia="zh-CN"/>
              </w:rPr>
              <w:t>hysical pain</w:t>
            </w:r>
            <w:r>
              <w:rPr>
                <w:rFonts w:hint="eastAsia" w:eastAsia="宋体" w:cs="Times New Roman"/>
                <w:b/>
                <w:bCs/>
                <w:color w:val="auto"/>
                <w:sz w:val="21"/>
                <w:szCs w:val="21"/>
                <w:highlight w:val="none"/>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Nine studies (involving 4654 university students)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analyzed</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the association between categorical exposure to screen time (high vs. low) and physical pain.</w:t>
            </w:r>
            <w:r>
              <w:rPr>
                <w:rFonts w:hint="eastAsia" w:eastAsia="Segoe UI" w:cs="Times New Roman"/>
                <w:i w:val="0"/>
                <w:iCs w:val="0"/>
                <w:caps w:val="0"/>
                <w:color w:val="auto"/>
                <w:spacing w:val="0"/>
                <w:sz w:val="21"/>
                <w:szCs w:val="21"/>
                <w:highlight w:val="none"/>
                <w:shd w:val="clear" w:fill="FFFFFF"/>
                <w:lang w:val="en-US" w:eastAsia="zh-CN"/>
              </w:rPr>
              <w:t xml:space="preserve"> B</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oth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Egger's linear regression test (P=0.430) and Begg's rank correlation test (P=0.707) indicated no significant publication bias among the included studies.</w:t>
            </w:r>
          </w:p>
          <w:p w14:paraId="43089ACA">
            <w:pPr>
              <w:pStyle w:val="2"/>
              <w:keepNext w:val="0"/>
              <w:keepLines w:val="0"/>
              <w:pageBreakBefore w:val="0"/>
              <w:widowControl/>
              <w:kinsoku/>
              <w:wordWrap/>
              <w:overflowPunct/>
              <w:topLinePunct w:val="0"/>
              <w:autoSpaceDE/>
              <w:autoSpaceDN/>
              <w:bidi w:val="0"/>
              <w:adjustRightInd/>
              <w:snapToGrid/>
              <w:spacing w:after="0" w:line="320" w:lineRule="auto"/>
              <w:ind w:left="0" w:leftChars="0" w:firstLine="0" w:firstLineChars="0"/>
              <w:jc w:val="both"/>
              <w:textAlignment w:val="auto"/>
              <w:rPr>
                <w:rFonts w:hint="default" w:ascii="Times New Roman" w:hAnsi="Times New Roman" w:eastAsia="宋体" w:cs="Times New Roman"/>
                <w:b/>
                <w:bCs/>
                <w:color w:val="auto"/>
                <w:sz w:val="21"/>
                <w:szCs w:val="21"/>
                <w:highlight w:val="none"/>
                <w:lang w:val="en-US" w:eastAsia="zh-CN" w:bidi="ar-SA"/>
              </w:rPr>
            </w:pPr>
            <w:r>
              <w:rPr>
                <w:rFonts w:hint="eastAsia" w:ascii="Times New Roman" w:hAnsi="Times New Roman" w:eastAsia="宋体" w:cs="Times New Roman"/>
                <w:b/>
                <w:bCs/>
                <w:color w:val="auto"/>
                <w:sz w:val="21"/>
                <w:szCs w:val="21"/>
                <w:highlight w:val="none"/>
                <w:lang w:val="en-US" w:eastAsia="zh-CN" w:bidi="ar-SA"/>
              </w:rPr>
              <w:t>(6)</w:t>
            </w:r>
            <w:r>
              <w:rPr>
                <w:rFonts w:hint="eastAsia" w:ascii="Times New Roman" w:hAnsi="Times New Roman" w:eastAsia="宋体" w:cs="Times New Roman"/>
                <w:b/>
                <w:bCs/>
                <w:color w:val="auto"/>
                <w:sz w:val="21"/>
                <w:szCs w:val="21"/>
                <w:highlight w:val="none"/>
                <w:lang w:val="en-US" w:eastAsia="zh-CN"/>
              </w:rPr>
              <w:t>sleep duration</w:t>
            </w:r>
            <w:r>
              <w:rPr>
                <w:rFonts w:hint="eastAsia" w:eastAsia="宋体" w:cs="Times New Roman"/>
                <w:b/>
                <w:bCs/>
                <w:color w:val="auto"/>
                <w:sz w:val="21"/>
                <w:szCs w:val="21"/>
                <w:highlight w:val="none"/>
                <w:lang w:val="en-US" w:eastAsia="zh-CN"/>
              </w:rPr>
              <w:t xml:space="preserve">: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Eight studies (involving 5762 university students) reported the association between categorical exposure to screen time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(high vs. low)</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and sleep duration.</w:t>
            </w:r>
            <w:r>
              <w:rPr>
                <w:rFonts w:hint="eastAsia" w:eastAsia="Segoe UI" w:cs="Times New Roman"/>
                <w:i w:val="0"/>
                <w:iCs w:val="0"/>
                <w:caps w:val="0"/>
                <w:color w:val="auto"/>
                <w:spacing w:val="0"/>
                <w:sz w:val="21"/>
                <w:szCs w:val="21"/>
                <w:highlight w:val="none"/>
                <w:shd w:val="clear" w:fill="FFFFFF"/>
                <w:lang w:val="en-US" w:eastAsia="zh-CN"/>
              </w:rPr>
              <w:t xml:space="preserve">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Both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Egger's linear regression test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(P=0.356) and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Begg's rank correlation test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(P=0.806) indicated no significant publication bias among the included studies</w:t>
            </w:r>
            <w:r>
              <w:rPr>
                <w:rFonts w:hint="eastAsia" w:eastAsia="Segoe UI" w:cs="Times New Roman"/>
                <w:i w:val="0"/>
                <w:iCs w:val="0"/>
                <w:caps w:val="0"/>
                <w:color w:val="auto"/>
                <w:spacing w:val="0"/>
                <w:sz w:val="21"/>
                <w:szCs w:val="21"/>
                <w:highlight w:val="none"/>
                <w:shd w:val="clear" w:fill="FFFFFF"/>
                <w:lang w:val="en-US" w:eastAsia="zh-CN"/>
              </w:rPr>
              <w:t>.</w:t>
            </w:r>
          </w:p>
          <w:p w14:paraId="38AF2034">
            <w:pPr>
              <w:keepNext w:val="0"/>
              <w:keepLines w:val="0"/>
              <w:pageBreakBefore w:val="0"/>
              <w:widowControl/>
              <w:kinsoku/>
              <w:wordWrap/>
              <w:overflowPunct/>
              <w:topLinePunct w:val="0"/>
              <w:autoSpaceDE/>
              <w:autoSpaceDN/>
              <w:bidi w:val="0"/>
              <w:adjustRightInd/>
              <w:snapToGrid/>
              <w:spacing w:line="320" w:lineRule="auto"/>
              <w:ind w:left="0" w:leftChars="0" w:firstLine="0" w:firstLineChars="0"/>
              <w:jc w:val="both"/>
              <w:textAlignment w:val="auto"/>
              <w:rPr>
                <w:rFonts w:hint="default" w:ascii="Times New Roman" w:hAnsi="Times New Roman" w:eastAsia="宋体" w:cs="Times New Roman"/>
                <w:b/>
                <w:bCs/>
                <w:color w:val="auto"/>
                <w:sz w:val="21"/>
                <w:szCs w:val="21"/>
                <w:highlight w:val="none"/>
                <w:lang w:val="en-US" w:eastAsia="zh-CN" w:bidi="ar-SA"/>
              </w:rPr>
            </w:pPr>
            <w:r>
              <w:rPr>
                <w:rFonts w:hint="eastAsia" w:ascii="Times New Roman" w:hAnsi="Times New Roman" w:eastAsia="宋体" w:cs="Times New Roman"/>
                <w:b/>
                <w:bCs/>
                <w:color w:val="auto"/>
                <w:sz w:val="21"/>
                <w:szCs w:val="21"/>
                <w:highlight w:val="none"/>
                <w:lang w:val="en-US" w:eastAsia="zh-CN" w:bidi="ar-SA"/>
              </w:rPr>
              <w:t>(7)</w:t>
            </w:r>
            <w:r>
              <w:rPr>
                <w:rFonts w:hint="eastAsia" w:ascii="Times New Roman" w:hAnsi="Times New Roman" w:eastAsia="宋体" w:cs="Times New Roman"/>
                <w:b/>
                <w:bCs/>
                <w:color w:val="auto"/>
                <w:sz w:val="21"/>
                <w:szCs w:val="21"/>
                <w:highlight w:val="none"/>
                <w:lang w:val="en-US" w:eastAsia="zh-CN"/>
              </w:rPr>
              <w:t>sleep quality</w:t>
            </w:r>
            <w:r>
              <w:rPr>
                <w:rFonts w:hint="eastAsia" w:eastAsia="宋体" w:cs="Times New Roman"/>
                <w:b/>
                <w:bCs/>
                <w:color w:val="auto"/>
                <w:sz w:val="21"/>
                <w:szCs w:val="21"/>
                <w:highlight w:val="none"/>
                <w:lang w:val="en-US" w:eastAsia="zh-CN"/>
              </w:rPr>
              <w:t xml:space="preserve">: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Twenty-five studies (involving 29213 university students) reported the association between categorical exposure to screen time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(high vs. low)</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and sleep quality.</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w:t>
            </w:r>
            <w:r>
              <w:rPr>
                <w:rFonts w:hint="eastAsia" w:eastAsia="Segoe UI" w:cs="Times New Roman"/>
                <w:i w:val="0"/>
                <w:iCs w:val="0"/>
                <w:caps w:val="0"/>
                <w:color w:val="auto"/>
                <w:spacing w:val="0"/>
                <w:sz w:val="21"/>
                <w:szCs w:val="21"/>
                <w:highlight w:val="none"/>
                <w:shd w:val="clear" w:fill="FFFFFF"/>
                <w:lang w:val="en-US" w:eastAsia="zh-CN"/>
              </w:rPr>
              <w:t>T</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he funnel plot showed asymmetry, and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Egger's linear regression test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(P=0.017) and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Begg's rank correlation test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(P=0.208) suggested possible publication bias</w:t>
            </w:r>
            <w:r>
              <w:rPr>
                <w:rFonts w:hint="eastAsia" w:eastAsia="Segoe UI" w:cs="Times New Roman"/>
                <w:i w:val="0"/>
                <w:iCs w:val="0"/>
                <w:caps w:val="0"/>
                <w:color w:val="auto"/>
                <w:spacing w:val="0"/>
                <w:sz w:val="21"/>
                <w:szCs w:val="21"/>
                <w:highlight w:val="none"/>
                <w:shd w:val="clear" w:fill="FFFFFF"/>
                <w:lang w:val="en-US" w:eastAsia="zh-CN"/>
              </w:rPr>
              <w:t>.</w:t>
            </w:r>
          </w:p>
          <w:p w14:paraId="6B9D1F26">
            <w:pPr>
              <w:pStyle w:val="2"/>
              <w:keepNext w:val="0"/>
              <w:keepLines w:val="0"/>
              <w:pageBreakBefore w:val="0"/>
              <w:widowControl/>
              <w:kinsoku/>
              <w:wordWrap/>
              <w:overflowPunct/>
              <w:topLinePunct w:val="0"/>
              <w:autoSpaceDE/>
              <w:autoSpaceDN/>
              <w:bidi w:val="0"/>
              <w:adjustRightInd/>
              <w:snapToGrid/>
              <w:spacing w:after="0" w:line="320" w:lineRule="auto"/>
              <w:ind w:left="0" w:leftChars="0" w:firstLine="0" w:firstLineChars="0"/>
              <w:jc w:val="both"/>
              <w:textAlignment w:val="auto"/>
              <w:rPr>
                <w:rFonts w:hint="default" w:ascii="Times New Roman" w:hAnsi="Times New Roman" w:eastAsia="宋体" w:cs="Times New Roman"/>
                <w:b/>
                <w:bCs/>
                <w:color w:val="auto"/>
                <w:sz w:val="21"/>
                <w:szCs w:val="21"/>
                <w:highlight w:val="none"/>
                <w:lang w:val="en-US" w:eastAsia="zh-CN" w:bidi="ar-SA"/>
              </w:rPr>
            </w:pPr>
            <w:r>
              <w:rPr>
                <w:rFonts w:hint="eastAsia" w:ascii="Times New Roman" w:hAnsi="Times New Roman" w:eastAsia="宋体" w:cs="Times New Roman"/>
                <w:b/>
                <w:bCs/>
                <w:color w:val="auto"/>
                <w:sz w:val="21"/>
                <w:szCs w:val="21"/>
                <w:highlight w:val="none"/>
                <w:lang w:val="en-US" w:eastAsia="zh-CN" w:bidi="ar-SA"/>
              </w:rPr>
              <w:t>(8)</w:t>
            </w:r>
            <w:r>
              <w:rPr>
                <w:rFonts w:hint="eastAsia" w:ascii="Times New Roman" w:hAnsi="Times New Roman" w:eastAsia="宋体" w:cs="Times New Roman"/>
                <w:b/>
                <w:bCs/>
                <w:color w:val="auto"/>
                <w:sz w:val="21"/>
                <w:szCs w:val="21"/>
                <w:highlight w:val="none"/>
                <w:lang w:val="en-US" w:eastAsia="zh-CN"/>
              </w:rPr>
              <w:t>digital eye strain</w:t>
            </w:r>
            <w:r>
              <w:rPr>
                <w:rFonts w:hint="eastAsia" w:eastAsia="宋体" w:cs="Times New Roman"/>
                <w:b/>
                <w:bCs/>
                <w:color w:val="auto"/>
                <w:sz w:val="21"/>
                <w:szCs w:val="21"/>
                <w:highlight w:val="none"/>
                <w:lang w:val="en-US" w:eastAsia="zh-CN"/>
              </w:rPr>
              <w:t xml:space="preserve">: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Twenty-six studies (involving 19417 university students) reported the association between categorical exposure to screen time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(high vs. low)</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and digital eye strain. </w:t>
            </w:r>
            <w:r>
              <w:rPr>
                <w:rFonts w:hint="eastAsia" w:eastAsia="Segoe UI" w:cs="Times New Roman"/>
                <w:i w:val="0"/>
                <w:iCs w:val="0"/>
                <w:caps w:val="0"/>
                <w:color w:val="auto"/>
                <w:spacing w:val="0"/>
                <w:sz w:val="21"/>
                <w:szCs w:val="21"/>
                <w:highlight w:val="none"/>
                <w:shd w:val="clear" w:fill="FFFFFF"/>
                <w:lang w:val="en-US" w:eastAsia="zh-CN"/>
              </w:rPr>
              <w:t>T</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he funnel plot showed asymmetry, and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Egger's linear regression test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(P=0.063) and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Begg's rank correlation test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(P=0.006) suggested possible publication bias</w:t>
            </w:r>
            <w:r>
              <w:rPr>
                <w:rFonts w:hint="eastAsia" w:eastAsia="Segoe UI" w:cs="Times New Roman"/>
                <w:i w:val="0"/>
                <w:iCs w:val="0"/>
                <w:caps w:val="0"/>
                <w:color w:val="auto"/>
                <w:spacing w:val="0"/>
                <w:sz w:val="21"/>
                <w:szCs w:val="21"/>
                <w:highlight w:val="none"/>
                <w:shd w:val="clear" w:fill="FFFFFF"/>
                <w:lang w:val="en-US" w:eastAsia="zh-CN"/>
              </w:rPr>
              <w:t>.</w:t>
            </w:r>
          </w:p>
          <w:p w14:paraId="26C6D0FF">
            <w:pPr>
              <w:keepNext w:val="0"/>
              <w:keepLines w:val="0"/>
              <w:pageBreakBefore w:val="0"/>
              <w:widowControl/>
              <w:kinsoku/>
              <w:wordWrap/>
              <w:overflowPunct/>
              <w:topLinePunct w:val="0"/>
              <w:autoSpaceDE/>
              <w:autoSpaceDN/>
              <w:bidi w:val="0"/>
              <w:adjustRightInd/>
              <w:snapToGrid/>
              <w:spacing w:line="320" w:lineRule="auto"/>
              <w:ind w:left="0" w:leftChars="0" w:firstLine="0" w:firstLineChars="0"/>
              <w:jc w:val="both"/>
              <w:textAlignment w:val="auto"/>
              <w:rPr>
                <w:rFonts w:hint="default" w:ascii="Times New Roman" w:hAnsi="Times New Roman" w:eastAsia="宋体" w:cs="Times New Roman"/>
                <w:b/>
                <w:bCs/>
                <w:color w:val="auto"/>
                <w:sz w:val="21"/>
                <w:szCs w:val="21"/>
                <w:highlight w:val="none"/>
                <w:lang w:val="en-US" w:eastAsia="zh-CN" w:bidi="ar-SA"/>
              </w:rPr>
            </w:pPr>
            <w:r>
              <w:rPr>
                <w:rFonts w:hint="eastAsia" w:ascii="Times New Roman" w:hAnsi="Times New Roman" w:eastAsia="宋体" w:cs="Times New Roman"/>
                <w:b/>
                <w:bCs/>
                <w:color w:val="auto"/>
                <w:sz w:val="21"/>
                <w:szCs w:val="21"/>
                <w:highlight w:val="none"/>
                <w:lang w:val="en-US" w:eastAsia="zh-CN" w:bidi="ar-SA"/>
              </w:rPr>
              <w:t>(9)</w:t>
            </w:r>
            <w:r>
              <w:rPr>
                <w:rFonts w:hint="eastAsia" w:ascii="Times New Roman" w:hAnsi="Times New Roman" w:eastAsia="宋体" w:cs="Times New Roman"/>
                <w:b/>
                <w:bCs/>
                <w:color w:val="auto"/>
                <w:sz w:val="21"/>
                <w:szCs w:val="21"/>
                <w:highlight w:val="none"/>
                <w:lang w:val="en-US" w:eastAsia="zh-CN"/>
              </w:rPr>
              <w:t>BMI</w:t>
            </w:r>
            <w:r>
              <w:rPr>
                <w:rFonts w:hint="eastAsia" w:eastAsia="宋体" w:cs="Times New Roman"/>
                <w:b/>
                <w:bCs/>
                <w:color w:val="auto"/>
                <w:sz w:val="21"/>
                <w:szCs w:val="21"/>
                <w:highlight w:val="none"/>
                <w:lang w:val="en-US" w:eastAsia="zh-CN"/>
              </w:rPr>
              <w:t xml:space="preserve">: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Five studies (involving 1909 university students) analyzed the association between categorical exposure to screen time (high vs. low) and BMI. Both Egger's linear regression test (P=0.686) and Begg's rank correlation test (P=0.806) indicated no significant publication bias among the included studies</w:t>
            </w:r>
            <w:r>
              <w:rPr>
                <w:rFonts w:hint="eastAsia" w:eastAsia="Segoe UI" w:cs="Times New Roman"/>
                <w:i w:val="0"/>
                <w:iCs w:val="0"/>
                <w:caps w:val="0"/>
                <w:color w:val="auto"/>
                <w:spacing w:val="0"/>
                <w:sz w:val="21"/>
                <w:szCs w:val="21"/>
                <w:highlight w:val="none"/>
                <w:shd w:val="clear" w:fill="FFFFFF"/>
                <w:lang w:val="en-US" w:eastAsia="zh-CN"/>
              </w:rPr>
              <w:t>.</w:t>
            </w:r>
          </w:p>
          <w:p w14:paraId="21EC4B31">
            <w:pPr>
              <w:pStyle w:val="15"/>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Times New Roman" w:hAnsi="Times New Roman" w:cs="Times New Roman"/>
                <w:color w:val="auto"/>
                <w:highlight w:val="none"/>
                <w:lang w:val="en-US" w:eastAsia="zh-CN"/>
              </w:rPr>
            </w:pPr>
            <w:r>
              <w:rPr>
                <w:rFonts w:hint="eastAsia" w:ascii="Times New Roman" w:hAnsi="Times New Roman" w:eastAsia="宋体" w:cs="Times New Roman"/>
                <w:b/>
                <w:bCs/>
                <w:color w:val="auto"/>
                <w:sz w:val="21"/>
                <w:szCs w:val="21"/>
                <w:highlight w:val="none"/>
                <w:lang w:val="en-US" w:eastAsia="zh-CN" w:bidi="ar-SA"/>
              </w:rPr>
              <w:t>(10)</w:t>
            </w:r>
            <w:r>
              <w:rPr>
                <w:rFonts w:hint="eastAsia" w:ascii="Times New Roman" w:hAnsi="Times New Roman" w:eastAsia="宋体" w:cs="Times New Roman"/>
                <w:b/>
                <w:bCs/>
                <w:color w:val="auto"/>
                <w:sz w:val="21"/>
                <w:szCs w:val="21"/>
                <w:highlight w:val="none"/>
                <w:lang w:val="en-US" w:eastAsia="zh-CN"/>
              </w:rPr>
              <w:t>physical activity</w:t>
            </w:r>
            <w:r>
              <w:rPr>
                <w:rFonts w:hint="eastAsia" w:eastAsia="宋体" w:cs="Times New Roman"/>
                <w:b/>
                <w:bCs/>
                <w:color w:val="auto"/>
                <w:sz w:val="21"/>
                <w:szCs w:val="21"/>
                <w:highlight w:val="none"/>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Five studies (involving 2158 university students) analyzed the association between categorical exposure to screen time (high vs. low) and physical activity. Both Egger's linear regression test (P=0.136) and Begg's rank correlation test (P=0.308) indicated no significant publication bias among the included studies</w:t>
            </w:r>
            <w:r>
              <w:rPr>
                <w:rFonts w:hint="eastAsia" w:eastAsia="Segoe UI" w:cs="Times New Roman"/>
                <w:i w:val="0"/>
                <w:iCs w:val="0"/>
                <w:caps w:val="0"/>
                <w:color w:val="auto"/>
                <w:spacing w:val="0"/>
                <w:sz w:val="21"/>
                <w:szCs w:val="21"/>
                <w:highlight w:val="none"/>
                <w:shd w:val="clear" w:fill="FFFFFF"/>
                <w:lang w:val="en-US" w:eastAsia="zh-CN"/>
              </w:rPr>
              <w:t>.</w:t>
            </w:r>
          </w:p>
        </w:tc>
        <w:tc>
          <w:tcPr>
            <w:tcW w:w="1260" w:type="dxa"/>
            <w:tcBorders>
              <w:top w:val="double" w:color="auto" w:sz="4" w:space="0"/>
              <w:bottom w:val="double" w:color="auto" w:sz="4" w:space="0"/>
              <w:right w:val="double" w:color="auto" w:sz="4" w:space="0"/>
            </w:tcBorders>
            <w:vAlign w:val="center"/>
          </w:tcPr>
          <w:p w14:paraId="7CEB2DC8">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P8-P14</w:t>
            </w:r>
          </w:p>
        </w:tc>
      </w:tr>
      <w:tr w14:paraId="1AF5C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86" w:type="dxa"/>
            <w:tcBorders>
              <w:top w:val="double" w:color="auto" w:sz="4" w:space="0"/>
              <w:left w:val="double" w:color="auto" w:sz="4" w:space="0"/>
              <w:bottom w:val="double" w:color="auto" w:sz="4" w:space="0"/>
            </w:tcBorders>
            <w:vAlign w:val="center"/>
          </w:tcPr>
          <w:p w14:paraId="36E3020F">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Certainty of evidence</w:t>
            </w:r>
          </w:p>
        </w:tc>
        <w:tc>
          <w:tcPr>
            <w:tcW w:w="731" w:type="dxa"/>
            <w:tcBorders>
              <w:top w:val="double" w:color="auto" w:sz="4" w:space="0"/>
              <w:bottom w:val="double" w:color="auto" w:sz="4" w:space="0"/>
            </w:tcBorders>
            <w:vAlign w:val="center"/>
          </w:tcPr>
          <w:p w14:paraId="1C372677">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22</w:t>
            </w:r>
          </w:p>
        </w:tc>
        <w:tc>
          <w:tcPr>
            <w:tcW w:w="11582" w:type="dxa"/>
            <w:tcBorders>
              <w:top w:val="double" w:color="auto" w:sz="4" w:space="0"/>
              <w:bottom w:val="double" w:color="auto" w:sz="4" w:space="0"/>
            </w:tcBorders>
            <w:vAlign w:val="center"/>
          </w:tcPr>
          <w:p w14:paraId="69B95DFA">
            <w:pPr>
              <w:pStyle w:val="15"/>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default" w:ascii="Times New Roman" w:hAnsi="Times New Roman" w:cs="Times New Roman"/>
                <w:color w:val="auto"/>
                <w:sz w:val="21"/>
                <w:szCs w:val="21"/>
                <w:highlight w:val="none"/>
              </w:rPr>
            </w:pP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The GRADE evidence quality assessments and JBI risk of bias evaluation results are shown in Supplement file (Tables S1 - S3).</w:t>
            </w:r>
          </w:p>
        </w:tc>
        <w:tc>
          <w:tcPr>
            <w:tcW w:w="1260" w:type="dxa"/>
            <w:tcBorders>
              <w:top w:val="double" w:color="auto" w:sz="4" w:space="0"/>
              <w:bottom w:val="double" w:color="auto" w:sz="4" w:space="0"/>
              <w:right w:val="double" w:color="auto" w:sz="4" w:space="0"/>
            </w:tcBorders>
            <w:vAlign w:val="center"/>
          </w:tcPr>
          <w:p w14:paraId="7190BF71">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lang w:val="en-US"/>
              </w:rPr>
            </w:pPr>
            <w:r>
              <w:rPr>
                <w:rFonts w:hint="eastAsia" w:ascii="Times New Roman" w:hAnsi="Times New Roman" w:eastAsia="Segoe UI" w:cs="Times New Roman"/>
                <w:i w:val="0"/>
                <w:iCs w:val="0"/>
                <w:caps w:val="0"/>
                <w:color w:val="auto"/>
                <w:spacing w:val="0"/>
                <w:sz w:val="18"/>
                <w:szCs w:val="18"/>
                <w:highlight w:val="none"/>
                <w:shd w:val="clear" w:fill="FFFFFF"/>
                <w:lang w:val="en-US" w:eastAsia="zh-CN"/>
              </w:rPr>
              <w:t>Supplement file</w:t>
            </w:r>
          </w:p>
        </w:tc>
      </w:tr>
      <w:tr w14:paraId="7331B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359" w:type="dxa"/>
            <w:gridSpan w:val="4"/>
            <w:tcBorders>
              <w:top w:val="double" w:color="auto" w:sz="4" w:space="0"/>
              <w:left w:val="double" w:color="auto" w:sz="4" w:space="0"/>
              <w:bottom w:val="double" w:color="auto" w:sz="4" w:space="0"/>
              <w:right w:val="double" w:color="auto" w:sz="4" w:space="0"/>
            </w:tcBorders>
            <w:shd w:val="clear" w:color="auto" w:fill="FFFFCC"/>
            <w:vAlign w:val="center"/>
          </w:tcPr>
          <w:p w14:paraId="3FF59F49">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DISCUSSION</w:t>
            </w:r>
          </w:p>
        </w:tc>
      </w:tr>
      <w:tr w14:paraId="095AB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1786" w:type="dxa"/>
            <w:vMerge w:val="restart"/>
            <w:tcBorders>
              <w:top w:val="double" w:color="auto" w:sz="4" w:space="0"/>
              <w:left w:val="double" w:color="auto" w:sz="4" w:space="0"/>
              <w:bottom w:val="double" w:color="auto" w:sz="4" w:space="0"/>
            </w:tcBorders>
            <w:vAlign w:val="center"/>
          </w:tcPr>
          <w:p w14:paraId="70EA4523">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Discussion</w:t>
            </w:r>
          </w:p>
        </w:tc>
        <w:tc>
          <w:tcPr>
            <w:tcW w:w="731" w:type="dxa"/>
            <w:tcBorders>
              <w:top w:val="double" w:color="auto" w:sz="4" w:space="0"/>
              <w:bottom w:val="double" w:color="auto" w:sz="4" w:space="0"/>
            </w:tcBorders>
            <w:vAlign w:val="center"/>
          </w:tcPr>
          <w:p w14:paraId="0A56522D">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23a</w:t>
            </w:r>
          </w:p>
        </w:tc>
        <w:tc>
          <w:tcPr>
            <w:tcW w:w="11582" w:type="dxa"/>
            <w:tcBorders>
              <w:top w:val="double" w:color="auto" w:sz="4" w:space="0"/>
              <w:bottom w:val="double" w:color="auto" w:sz="4" w:space="0"/>
            </w:tcBorders>
          </w:tcPr>
          <w:p w14:paraId="6EA1F8D6">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This meta-analysis integrated 72 studies (n=71633) to systematically evaluate the association between screen time and 10 categories of health outcomes among university students. The results indicated that screen time was significantly positively associated with depression, anxiety, stress, physical pain, digital eye strain, reduced academic performance, sleep quality deterioration, and insufficient physical activity, whereas no significant associations were found with sleep duration and BMI. Dose-response analysis revealed that screen time was associated with depression, physical pain, sleep quality, and digital eye strain in a dose-dependent manner. The associations became notably stronger when daily screen time exceeded 2.5 to 3.0 hours. Of these outcomes, the associations of screen time with digital eye strain and depression were particularly prominent. Specifically, when daily screen time exceeded 2.5 hours, each additional hour of screen exposure was associated with a more than 15% increase in risk. These findings indicate that university students with higher screen time show stronger co-occurrence associations across multiple health outcomes, warranting focused attention in subsequent research and health education efforts.</w:t>
            </w:r>
          </w:p>
        </w:tc>
        <w:tc>
          <w:tcPr>
            <w:tcW w:w="1260" w:type="dxa"/>
            <w:tcBorders>
              <w:right w:val="double" w:color="auto" w:sz="4" w:space="0"/>
            </w:tcBorders>
            <w:vAlign w:val="center"/>
          </w:tcPr>
          <w:p w14:paraId="2904CC59">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P14-P20</w:t>
            </w:r>
          </w:p>
        </w:tc>
      </w:tr>
      <w:tr w14:paraId="1BF93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8" w:hRule="atLeast"/>
        </w:trPr>
        <w:tc>
          <w:tcPr>
            <w:tcW w:w="1786" w:type="dxa"/>
            <w:vMerge w:val="continue"/>
            <w:tcBorders>
              <w:top w:val="double" w:color="auto" w:sz="4" w:space="0"/>
              <w:left w:val="double" w:color="auto" w:sz="4" w:space="0"/>
            </w:tcBorders>
            <w:vAlign w:val="center"/>
          </w:tcPr>
          <w:p w14:paraId="6DB43406">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p>
        </w:tc>
        <w:tc>
          <w:tcPr>
            <w:tcW w:w="731" w:type="dxa"/>
            <w:tcBorders>
              <w:top w:val="double" w:color="auto" w:sz="4" w:space="0"/>
            </w:tcBorders>
            <w:vAlign w:val="center"/>
          </w:tcPr>
          <w:p w14:paraId="34C017FB">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23b</w:t>
            </w:r>
          </w:p>
        </w:tc>
        <w:tc>
          <w:tcPr>
            <w:tcW w:w="11582" w:type="dxa"/>
            <w:tcBorders>
              <w:top w:val="double" w:color="auto" w:sz="4" w:space="0"/>
            </w:tcBorders>
          </w:tcPr>
          <w:p w14:paraId="28AE57D3">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color w:val="auto"/>
                <w:sz w:val="21"/>
                <w:szCs w:val="21"/>
                <w:highlight w:val="none"/>
              </w:rPr>
            </w:pP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First, the majority of the included studies employed a cross-sectional design, making it difficult to infer a causal relationship from the reported associations. The study results may be confounded by reverse causation or unmeasured confounding factors. Second, due to the inherent nature of observational studies, it is difficult to completely rule out potential biases caused by other factors. Although some studies have adjusted for potential confounding variables, the methods used for such adjustments have varied across different studies. Third, there are significant differences in the methods used to measure screen time across the included studies. Some studies employed objective measures (e.g., Screen Time API), while others relied on self-reported (e.g., questionnaires). Studies based on self-report are more susceptible to recall bias, which may lead to exposure misclassification and thereby reduces the accuracy of effect size estimation. Fourth, given the heterogeneity in the thresholds for classifying "high" and "low" screen time across the included studies, this meta-analysis set the "lowest exposure group" within each study as the universal reference, yet this approach may introduce residual heterogeneity and thereby compromise the accuracy of the pooled effect estimates. Fifth, few studies were included for some outcome indicators, and this limits the feasibility of subgroup analysis. Finally, some studies did not report effect estimates for multiple levels of screen time, making it possible to conduct dose-response analyses for only a subset of outcome measures, thus failing to cover all study outcomes, which may compromise the comprehensiveness of the research.</w:t>
            </w:r>
          </w:p>
        </w:tc>
        <w:tc>
          <w:tcPr>
            <w:tcW w:w="1260" w:type="dxa"/>
            <w:tcBorders>
              <w:right w:val="double" w:color="auto" w:sz="4" w:space="0"/>
            </w:tcBorders>
            <w:vAlign w:val="center"/>
          </w:tcPr>
          <w:p w14:paraId="77DF7FFB">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P19-P20</w:t>
            </w:r>
          </w:p>
        </w:tc>
      </w:tr>
      <w:tr w14:paraId="0DDCD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8" w:hRule="atLeast"/>
        </w:trPr>
        <w:tc>
          <w:tcPr>
            <w:tcW w:w="1786" w:type="dxa"/>
            <w:vMerge w:val="continue"/>
            <w:tcBorders>
              <w:left w:val="double" w:color="auto" w:sz="4" w:space="0"/>
              <w:bottom w:val="double" w:color="auto" w:sz="4" w:space="0"/>
            </w:tcBorders>
            <w:vAlign w:val="center"/>
          </w:tcPr>
          <w:p w14:paraId="27DEE617">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p>
        </w:tc>
        <w:tc>
          <w:tcPr>
            <w:tcW w:w="731" w:type="dxa"/>
            <w:tcBorders>
              <w:bottom w:val="double" w:color="auto" w:sz="4" w:space="0"/>
            </w:tcBorders>
            <w:vAlign w:val="center"/>
          </w:tcPr>
          <w:p w14:paraId="003035BD">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Segoe UI" w:cs="Times New Roman"/>
                <w:i w:val="0"/>
                <w:iCs w:val="0"/>
                <w:caps w:val="0"/>
                <w:color w:val="auto"/>
                <w:spacing w:val="0"/>
                <w:sz w:val="21"/>
                <w:szCs w:val="21"/>
                <w:highlight w:val="none"/>
                <w:shd w:val="clear" w:fill="FFFFFF"/>
                <w:lang w:val="en-US" w:eastAsia="zh-CN"/>
              </w:rPr>
            </w:pP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23c</w:t>
            </w:r>
          </w:p>
        </w:tc>
        <w:tc>
          <w:tcPr>
            <w:tcW w:w="11582" w:type="dxa"/>
            <w:tcBorders>
              <w:bottom w:val="double" w:color="auto" w:sz="4" w:space="0"/>
            </w:tcBorders>
            <w:vAlign w:val="center"/>
          </w:tcPr>
          <w:p w14:paraId="65641C7A">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highlight w:val="none"/>
                <w:shd w:val="clear" w:fill="FFFFFF"/>
                <w:lang w:val="en-US" w:eastAsia="zh-CN"/>
              </w:rPr>
            </w:pP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While we searched major databases and trial registries, we may have missed some unpublished studies or those in non-indexed journals, potentially exacerbating publication bias.</w:t>
            </w:r>
          </w:p>
          <w:p w14:paraId="3395F64E">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highlight w:val="none"/>
                <w:shd w:val="clear" w:fill="FFFFFF"/>
                <w:lang w:val="en-US" w:eastAsia="zh-CN"/>
              </w:rPr>
            </w:pP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Although screening and data extraction were conducted in duplicate, the assessment of risk of bias for complex observational studies involved some subjective judgment, despite our use of a validated tool.</w:t>
            </w:r>
          </w:p>
        </w:tc>
        <w:tc>
          <w:tcPr>
            <w:tcW w:w="1260" w:type="dxa"/>
            <w:tcBorders>
              <w:bottom w:val="double" w:color="auto" w:sz="4" w:space="0"/>
              <w:right w:val="double" w:color="auto" w:sz="4" w:space="0"/>
            </w:tcBorders>
            <w:vAlign w:val="center"/>
          </w:tcPr>
          <w:p w14:paraId="43B26607">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P19-P20</w:t>
            </w:r>
          </w:p>
        </w:tc>
      </w:tr>
      <w:tr w14:paraId="3B0BB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1786" w:type="dxa"/>
            <w:vMerge w:val="continue"/>
            <w:tcBorders>
              <w:top w:val="double" w:color="auto" w:sz="4" w:space="0"/>
              <w:left w:val="double" w:color="auto" w:sz="4" w:space="0"/>
              <w:bottom w:val="double" w:color="auto" w:sz="4" w:space="0"/>
            </w:tcBorders>
            <w:vAlign w:val="center"/>
          </w:tcPr>
          <w:p w14:paraId="1AC20ECA">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p>
        </w:tc>
        <w:tc>
          <w:tcPr>
            <w:tcW w:w="731" w:type="dxa"/>
            <w:tcBorders>
              <w:top w:val="double" w:color="auto" w:sz="4" w:space="0"/>
              <w:bottom w:val="double" w:color="auto" w:sz="4" w:space="0"/>
            </w:tcBorders>
            <w:vAlign w:val="center"/>
          </w:tcPr>
          <w:p w14:paraId="04C7B268">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23d</w:t>
            </w:r>
          </w:p>
        </w:tc>
        <w:tc>
          <w:tcPr>
            <w:tcW w:w="11582" w:type="dxa"/>
            <w:tcBorders>
              <w:top w:val="double" w:color="auto" w:sz="4" w:space="0"/>
              <w:bottom w:val="double" w:color="auto" w:sz="4" w:space="0"/>
            </w:tcBorders>
          </w:tcPr>
          <w:p w14:paraId="18552F88">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highlight w:val="none"/>
                <w:shd w:val="clear" w:fill="FFFFFF"/>
                <w:lang w:val="en-US" w:eastAsia="zh-CN"/>
              </w:rPr>
            </w:pP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This approach not only quantifies the overall effect of screen time on university students' health outcomes and academic performance, but also identifies the sources of heterogeneity through subgroup analysis and meta-regression, thereby systematically explaining the inconsistencies in existing research. The findings of this study will provide key evidence-based decision support for developing an integrative theoretical model, formulating educational policies, implementing public health interventions, and promoting individual health management practices.</w:t>
            </w:r>
          </w:p>
        </w:tc>
        <w:tc>
          <w:tcPr>
            <w:tcW w:w="1260" w:type="dxa"/>
            <w:tcBorders>
              <w:top w:val="double" w:color="auto" w:sz="4" w:space="0"/>
              <w:bottom w:val="double" w:color="auto" w:sz="4" w:space="0"/>
              <w:right w:val="double" w:color="auto" w:sz="4" w:space="0"/>
            </w:tcBorders>
            <w:vAlign w:val="center"/>
          </w:tcPr>
          <w:p w14:paraId="1E54BB51">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P20</w:t>
            </w:r>
          </w:p>
        </w:tc>
      </w:tr>
      <w:tr w14:paraId="53904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359" w:type="dxa"/>
            <w:gridSpan w:val="4"/>
            <w:tcBorders>
              <w:top w:val="double" w:color="auto" w:sz="4" w:space="0"/>
              <w:left w:val="double" w:color="auto" w:sz="4" w:space="0"/>
              <w:bottom w:val="double" w:color="auto" w:sz="4" w:space="0"/>
              <w:right w:val="double" w:color="auto" w:sz="4" w:space="0"/>
            </w:tcBorders>
            <w:shd w:val="clear" w:color="auto" w:fill="FFFFCC"/>
            <w:vAlign w:val="center"/>
          </w:tcPr>
          <w:p w14:paraId="74514BD7">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OTHER INFORMATION</w:t>
            </w:r>
          </w:p>
        </w:tc>
      </w:tr>
      <w:tr w14:paraId="0081F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1786" w:type="dxa"/>
            <w:vMerge w:val="restart"/>
            <w:tcBorders>
              <w:top w:val="double" w:color="auto" w:sz="4" w:space="0"/>
              <w:left w:val="double" w:color="auto" w:sz="4" w:space="0"/>
            </w:tcBorders>
            <w:vAlign w:val="center"/>
          </w:tcPr>
          <w:p w14:paraId="03053A1B">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Registration and protocol</w:t>
            </w:r>
          </w:p>
        </w:tc>
        <w:tc>
          <w:tcPr>
            <w:tcW w:w="731" w:type="dxa"/>
            <w:tcBorders>
              <w:top w:val="double" w:color="auto" w:sz="4" w:space="0"/>
            </w:tcBorders>
            <w:vAlign w:val="center"/>
          </w:tcPr>
          <w:p w14:paraId="114A1B0F">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24a</w:t>
            </w:r>
          </w:p>
        </w:tc>
        <w:tc>
          <w:tcPr>
            <w:tcW w:w="11582" w:type="dxa"/>
            <w:tcBorders>
              <w:top w:val="double" w:color="auto" w:sz="4" w:space="0"/>
            </w:tcBorders>
            <w:vAlign w:val="center"/>
          </w:tcPr>
          <w:p w14:paraId="415ACA47">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The protocol for this systematic review, which aims to evaluate the impact of screen time exposure on</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university students' health outcomes and academic performance,</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was registered with the International Prospective Register of Systematic Reviews (PROSPERO) on 26 </w:t>
            </w:r>
            <w:r>
              <w:rPr>
                <w:rFonts w:hint="eastAsia" w:eastAsia="Segoe UI" w:cs="Times New Roman"/>
                <w:i w:val="0"/>
                <w:iCs w:val="0"/>
                <w:caps w:val="0"/>
                <w:color w:val="auto"/>
                <w:spacing w:val="0"/>
                <w:sz w:val="21"/>
                <w:szCs w:val="21"/>
                <w:highlight w:val="none"/>
                <w:shd w:val="clear" w:fill="FFFFFF"/>
                <w:lang w:val="en-US" w:eastAsia="zh-CN"/>
              </w:rPr>
              <w:t>May</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 xml:space="preserve"> 2025 </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registration number CRD420251060967</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available from:</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fldChar w:fldCharType="begin"/>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instrText xml:space="preserve"> HYPERLINK "https://www.crd.york.ac.uk/PROSPERO/view/CRD420251060967)" </w:instrTex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fldChar w:fldCharType="separate"/>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https://www.crd.york.ac.uk/PROSPERO/view/CRD420251060967</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fldChar w:fldCharType="end"/>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w:t>
            </w:r>
          </w:p>
        </w:tc>
        <w:tc>
          <w:tcPr>
            <w:tcW w:w="1260" w:type="dxa"/>
            <w:tcBorders>
              <w:top w:val="double" w:color="auto" w:sz="4" w:space="0"/>
              <w:right w:val="double" w:color="auto" w:sz="4" w:space="0"/>
            </w:tcBorders>
            <w:vAlign w:val="center"/>
          </w:tcPr>
          <w:p w14:paraId="3196F22F">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P5</w:t>
            </w:r>
          </w:p>
        </w:tc>
      </w:tr>
      <w:tr w14:paraId="2508F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86" w:type="dxa"/>
            <w:vMerge w:val="continue"/>
            <w:tcBorders>
              <w:left w:val="double" w:color="auto" w:sz="4" w:space="0"/>
            </w:tcBorders>
            <w:vAlign w:val="center"/>
          </w:tcPr>
          <w:p w14:paraId="11988ED0">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p>
        </w:tc>
        <w:tc>
          <w:tcPr>
            <w:tcW w:w="731" w:type="dxa"/>
            <w:vAlign w:val="center"/>
          </w:tcPr>
          <w:p w14:paraId="4A4D5286">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24b</w:t>
            </w:r>
          </w:p>
        </w:tc>
        <w:tc>
          <w:tcPr>
            <w:tcW w:w="11582" w:type="dxa"/>
            <w:vAlign w:val="center"/>
          </w:tcPr>
          <w:p w14:paraId="7748AA5B">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ind w:firstLine="0" w:firstLineChars="0"/>
              <w:jc w:val="both"/>
              <w:textAlignment w:val="auto"/>
              <w:rPr>
                <w:rFonts w:hint="eastAsia" w:ascii="Times New Roman" w:hAnsi="Times New Roman" w:eastAsia="Segoe UI" w:cs="Times New Roman"/>
                <w:i w:val="0"/>
                <w:iCs w:val="0"/>
                <w:caps w:val="0"/>
                <w:color w:val="auto"/>
                <w:spacing w:val="0"/>
                <w:sz w:val="21"/>
                <w:szCs w:val="21"/>
                <w:highlight w:val="none"/>
                <w:shd w:val="clear" w:fill="FFFFFF"/>
                <w:lang w:val="en-US" w:eastAsia="zh-CN"/>
              </w:rPr>
            </w:pP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 xml:space="preserve">The full protocol can be accessed at: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https://www.crd.york.ac.uk/PROSPERO/view/CRD420251060967</w:t>
            </w:r>
          </w:p>
        </w:tc>
        <w:tc>
          <w:tcPr>
            <w:tcW w:w="1260" w:type="dxa"/>
            <w:tcBorders>
              <w:right w:val="double" w:color="auto" w:sz="4" w:space="0"/>
            </w:tcBorders>
            <w:vAlign w:val="center"/>
          </w:tcPr>
          <w:p w14:paraId="13A46ACE">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P5</w:t>
            </w:r>
          </w:p>
        </w:tc>
      </w:tr>
      <w:tr w14:paraId="5DC7B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86" w:type="dxa"/>
            <w:vMerge w:val="continue"/>
            <w:tcBorders>
              <w:left w:val="double" w:color="auto" w:sz="4" w:space="0"/>
            </w:tcBorders>
            <w:vAlign w:val="center"/>
          </w:tcPr>
          <w:p w14:paraId="14C63BBB">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p>
        </w:tc>
        <w:tc>
          <w:tcPr>
            <w:tcW w:w="731" w:type="dxa"/>
            <w:vAlign w:val="center"/>
          </w:tcPr>
          <w:p w14:paraId="7B76CFCC">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24c</w:t>
            </w:r>
          </w:p>
        </w:tc>
        <w:tc>
          <w:tcPr>
            <w:tcW w:w="11582" w:type="dxa"/>
            <w:vAlign w:val="center"/>
          </w:tcPr>
          <w:p w14:paraId="1DD44C74">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eastAsia="Segoe UI" w:cs="Times New Roman"/>
                <w:i w:val="0"/>
                <w:iCs w:val="0"/>
                <w:caps w:val="0"/>
                <w:color w:val="auto"/>
                <w:spacing w:val="0"/>
                <w:sz w:val="21"/>
                <w:szCs w:val="21"/>
                <w:highlight w:val="none"/>
                <w:shd w:val="clear" w:fill="FFFFFF"/>
                <w:lang w:val="en-US" w:eastAsia="zh-CN"/>
              </w:rPr>
            </w:pP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The information provided at registration or in the protocol has not been modified.</w:t>
            </w:r>
          </w:p>
        </w:tc>
        <w:tc>
          <w:tcPr>
            <w:tcW w:w="1260" w:type="dxa"/>
            <w:tcBorders>
              <w:right w:val="double" w:color="auto" w:sz="4" w:space="0"/>
            </w:tcBorders>
            <w:vAlign w:val="center"/>
          </w:tcPr>
          <w:p w14:paraId="0B6814E1">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r w14:paraId="5712A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86" w:type="dxa"/>
            <w:tcBorders>
              <w:left w:val="double" w:color="auto" w:sz="4" w:space="0"/>
            </w:tcBorders>
            <w:vAlign w:val="center"/>
          </w:tcPr>
          <w:p w14:paraId="2916BECA">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Support</w:t>
            </w:r>
          </w:p>
        </w:tc>
        <w:tc>
          <w:tcPr>
            <w:tcW w:w="731" w:type="dxa"/>
            <w:vAlign w:val="center"/>
          </w:tcPr>
          <w:p w14:paraId="57B4FA1B">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25</w:t>
            </w:r>
          </w:p>
        </w:tc>
        <w:tc>
          <w:tcPr>
            <w:tcW w:w="11582" w:type="dxa"/>
            <w:vAlign w:val="center"/>
          </w:tcPr>
          <w:p w14:paraId="1848C5BE">
            <w:pPr>
              <w:pStyle w:val="15"/>
              <w:keepNext w:val="0"/>
              <w:keepLines w:val="0"/>
              <w:pageBreakBefore w:val="0"/>
              <w:kinsoku/>
              <w:wordWrap/>
              <w:overflowPunct/>
              <w:topLinePunct w:val="0"/>
              <w:bidi w:val="0"/>
              <w:snapToGrid/>
              <w:spacing w:line="240" w:lineRule="auto"/>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Times New Roman" w:cs="Times New Roman"/>
                <w:caps w:val="0"/>
                <w:color w:val="auto"/>
                <w:kern w:val="0"/>
                <w:sz w:val="21"/>
                <w:szCs w:val="21"/>
                <w:highlight w:val="none"/>
                <w:lang w:val="en-US" w:eastAsia="zh-CN" w:bidi="ar"/>
              </w:rPr>
              <w:t>No funding was received for this research</w:t>
            </w:r>
          </w:p>
        </w:tc>
        <w:tc>
          <w:tcPr>
            <w:tcW w:w="1260" w:type="dxa"/>
            <w:tcBorders>
              <w:right w:val="double" w:color="auto" w:sz="4" w:space="0"/>
            </w:tcBorders>
            <w:vAlign w:val="center"/>
          </w:tcPr>
          <w:p w14:paraId="18E019EC">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P20</w:t>
            </w:r>
          </w:p>
        </w:tc>
      </w:tr>
      <w:tr w14:paraId="79830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86" w:type="dxa"/>
            <w:tcBorders>
              <w:left w:val="double" w:color="auto" w:sz="4" w:space="0"/>
            </w:tcBorders>
            <w:vAlign w:val="center"/>
          </w:tcPr>
          <w:p w14:paraId="0F05E490">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Competing interests</w:t>
            </w:r>
          </w:p>
        </w:tc>
        <w:tc>
          <w:tcPr>
            <w:tcW w:w="731" w:type="dxa"/>
            <w:vAlign w:val="center"/>
          </w:tcPr>
          <w:p w14:paraId="0C4A7C45">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26</w:t>
            </w:r>
          </w:p>
        </w:tc>
        <w:tc>
          <w:tcPr>
            <w:tcW w:w="11582" w:type="dxa"/>
            <w:vAlign w:val="center"/>
          </w:tcPr>
          <w:p w14:paraId="2441D0FF">
            <w:pPr>
              <w:pStyle w:val="15"/>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default" w:ascii="Times New Roman" w:hAnsi="Times New Roman" w:cs="Times New Roman"/>
                <w:color w:val="auto"/>
                <w:sz w:val="21"/>
                <w:szCs w:val="21"/>
                <w:highlight w:val="none"/>
              </w:rPr>
            </w:pPr>
            <w:r>
              <w:rPr>
                <w:rFonts w:hint="default" w:ascii="Times New Roman" w:hAnsi="Times New Roman" w:eastAsia="Times New Roman" w:cs="Times New Roman"/>
                <w:caps w:val="0"/>
                <w:color w:val="auto"/>
                <w:kern w:val="0"/>
                <w:sz w:val="21"/>
                <w:szCs w:val="21"/>
                <w:highlight w:val="none"/>
                <w:lang w:val="en-US" w:eastAsia="zh-CN" w:bidi="ar"/>
              </w:rPr>
              <w:t>The authors declare no competing interests</w:t>
            </w:r>
          </w:p>
        </w:tc>
        <w:tc>
          <w:tcPr>
            <w:tcW w:w="1260" w:type="dxa"/>
            <w:tcBorders>
              <w:right w:val="double" w:color="auto" w:sz="4" w:space="0"/>
            </w:tcBorders>
            <w:vAlign w:val="center"/>
          </w:tcPr>
          <w:p w14:paraId="316B8968">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P20</w:t>
            </w:r>
          </w:p>
        </w:tc>
      </w:tr>
      <w:tr w14:paraId="1F3C0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1786" w:type="dxa"/>
            <w:tcBorders>
              <w:left w:val="double" w:color="auto" w:sz="4" w:space="0"/>
              <w:bottom w:val="double" w:color="auto" w:sz="4" w:space="0"/>
            </w:tcBorders>
            <w:vAlign w:val="center"/>
          </w:tcPr>
          <w:p w14:paraId="78B6FF6C">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Availability of data, code and other materials</w:t>
            </w:r>
          </w:p>
        </w:tc>
        <w:tc>
          <w:tcPr>
            <w:tcW w:w="731" w:type="dxa"/>
            <w:tcBorders>
              <w:bottom w:val="double" w:color="auto" w:sz="4" w:space="0"/>
            </w:tcBorders>
            <w:vAlign w:val="center"/>
          </w:tcPr>
          <w:p w14:paraId="677D7DA8">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27</w:t>
            </w:r>
          </w:p>
        </w:tc>
        <w:tc>
          <w:tcPr>
            <w:tcW w:w="11582" w:type="dxa"/>
            <w:tcBorders>
              <w:bottom w:val="double" w:color="auto" w:sz="4" w:space="0"/>
            </w:tcBorders>
            <w:shd w:val="clear" w:color="auto" w:fill="auto"/>
            <w:vAlign w:val="center"/>
          </w:tcPr>
          <w:p w14:paraId="653E3F76">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bidi="ar-SA"/>
              </w:rPr>
            </w:pP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All related data has been presented within the manuscript. The dataset supporting the conclusions of this article is available from the authors on request (</w:t>
            </w:r>
            <w:r>
              <w:rPr>
                <w:rFonts w:hint="default" w:ascii="Times New Roman" w:hAnsi="Times New Roman" w:eastAsia="Segoe UI" w:cs="Times New Roman"/>
                <w:i w:val="0"/>
                <w:iCs w:val="0"/>
                <w:caps w:val="0"/>
                <w:color w:val="auto"/>
                <w:spacing w:val="0"/>
                <w:sz w:val="21"/>
                <w:szCs w:val="21"/>
                <w:highlight w:val="none"/>
                <w:shd w:val="clear" w:fill="FFFFFF"/>
                <w:lang w:val="en-US" w:eastAsia="zh-CN"/>
              </w:rPr>
              <w:t>e.g. template data collection forms; data extracted from included studies; data used for all analyses; analytic code; any other materials used in the review</w:t>
            </w:r>
            <w:r>
              <w:rPr>
                <w:rFonts w:hint="eastAsia" w:ascii="Times New Roman" w:hAnsi="Times New Roman" w:eastAsia="Segoe UI" w:cs="Times New Roman"/>
                <w:i w:val="0"/>
                <w:iCs w:val="0"/>
                <w:caps w:val="0"/>
                <w:color w:val="auto"/>
                <w:spacing w:val="0"/>
                <w:sz w:val="21"/>
                <w:szCs w:val="21"/>
                <w:highlight w:val="none"/>
                <w:shd w:val="clear" w:fill="FFFFFF"/>
                <w:lang w:val="en-US" w:eastAsia="zh-CN"/>
              </w:rPr>
              <w:t>).</w:t>
            </w:r>
          </w:p>
        </w:tc>
        <w:tc>
          <w:tcPr>
            <w:tcW w:w="1260" w:type="dxa"/>
            <w:tcBorders>
              <w:bottom w:val="double" w:color="auto" w:sz="4" w:space="0"/>
              <w:right w:val="double" w:color="auto" w:sz="4" w:space="0"/>
            </w:tcBorders>
            <w:vAlign w:val="center"/>
          </w:tcPr>
          <w:p w14:paraId="1DDD6E9F">
            <w:pPr>
              <w:pStyle w:val="15"/>
              <w:keepNext w:val="0"/>
              <w:keepLines w:val="0"/>
              <w:pageBreakBefore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P20</w:t>
            </w:r>
          </w:p>
        </w:tc>
      </w:tr>
      <w:bookmarkEnd w:id="0"/>
    </w:tbl>
    <w:p w14:paraId="68E38994">
      <w:pPr>
        <w:pStyle w:val="15"/>
        <w:keepNext w:val="0"/>
        <w:keepLines w:val="0"/>
        <w:pageBreakBefore w:val="0"/>
        <w:widowControl w:val="0"/>
        <w:kinsoku/>
        <w:wordWrap/>
        <w:overflowPunct/>
        <w:topLinePunct w:val="0"/>
        <w:autoSpaceDE w:val="0"/>
        <w:autoSpaceDN w:val="0"/>
        <w:bidi w:val="0"/>
        <w:adjustRightInd w:val="0"/>
        <w:snapToGrid/>
        <w:spacing w:before="0" w:beforeLines="100" w:line="360" w:lineRule="auto"/>
        <w:jc w:val="both"/>
        <w:textAlignment w:val="auto"/>
        <w:rPr>
          <w:rFonts w:ascii="Arial" w:hAnsi="Arial" w:cs="Arial"/>
        </w:rPr>
      </w:pPr>
      <w:r>
        <w:rPr>
          <w:rFonts w:hint="default" w:ascii="Times New Roman" w:hAnsi="Times New Roman" w:cs="Times New Roman"/>
          <w:i/>
          <w:iCs/>
          <w:color w:val="auto"/>
          <w:sz w:val="21"/>
          <w:szCs w:val="21"/>
        </w:rPr>
        <w:t xml:space="preserve">From: </w:t>
      </w:r>
      <w:r>
        <w:rPr>
          <w:rFonts w:hint="default" w:ascii="Times New Roman" w:hAnsi="Times New Roman" w:cs="Times New Roman"/>
          <w:color w:val="auto"/>
          <w:sz w:val="21"/>
          <w:szCs w:val="21"/>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HYPERLINK "https://creativecommons.org/licenses/by/4.0/" </w:instrText>
      </w:r>
      <w:r>
        <w:rPr>
          <w:rFonts w:hint="default" w:ascii="Times New Roman" w:hAnsi="Times New Roman" w:cs="Times New Roman"/>
          <w:sz w:val="21"/>
          <w:szCs w:val="21"/>
        </w:rPr>
        <w:fldChar w:fldCharType="separate"/>
      </w:r>
      <w:r>
        <w:rPr>
          <w:rStyle w:val="13"/>
          <w:rFonts w:hint="default" w:ascii="Times New Roman" w:hAnsi="Times New Roman" w:cs="Times New Roman"/>
          <w:sz w:val="21"/>
          <w:szCs w:val="21"/>
        </w:rPr>
        <w:t>https://creativecommons.org/licenses/by/4.0/</w:t>
      </w:r>
      <w:r>
        <w:rPr>
          <w:rStyle w:val="13"/>
          <w:rFonts w:hint="default" w:ascii="Times New Roman" w:hAnsi="Times New Roman" w:cs="Times New Roman"/>
          <w:sz w:val="21"/>
          <w:szCs w:val="21"/>
        </w:rPr>
        <w:fldChar w:fldCharType="end"/>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Lucida Sans">
    <w:panose1 w:val="020B0602030504090204"/>
    <w:charset w:val="00"/>
    <w:family w:val="swiss"/>
    <w:pitch w:val="default"/>
    <w:sig w:usb0="00000003" w:usb1="00000000" w:usb2="00000000" w:usb3="00000000" w:csb0="2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0BBE4">
    <w:pPr>
      <w:pStyle w:val="17"/>
      <w:ind w:left="1080"/>
      <w:rPr>
        <w:rFonts w:ascii="Lucida Sans" w:hAnsi="Lucida Sans"/>
        <w:sz w:val="20"/>
        <w:szCs w:val="20"/>
      </w:rPr>
    </w:pPr>
    <w:r>
      <w:rPr>
        <w:rFonts w:ascii="Lucida Sans" w:hAnsi="Lucida Sans"/>
        <w:sz w:val="20"/>
        <w:szCs w:val="20"/>
      </w:rPr>
      <w:drawing>
        <wp:anchor distT="0" distB="0" distL="114300" distR="114300" simplePos="0" relativeHeight="251659264" behindDoc="0" locked="0" layoutInCell="1" allowOverlap="1">
          <wp:simplePos x="0" y="0"/>
          <wp:positionH relativeFrom="column">
            <wp:posOffset>-32385</wp:posOffset>
          </wp:positionH>
          <wp:positionV relativeFrom="paragraph">
            <wp:posOffset>-111760</wp:posOffset>
          </wp:positionV>
          <wp:extent cx="457200" cy="419100"/>
          <wp:effectExtent l="0" t="0" r="0" b="7620"/>
          <wp:wrapNone/>
          <wp:docPr id="1" name="图片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25"/>
                  <pic:cNvPicPr>
                    <a:picLocks noChangeAspect="1"/>
                  </pic:cNvPicPr>
                </pic:nvPicPr>
                <pic:blipFill>
                  <a:blip r:embed="rId1"/>
                  <a:stretch>
                    <a:fillRect/>
                  </a:stretch>
                </pic:blipFill>
                <pic:spPr>
                  <a:xfrm>
                    <a:off x="0" y="0"/>
                    <a:ext cx="457200" cy="419100"/>
                  </a:xfrm>
                  <a:prstGeom prst="rect">
                    <a:avLst/>
                  </a:prstGeom>
                  <a:noFill/>
                  <a:ln>
                    <a:noFill/>
                  </a:ln>
                </pic:spPr>
              </pic:pic>
            </a:graphicData>
          </a:graphic>
        </wp:anchor>
      </w:drawing>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1"/>
  <w:displayVerticalDrawingGridEvery w:val="1"/>
  <w:doNotUseMarginsForDrawingGridOrigin w:val="1"/>
  <w:drawingGridHorizontalOrigin w:val="1800"/>
  <w:drawingGridVerticalOrigin w:val="1440"/>
  <w:doNotShadeFormData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lYzlhZDExYzU0M2YxOGU1Y2NiN2EyOGI2NWRiM2MifQ=="/>
  </w:docVars>
  <w:rsids>
    <w:rsidRoot w:val="00256BAF"/>
    <w:rsid w:val="00077B44"/>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1435C"/>
    <w:rsid w:val="006E5FE2"/>
    <w:rsid w:val="006F3BA6"/>
    <w:rsid w:val="00726794"/>
    <w:rsid w:val="0077253C"/>
    <w:rsid w:val="008412D5"/>
    <w:rsid w:val="00853359"/>
    <w:rsid w:val="008A3EAE"/>
    <w:rsid w:val="008E2C91"/>
    <w:rsid w:val="00930A31"/>
    <w:rsid w:val="00947707"/>
    <w:rsid w:val="009827E5"/>
    <w:rsid w:val="00A215D2"/>
    <w:rsid w:val="00A86593"/>
    <w:rsid w:val="00AB1812"/>
    <w:rsid w:val="00AB79CE"/>
    <w:rsid w:val="00AE4BBD"/>
    <w:rsid w:val="00B51910"/>
    <w:rsid w:val="00C22710"/>
    <w:rsid w:val="00D00AB3"/>
    <w:rsid w:val="00D95D84"/>
    <w:rsid w:val="00DC4F19"/>
    <w:rsid w:val="00E324A8"/>
    <w:rsid w:val="00E66E3A"/>
    <w:rsid w:val="00EB610E"/>
    <w:rsid w:val="00F67C14"/>
    <w:rsid w:val="00FB3483"/>
    <w:rsid w:val="012E00A3"/>
    <w:rsid w:val="016420B7"/>
    <w:rsid w:val="02B7624C"/>
    <w:rsid w:val="039122ED"/>
    <w:rsid w:val="052D4EEB"/>
    <w:rsid w:val="057330E1"/>
    <w:rsid w:val="0595200F"/>
    <w:rsid w:val="05B2719F"/>
    <w:rsid w:val="06D111D0"/>
    <w:rsid w:val="06EA13B7"/>
    <w:rsid w:val="07261BF2"/>
    <w:rsid w:val="07DD560C"/>
    <w:rsid w:val="085F360E"/>
    <w:rsid w:val="087E2F85"/>
    <w:rsid w:val="08814B81"/>
    <w:rsid w:val="089716ED"/>
    <w:rsid w:val="08F237E0"/>
    <w:rsid w:val="09663E91"/>
    <w:rsid w:val="0A1324EB"/>
    <w:rsid w:val="0A2853EF"/>
    <w:rsid w:val="0A461D12"/>
    <w:rsid w:val="0A8A693C"/>
    <w:rsid w:val="0AB84D9F"/>
    <w:rsid w:val="0B6161A3"/>
    <w:rsid w:val="0C161698"/>
    <w:rsid w:val="0C5C6640"/>
    <w:rsid w:val="0C6C62F9"/>
    <w:rsid w:val="0C704BD1"/>
    <w:rsid w:val="0CC51EAD"/>
    <w:rsid w:val="0D556D8D"/>
    <w:rsid w:val="0D684E92"/>
    <w:rsid w:val="0D6E42F3"/>
    <w:rsid w:val="0DA85ABA"/>
    <w:rsid w:val="0E7A570A"/>
    <w:rsid w:val="0ECD0984"/>
    <w:rsid w:val="0FFE4AE7"/>
    <w:rsid w:val="10AF2C58"/>
    <w:rsid w:val="114C66F9"/>
    <w:rsid w:val="115D26B4"/>
    <w:rsid w:val="11C31551"/>
    <w:rsid w:val="11DC7A7D"/>
    <w:rsid w:val="12CA4A00"/>
    <w:rsid w:val="14F24CFF"/>
    <w:rsid w:val="155172E3"/>
    <w:rsid w:val="15593193"/>
    <w:rsid w:val="15DE412B"/>
    <w:rsid w:val="168B3F87"/>
    <w:rsid w:val="16BA5F72"/>
    <w:rsid w:val="171C091C"/>
    <w:rsid w:val="175B112F"/>
    <w:rsid w:val="17B11530"/>
    <w:rsid w:val="184D216A"/>
    <w:rsid w:val="18616F2E"/>
    <w:rsid w:val="18B445B3"/>
    <w:rsid w:val="18B828C6"/>
    <w:rsid w:val="18E831AB"/>
    <w:rsid w:val="193627AE"/>
    <w:rsid w:val="19823073"/>
    <w:rsid w:val="19EE3721"/>
    <w:rsid w:val="1A5F0EA0"/>
    <w:rsid w:val="1A9C249F"/>
    <w:rsid w:val="1AE94FB9"/>
    <w:rsid w:val="1B0C78EB"/>
    <w:rsid w:val="1B4D379A"/>
    <w:rsid w:val="1D7321B8"/>
    <w:rsid w:val="1D851EB7"/>
    <w:rsid w:val="1ED01279"/>
    <w:rsid w:val="204F5F26"/>
    <w:rsid w:val="208A0650"/>
    <w:rsid w:val="20A94E67"/>
    <w:rsid w:val="20F848F5"/>
    <w:rsid w:val="212B33E3"/>
    <w:rsid w:val="214F2A77"/>
    <w:rsid w:val="21C67E02"/>
    <w:rsid w:val="21EA5AAB"/>
    <w:rsid w:val="22370D00"/>
    <w:rsid w:val="22A30143"/>
    <w:rsid w:val="22A94701"/>
    <w:rsid w:val="22B50975"/>
    <w:rsid w:val="22D82122"/>
    <w:rsid w:val="22F15352"/>
    <w:rsid w:val="239D4B92"/>
    <w:rsid w:val="23F32A04"/>
    <w:rsid w:val="240E1384"/>
    <w:rsid w:val="241E0D30"/>
    <w:rsid w:val="24400ADB"/>
    <w:rsid w:val="247037A0"/>
    <w:rsid w:val="248E73BE"/>
    <w:rsid w:val="24D85D0E"/>
    <w:rsid w:val="25AB7B89"/>
    <w:rsid w:val="260B709F"/>
    <w:rsid w:val="26DE24CB"/>
    <w:rsid w:val="27117D71"/>
    <w:rsid w:val="272A4C9A"/>
    <w:rsid w:val="2749585F"/>
    <w:rsid w:val="28680D51"/>
    <w:rsid w:val="286F2DE9"/>
    <w:rsid w:val="28771E56"/>
    <w:rsid w:val="2890309C"/>
    <w:rsid w:val="29A8612B"/>
    <w:rsid w:val="29C56184"/>
    <w:rsid w:val="29D357B2"/>
    <w:rsid w:val="2A8A2314"/>
    <w:rsid w:val="2AB253C7"/>
    <w:rsid w:val="2B4B4CBC"/>
    <w:rsid w:val="2B634A35"/>
    <w:rsid w:val="2C43774A"/>
    <w:rsid w:val="2C9254B0"/>
    <w:rsid w:val="2CB52F4D"/>
    <w:rsid w:val="2D4B565F"/>
    <w:rsid w:val="2DAF579F"/>
    <w:rsid w:val="2E6E4E1A"/>
    <w:rsid w:val="2E721C51"/>
    <w:rsid w:val="2E72413C"/>
    <w:rsid w:val="2E7929A0"/>
    <w:rsid w:val="2F073596"/>
    <w:rsid w:val="2F1F6DA3"/>
    <w:rsid w:val="2F587BDE"/>
    <w:rsid w:val="2FD45DE0"/>
    <w:rsid w:val="2FF8154F"/>
    <w:rsid w:val="30AF5459"/>
    <w:rsid w:val="30B6558C"/>
    <w:rsid w:val="31322DBE"/>
    <w:rsid w:val="317E209A"/>
    <w:rsid w:val="31A0546B"/>
    <w:rsid w:val="32313075"/>
    <w:rsid w:val="32D24DB9"/>
    <w:rsid w:val="330E1609"/>
    <w:rsid w:val="3337290D"/>
    <w:rsid w:val="33BF0BD0"/>
    <w:rsid w:val="33C817B8"/>
    <w:rsid w:val="34750E92"/>
    <w:rsid w:val="350F5CB3"/>
    <w:rsid w:val="3515336E"/>
    <w:rsid w:val="35443E06"/>
    <w:rsid w:val="360D5BA8"/>
    <w:rsid w:val="365B3573"/>
    <w:rsid w:val="37557D36"/>
    <w:rsid w:val="37A741AD"/>
    <w:rsid w:val="38174ABC"/>
    <w:rsid w:val="38455ACD"/>
    <w:rsid w:val="385D5CCC"/>
    <w:rsid w:val="38D20978"/>
    <w:rsid w:val="38E01351"/>
    <w:rsid w:val="391B69B1"/>
    <w:rsid w:val="398B1C8A"/>
    <w:rsid w:val="39BD262D"/>
    <w:rsid w:val="3B3756B1"/>
    <w:rsid w:val="3BF770DE"/>
    <w:rsid w:val="3C26231C"/>
    <w:rsid w:val="3C4270FD"/>
    <w:rsid w:val="3C485B8B"/>
    <w:rsid w:val="3C4D31A2"/>
    <w:rsid w:val="3C634979"/>
    <w:rsid w:val="3C8B4FEC"/>
    <w:rsid w:val="3C9708C1"/>
    <w:rsid w:val="3D2E4CE8"/>
    <w:rsid w:val="3D5D0DED"/>
    <w:rsid w:val="3DDA05E5"/>
    <w:rsid w:val="3E1B42D2"/>
    <w:rsid w:val="3E8E4E80"/>
    <w:rsid w:val="3EBA43F3"/>
    <w:rsid w:val="3EF02570"/>
    <w:rsid w:val="4048194E"/>
    <w:rsid w:val="405E5A01"/>
    <w:rsid w:val="406078AF"/>
    <w:rsid w:val="412754DA"/>
    <w:rsid w:val="414A7CB0"/>
    <w:rsid w:val="416E7E42"/>
    <w:rsid w:val="41E04867"/>
    <w:rsid w:val="41EA4BD0"/>
    <w:rsid w:val="430C1E50"/>
    <w:rsid w:val="433513BF"/>
    <w:rsid w:val="44112D07"/>
    <w:rsid w:val="441C42EE"/>
    <w:rsid w:val="44241257"/>
    <w:rsid w:val="44666CC3"/>
    <w:rsid w:val="44B4605F"/>
    <w:rsid w:val="45096E5F"/>
    <w:rsid w:val="472E3AA5"/>
    <w:rsid w:val="47597DF0"/>
    <w:rsid w:val="479E3199"/>
    <w:rsid w:val="47B47B3D"/>
    <w:rsid w:val="47E2414E"/>
    <w:rsid w:val="48112C11"/>
    <w:rsid w:val="48D22655"/>
    <w:rsid w:val="48E721AE"/>
    <w:rsid w:val="48F51A16"/>
    <w:rsid w:val="494D62C3"/>
    <w:rsid w:val="49F11610"/>
    <w:rsid w:val="4A505C30"/>
    <w:rsid w:val="4AFD4C19"/>
    <w:rsid w:val="4B056E89"/>
    <w:rsid w:val="4BB40B47"/>
    <w:rsid w:val="4BE1372E"/>
    <w:rsid w:val="4C9F512B"/>
    <w:rsid w:val="4D294777"/>
    <w:rsid w:val="4DAD18FC"/>
    <w:rsid w:val="4DCD070D"/>
    <w:rsid w:val="4E90472A"/>
    <w:rsid w:val="4EF96F78"/>
    <w:rsid w:val="4F272DC3"/>
    <w:rsid w:val="51425765"/>
    <w:rsid w:val="51CC5E14"/>
    <w:rsid w:val="52497B10"/>
    <w:rsid w:val="5258333B"/>
    <w:rsid w:val="52CC2E65"/>
    <w:rsid w:val="52FF52F8"/>
    <w:rsid w:val="538250E3"/>
    <w:rsid w:val="53830AA2"/>
    <w:rsid w:val="53961E84"/>
    <w:rsid w:val="540463E4"/>
    <w:rsid w:val="541E10A8"/>
    <w:rsid w:val="54331838"/>
    <w:rsid w:val="549D42B5"/>
    <w:rsid w:val="54D45451"/>
    <w:rsid w:val="54F2015E"/>
    <w:rsid w:val="5527238A"/>
    <w:rsid w:val="55852C7F"/>
    <w:rsid w:val="55980885"/>
    <w:rsid w:val="55DB23F3"/>
    <w:rsid w:val="563A4932"/>
    <w:rsid w:val="56D95906"/>
    <w:rsid w:val="573B43E1"/>
    <w:rsid w:val="57FF75EE"/>
    <w:rsid w:val="58F333FF"/>
    <w:rsid w:val="59664A6A"/>
    <w:rsid w:val="59CC3500"/>
    <w:rsid w:val="59F64A21"/>
    <w:rsid w:val="5A5D6093"/>
    <w:rsid w:val="5A744438"/>
    <w:rsid w:val="5B3A2569"/>
    <w:rsid w:val="5B977B3E"/>
    <w:rsid w:val="5BD31317"/>
    <w:rsid w:val="5CE40B61"/>
    <w:rsid w:val="5CF73ABE"/>
    <w:rsid w:val="5CFD1C22"/>
    <w:rsid w:val="5D2B6790"/>
    <w:rsid w:val="5D53658C"/>
    <w:rsid w:val="5D787FBC"/>
    <w:rsid w:val="5DB91FED"/>
    <w:rsid w:val="5EB87975"/>
    <w:rsid w:val="5F7B166B"/>
    <w:rsid w:val="60086481"/>
    <w:rsid w:val="611110BA"/>
    <w:rsid w:val="61170C6E"/>
    <w:rsid w:val="61CD250B"/>
    <w:rsid w:val="6271733B"/>
    <w:rsid w:val="62922E0D"/>
    <w:rsid w:val="62C47C51"/>
    <w:rsid w:val="634F0ABF"/>
    <w:rsid w:val="63972DD1"/>
    <w:rsid w:val="640970FF"/>
    <w:rsid w:val="64431196"/>
    <w:rsid w:val="64A01811"/>
    <w:rsid w:val="65202952"/>
    <w:rsid w:val="65376EAB"/>
    <w:rsid w:val="65503EBC"/>
    <w:rsid w:val="656F58C0"/>
    <w:rsid w:val="658B67C4"/>
    <w:rsid w:val="661A1A97"/>
    <w:rsid w:val="66FA2C87"/>
    <w:rsid w:val="67912170"/>
    <w:rsid w:val="6798247E"/>
    <w:rsid w:val="67C50DDA"/>
    <w:rsid w:val="68416619"/>
    <w:rsid w:val="68EA5751"/>
    <w:rsid w:val="698931BC"/>
    <w:rsid w:val="699E63E1"/>
    <w:rsid w:val="69A756E8"/>
    <w:rsid w:val="6A907726"/>
    <w:rsid w:val="6B1D2776"/>
    <w:rsid w:val="6B295CCB"/>
    <w:rsid w:val="6BCD71E3"/>
    <w:rsid w:val="6C5C6966"/>
    <w:rsid w:val="6C700348"/>
    <w:rsid w:val="6C8B5F18"/>
    <w:rsid w:val="6D3740D1"/>
    <w:rsid w:val="6D831938"/>
    <w:rsid w:val="6DA32372"/>
    <w:rsid w:val="6DDB3069"/>
    <w:rsid w:val="6E424ECB"/>
    <w:rsid w:val="6EC048E7"/>
    <w:rsid w:val="6F1D7993"/>
    <w:rsid w:val="6F241291"/>
    <w:rsid w:val="7051147D"/>
    <w:rsid w:val="7064403B"/>
    <w:rsid w:val="707F0E75"/>
    <w:rsid w:val="70DC62C7"/>
    <w:rsid w:val="70F133F4"/>
    <w:rsid w:val="71471613"/>
    <w:rsid w:val="71EA0570"/>
    <w:rsid w:val="71EF5B6E"/>
    <w:rsid w:val="71F2233B"/>
    <w:rsid w:val="72113D4E"/>
    <w:rsid w:val="726048BB"/>
    <w:rsid w:val="72AC7F1B"/>
    <w:rsid w:val="7315161C"/>
    <w:rsid w:val="73491C0D"/>
    <w:rsid w:val="73CD1EF7"/>
    <w:rsid w:val="743C0E2B"/>
    <w:rsid w:val="746E4D98"/>
    <w:rsid w:val="74E10279"/>
    <w:rsid w:val="753F0BD2"/>
    <w:rsid w:val="754E350B"/>
    <w:rsid w:val="75575F1C"/>
    <w:rsid w:val="76DA3325"/>
    <w:rsid w:val="76E5577A"/>
    <w:rsid w:val="77EB6DF0"/>
    <w:rsid w:val="78056103"/>
    <w:rsid w:val="781E5B05"/>
    <w:rsid w:val="78B41105"/>
    <w:rsid w:val="78C63F7B"/>
    <w:rsid w:val="78D70769"/>
    <w:rsid w:val="78D930EC"/>
    <w:rsid w:val="79366FC6"/>
    <w:rsid w:val="79C001BE"/>
    <w:rsid w:val="7A3948AB"/>
    <w:rsid w:val="7AC34054"/>
    <w:rsid w:val="7B1F572E"/>
    <w:rsid w:val="7B537606"/>
    <w:rsid w:val="7B6C46EB"/>
    <w:rsid w:val="7B7A6E08"/>
    <w:rsid w:val="7B9A6B62"/>
    <w:rsid w:val="7C94286C"/>
    <w:rsid w:val="7C9C7701"/>
    <w:rsid w:val="7CB43C54"/>
    <w:rsid w:val="7D2C4132"/>
    <w:rsid w:val="7D3C7D45"/>
    <w:rsid w:val="7D43532D"/>
    <w:rsid w:val="7E271DD0"/>
    <w:rsid w:val="7E3B60EE"/>
    <w:rsid w:val="7E3E0C3E"/>
    <w:rsid w:val="7E4837EF"/>
    <w:rsid w:val="7EAC7DF1"/>
    <w:rsid w:val="7EAF7FCB"/>
    <w:rsid w:val="7EE12CFA"/>
    <w:rsid w:val="7EFE1AFE"/>
    <w:rsid w:val="7F0D67F5"/>
    <w:rsid w:val="7F210E45"/>
    <w:rsid w:val="7F7F5071"/>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CA" w:eastAsia="en-CA" w:bidi="ar-SA"/>
    </w:rPr>
  </w:style>
  <w:style w:type="paragraph" w:styleId="5">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spacing w:after="120"/>
      <w:ind w:left="420" w:leftChars="200" w:firstLine="420" w:firstLineChars="200"/>
    </w:pPr>
    <w:rPr>
      <w:sz w:val="21"/>
    </w:rPr>
  </w:style>
  <w:style w:type="paragraph" w:styleId="3">
    <w:name w:val="Body Text Indent"/>
    <w:basedOn w:val="1"/>
    <w:next w:val="4"/>
    <w:qFormat/>
    <w:uiPriority w:val="0"/>
    <w:pPr>
      <w:ind w:firstLine="500"/>
    </w:pPr>
    <w:rPr>
      <w:sz w:val="24"/>
    </w:rPr>
  </w:style>
  <w:style w:type="paragraph" w:customStyle="1" w:styleId="4">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styleId="6">
    <w:name w:val="footer"/>
    <w:basedOn w:val="1"/>
    <w:qFormat/>
    <w:uiPriority w:val="0"/>
    <w:pPr>
      <w:tabs>
        <w:tab w:val="center" w:pos="4320"/>
        <w:tab w:val="right" w:pos="8640"/>
      </w:tabs>
    </w:pPr>
  </w:style>
  <w:style w:type="paragraph" w:styleId="7">
    <w:name w:val="header"/>
    <w:basedOn w:val="1"/>
    <w:qFormat/>
    <w:uiPriority w:val="0"/>
    <w:pPr>
      <w:tabs>
        <w:tab w:val="center" w:pos="4320"/>
        <w:tab w:val="right" w:pos="8640"/>
      </w:tabs>
    </w:p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qFormat/>
    <w:uiPriority w:val="0"/>
    <w:rPr>
      <w:color w:val="0563C1"/>
      <w:u w:val="single"/>
    </w:rPr>
  </w:style>
  <w:style w:type="character" w:styleId="14">
    <w:name w:val="annotation reference"/>
    <w:basedOn w:val="11"/>
    <w:qFormat/>
    <w:uiPriority w:val="0"/>
    <w:rPr>
      <w:sz w:val="21"/>
      <w:szCs w:val="21"/>
    </w:rPr>
  </w:style>
  <w:style w:type="paragraph" w:customStyle="1" w:styleId="15">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16">
    <w:name w:val="CM1"/>
    <w:basedOn w:val="15"/>
    <w:next w:val="15"/>
    <w:qFormat/>
    <w:uiPriority w:val="0"/>
    <w:rPr>
      <w:rFonts w:cs="Times New Roman"/>
      <w:color w:val="auto"/>
    </w:rPr>
  </w:style>
  <w:style w:type="paragraph" w:customStyle="1" w:styleId="17">
    <w:name w:val="CM2"/>
    <w:basedOn w:val="15"/>
    <w:next w:val="15"/>
    <w:qFormat/>
    <w:uiPriority w:val="0"/>
    <w:pPr>
      <w:spacing w:after="373"/>
    </w:pPr>
    <w:rPr>
      <w:rFonts w:cs="Times New Roman"/>
      <w:color w:val="auto"/>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4715</Words>
  <Characters>28813</Characters>
  <Lines>49</Lines>
  <Paragraphs>14</Paragraphs>
  <TotalTime>3</TotalTime>
  <ScaleCrop>false</ScaleCrop>
  <LinksUpToDate>false</LinksUpToDate>
  <CharactersWithSpaces>33343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ʚzzlɞ</cp:lastModifiedBy>
  <cp:lastPrinted>2020-11-24T03:02:00Z</cp:lastPrinted>
  <dcterms:modified xsi:type="dcterms:W3CDTF">2026-02-06T20:07:14Z</dcterms:modified>
  <dc:title>Microsoft Word - PRISMA 2009 Checklist.doc</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30A3D1EED79E47D4A946953C11E10117_13</vt:lpwstr>
  </property>
  <property fmtid="{D5CDD505-2E9C-101B-9397-08002B2CF9AE}" pid="4" name="KSOTemplateDocerSaveRecord">
    <vt:lpwstr>eyJoZGlkIjoiMDM1OTk5ZTFkYjhiOGZkOTEwNmUwMzBlNzNlMGFkNWMiLCJ1c2VySWQiOiI1ODM3NjY4NDIifQ==</vt:lpwstr>
  </property>
</Properties>
</file>