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0E78C" w14:textId="6DDDD139" w:rsidR="00395FD7" w:rsidRPr="00395FD7" w:rsidRDefault="00395FD7" w:rsidP="00395FD7">
      <w:pPr>
        <w:jc w:val="center"/>
        <w:rPr>
          <w:rFonts w:ascii="Times New Roman" w:hAnsi="Times New Roman" w:cs="Times New Roman"/>
          <w:b/>
          <w:bCs/>
        </w:rPr>
      </w:pPr>
      <w:r w:rsidRPr="00395FD7">
        <w:rPr>
          <w:rFonts w:ascii="Times New Roman" w:hAnsi="Times New Roman" w:cs="Times New Roman"/>
          <w:b/>
          <w:bCs/>
        </w:rPr>
        <w:t>Appendix A</w:t>
      </w:r>
      <w:r w:rsidR="00E91DF4">
        <w:rPr>
          <w:rFonts w:ascii="Times New Roman" w:hAnsi="Times New Roman" w:cs="Times New Roman"/>
          <w:b/>
          <w:bCs/>
        </w:rPr>
        <w:t xml:space="preserve"> - Methods</w:t>
      </w:r>
    </w:p>
    <w:p w14:paraId="0BB0B75E" w14:textId="1D05A6E9" w:rsidR="00F8679A" w:rsidRDefault="00F8679A" w:rsidP="00F8679A">
      <w:pPr>
        <w:jc w:val="both"/>
        <w:rPr>
          <w:rFonts w:ascii="Times New Roman" w:hAnsi="Times New Roman" w:cs="Times New Roman"/>
        </w:rPr>
      </w:pPr>
      <w:r w:rsidRPr="00193A91">
        <w:rPr>
          <w:rFonts w:ascii="Times New Roman" w:hAnsi="Times New Roman" w:cs="Times New Roman"/>
        </w:rPr>
        <w:t>Th</w:t>
      </w:r>
      <w:r>
        <w:rPr>
          <w:rFonts w:ascii="Times New Roman" w:hAnsi="Times New Roman" w:cs="Times New Roman"/>
        </w:rPr>
        <w:t>is</w:t>
      </w:r>
      <w:r w:rsidRPr="00193A91">
        <w:rPr>
          <w:rFonts w:ascii="Times New Roman" w:hAnsi="Times New Roman" w:cs="Times New Roman"/>
        </w:rPr>
        <w:t xml:space="preserve"> research employed an explanatory mixed-method design</w:t>
      </w:r>
      <w:r>
        <w:rPr>
          <w:rFonts w:ascii="Times New Roman" w:hAnsi="Times New Roman" w:cs="Times New Roman"/>
        </w:rPr>
        <w:t xml:space="preserve"> to examine </w:t>
      </w:r>
      <w:r w:rsidRPr="002665F6">
        <w:rPr>
          <w:rFonts w:ascii="Times New Roman" w:hAnsi="Times New Roman" w:cs="Times New Roman"/>
        </w:rPr>
        <w:t>the frequency and experiences of food insecurity</w:t>
      </w:r>
      <w:r>
        <w:rPr>
          <w:rFonts w:ascii="Times New Roman" w:hAnsi="Times New Roman" w:cs="Times New Roman"/>
        </w:rPr>
        <w:t xml:space="preserve"> </w:t>
      </w:r>
      <w:r w:rsidRPr="002665F6">
        <w:rPr>
          <w:rFonts w:ascii="Times New Roman" w:hAnsi="Times New Roman" w:cs="Times New Roman"/>
        </w:rPr>
        <w:t>among Sub-Saharan African migrants residing in Istanbul</w:t>
      </w:r>
      <w:r w:rsidRPr="00193A91">
        <w:rPr>
          <w:rFonts w:ascii="Times New Roman" w:hAnsi="Times New Roman" w:cs="Times New Roman"/>
        </w:rPr>
        <w:t>, beginning with quantitative data collection and analysis</w:t>
      </w:r>
      <w:r>
        <w:rPr>
          <w:rFonts w:ascii="Times New Roman" w:hAnsi="Times New Roman" w:cs="Times New Roman"/>
        </w:rPr>
        <w:t xml:space="preserve"> </w:t>
      </w:r>
      <w:r w:rsidRPr="0004270E">
        <w:rPr>
          <w:rFonts w:ascii="Times New Roman" w:hAnsi="Times New Roman" w:cs="Times New Roman"/>
        </w:rPr>
        <w:t>using Rasch modeling to assess and validate the Food Insecurity Experience Scale (FIES)</w:t>
      </w:r>
      <w:r w:rsidRPr="00193A91">
        <w:rPr>
          <w:rFonts w:ascii="Times New Roman" w:hAnsi="Times New Roman" w:cs="Times New Roman"/>
        </w:rPr>
        <w:t>, followed by qualitative exploration to further contextualize the findings</w:t>
      </w:r>
      <w:r>
        <w:rPr>
          <w:rFonts w:ascii="Times New Roman" w:hAnsi="Times New Roman" w:cs="Times New Roman"/>
        </w:rPr>
        <w:t xml:space="preserve">, </w:t>
      </w:r>
      <w:r w:rsidRPr="007B51C7">
        <w:rPr>
          <w:rFonts w:ascii="Times New Roman" w:hAnsi="Times New Roman" w:cs="Times New Roman"/>
        </w:rPr>
        <w:t>summarizing individual</w:t>
      </w:r>
      <w:r>
        <w:rPr>
          <w:rFonts w:ascii="Times New Roman" w:hAnsi="Times New Roman" w:cs="Times New Roman"/>
        </w:rPr>
        <w:t xml:space="preserve"> </w:t>
      </w:r>
      <w:r w:rsidRPr="007B51C7">
        <w:rPr>
          <w:rFonts w:ascii="Times New Roman" w:hAnsi="Times New Roman" w:cs="Times New Roman"/>
        </w:rPr>
        <w:t>level</w:t>
      </w:r>
      <w:r>
        <w:rPr>
          <w:rFonts w:ascii="Times New Roman" w:hAnsi="Times New Roman" w:cs="Times New Roman"/>
        </w:rPr>
        <w:t xml:space="preserve"> </w:t>
      </w:r>
      <w:r w:rsidRPr="007B51C7">
        <w:rPr>
          <w:rFonts w:ascii="Times New Roman" w:hAnsi="Times New Roman" w:cs="Times New Roman"/>
        </w:rPr>
        <w:t>characteristics</w:t>
      </w:r>
      <w:r>
        <w:rPr>
          <w:rFonts w:ascii="Times New Roman" w:hAnsi="Times New Roman" w:cs="Times New Roman"/>
        </w:rPr>
        <w:t xml:space="preserve"> and</w:t>
      </w:r>
      <w:r w:rsidRPr="007B51C7">
        <w:rPr>
          <w:rFonts w:ascii="Times New Roman" w:hAnsi="Times New Roman" w:cs="Times New Roman"/>
        </w:rPr>
        <w:t xml:space="preserve"> complement</w:t>
      </w:r>
      <w:r>
        <w:rPr>
          <w:rFonts w:ascii="Times New Roman" w:hAnsi="Times New Roman" w:cs="Times New Roman"/>
        </w:rPr>
        <w:t>ing</w:t>
      </w:r>
      <w:r w:rsidRPr="007B51C7">
        <w:rPr>
          <w:rFonts w:ascii="Times New Roman" w:hAnsi="Times New Roman" w:cs="Times New Roman"/>
        </w:rPr>
        <w:t xml:space="preserve"> </w:t>
      </w:r>
      <w:r>
        <w:rPr>
          <w:rFonts w:ascii="Times New Roman" w:hAnsi="Times New Roman" w:cs="Times New Roman"/>
        </w:rPr>
        <w:t>the</w:t>
      </w:r>
      <w:r w:rsidRPr="007B51C7">
        <w:rPr>
          <w:rFonts w:ascii="Times New Roman" w:hAnsi="Times New Roman" w:cs="Times New Roman"/>
        </w:rPr>
        <w:t xml:space="preserve"> quantitative analysis by showing demographic diversity and food security status of interviewed participants.</w:t>
      </w:r>
      <w:r>
        <w:rPr>
          <w:rFonts w:ascii="Times New Roman" w:hAnsi="Times New Roman" w:cs="Times New Roman"/>
        </w:rPr>
        <w:t xml:space="preserve"> The survey was prepared in English and in French, while in-depth interview was conducted in English only. </w:t>
      </w:r>
      <w:r w:rsidRPr="00506FF8">
        <w:rPr>
          <w:rFonts w:ascii="Times New Roman" w:hAnsi="Times New Roman" w:cs="Times New Roman"/>
        </w:rPr>
        <w:t xml:space="preserve">Migrants are defined as individuals who were born in one of the Sub-Saharan African countries and currently reside in Istanbul, </w:t>
      </w:r>
      <w:r w:rsidRPr="00FB7544">
        <w:rPr>
          <w:rFonts w:ascii="Times New Roman" w:hAnsi="Times New Roman" w:cs="Times New Roman"/>
        </w:rPr>
        <w:t>Turkey. In the quantitative part of the study a total of 108 individuals were included in the analysis</w:t>
      </w:r>
      <w:r>
        <w:rPr>
          <w:rFonts w:ascii="Times New Roman" w:hAnsi="Times New Roman" w:cs="Times New Roman"/>
        </w:rPr>
        <w:t xml:space="preserve"> and f</w:t>
      </w:r>
      <w:r w:rsidRPr="00FB7544">
        <w:rPr>
          <w:rFonts w:ascii="Times New Roman" w:hAnsi="Times New Roman" w:cs="Times New Roman"/>
        </w:rPr>
        <w:t>or the qualitative part, a total of 4 people were interviewed.</w:t>
      </w:r>
    </w:p>
    <w:p w14:paraId="157751F7" w14:textId="77777777" w:rsidR="00F8679A" w:rsidRPr="00B41422" w:rsidRDefault="00F8679A" w:rsidP="00B41422">
      <w:pPr>
        <w:jc w:val="both"/>
        <w:rPr>
          <w:rFonts w:ascii="Times New Roman" w:hAnsi="Times New Roman" w:cs="Times New Roman"/>
          <w:lang w:val="tr-TR"/>
        </w:rPr>
      </w:pPr>
      <w:r w:rsidRPr="00B41422">
        <w:rPr>
          <w:rFonts w:ascii="Times New Roman" w:hAnsi="Times New Roman" w:cs="Times New Roman"/>
          <w:b/>
          <w:bCs/>
          <w:lang w:val="tr-TR"/>
        </w:rPr>
        <w:t>Quantitative Data Collection and Analysis</w:t>
      </w:r>
    </w:p>
    <w:p w14:paraId="1D9028C7" w14:textId="77777777" w:rsidR="00F8679A" w:rsidRPr="001A118E" w:rsidRDefault="00F8679A" w:rsidP="00F8679A">
      <w:pPr>
        <w:jc w:val="both"/>
        <w:rPr>
          <w:rFonts w:ascii="Times New Roman" w:hAnsi="Times New Roman" w:cs="Times New Roman"/>
          <w:lang w:val="tr-TR"/>
        </w:rPr>
      </w:pPr>
      <w:r w:rsidRPr="001A118E">
        <w:rPr>
          <w:rFonts w:ascii="Times New Roman" w:hAnsi="Times New Roman" w:cs="Times New Roman"/>
          <w:lang w:val="tr-TR"/>
        </w:rPr>
        <w:t>Prior to initiating the study, a pilot survey was conducted in September 2022 with three migrant participants. Based on their feedback, adjustments were made to the survey design.</w:t>
      </w:r>
    </w:p>
    <w:p w14:paraId="4A0E56D1" w14:textId="65631914" w:rsidR="00F8679A" w:rsidRDefault="00F8679A" w:rsidP="00F8679A">
      <w:pPr>
        <w:jc w:val="both"/>
        <w:rPr>
          <w:rFonts w:ascii="Times New Roman" w:hAnsi="Times New Roman" w:cs="Times New Roman"/>
        </w:rPr>
      </w:pPr>
      <w:r w:rsidRPr="00287B3B">
        <w:rPr>
          <w:rFonts w:ascii="Times New Roman" w:hAnsi="Times New Roman" w:cs="Times New Roman"/>
        </w:rPr>
        <w:t xml:space="preserve">The survey comprised </w:t>
      </w:r>
      <w:r>
        <w:rPr>
          <w:rFonts w:ascii="Times New Roman" w:hAnsi="Times New Roman" w:cs="Times New Roman"/>
        </w:rPr>
        <w:t>four</w:t>
      </w:r>
      <w:r w:rsidRPr="00287B3B">
        <w:rPr>
          <w:rFonts w:ascii="Times New Roman" w:hAnsi="Times New Roman" w:cs="Times New Roman"/>
        </w:rPr>
        <w:t xml:space="preserve"> sections with a total of 30 questions, covering sociodemographic</w:t>
      </w:r>
      <w:r w:rsidR="002A43BE">
        <w:rPr>
          <w:rFonts w:ascii="Times New Roman" w:hAnsi="Times New Roman" w:cs="Times New Roman"/>
        </w:rPr>
        <w:t xml:space="preserve"> and socioeconomic</w:t>
      </w:r>
      <w:r w:rsidRPr="00287B3B">
        <w:rPr>
          <w:rFonts w:ascii="Times New Roman" w:hAnsi="Times New Roman" w:cs="Times New Roman"/>
        </w:rPr>
        <w:t xml:space="preserve"> information, migration experiences, </w:t>
      </w:r>
      <w:r w:rsidRPr="00605DB0">
        <w:rPr>
          <w:rFonts w:ascii="Times New Roman" w:hAnsi="Times New Roman" w:cs="Times New Roman"/>
        </w:rPr>
        <w:t>self-reported health status</w:t>
      </w:r>
      <w:r>
        <w:rPr>
          <w:rFonts w:ascii="Times New Roman" w:hAnsi="Times New Roman" w:cs="Times New Roman"/>
        </w:rPr>
        <w:t>,</w:t>
      </w:r>
      <w:r w:rsidRPr="00605DB0">
        <w:rPr>
          <w:rFonts w:ascii="Times New Roman" w:hAnsi="Times New Roman" w:cs="Times New Roman"/>
        </w:rPr>
        <w:t xml:space="preserve"> access to healthcare services</w:t>
      </w:r>
      <w:r>
        <w:rPr>
          <w:rFonts w:ascii="Times New Roman" w:hAnsi="Times New Roman" w:cs="Times New Roman"/>
        </w:rPr>
        <w:t>,</w:t>
      </w:r>
      <w:r w:rsidRPr="00287B3B">
        <w:rPr>
          <w:rFonts w:ascii="Times New Roman" w:hAnsi="Times New Roman" w:cs="Times New Roman"/>
        </w:rPr>
        <w:t xml:space="preserve"> and the Food Insecurity Experience Scale (FIES)</w:t>
      </w:r>
      <w:r>
        <w:rPr>
          <w:rStyle w:val="FootnoteReference"/>
          <w:rFonts w:ascii="Times New Roman" w:hAnsi="Times New Roman" w:cs="Times New Roman"/>
        </w:rPr>
        <w:footnoteReference w:id="1"/>
      </w:r>
      <w:r>
        <w:rPr>
          <w:rFonts w:ascii="Times New Roman" w:hAnsi="Times New Roman" w:cs="Times New Roman"/>
        </w:rPr>
        <w:t xml:space="preserve"> (Food and Agriculture Organization (</w:t>
      </w:r>
      <w:r w:rsidRPr="00CD06C3">
        <w:rPr>
          <w:rFonts w:ascii="Times New Roman" w:hAnsi="Times New Roman" w:cs="Times New Roman"/>
        </w:rPr>
        <w:t>FAO</w:t>
      </w:r>
      <w:r>
        <w:rPr>
          <w:rFonts w:ascii="Times New Roman" w:hAnsi="Times New Roman" w:cs="Times New Roman"/>
        </w:rPr>
        <w:t>)</w:t>
      </w:r>
      <w:r w:rsidRPr="004B7294">
        <w:rPr>
          <w:rFonts w:ascii="Times New Roman" w:hAnsi="Times New Roman" w:cs="Times New Roman"/>
        </w:rPr>
        <w:t>, 2016</w:t>
      </w:r>
      <w:r>
        <w:rPr>
          <w:rFonts w:ascii="Times New Roman" w:hAnsi="Times New Roman" w:cs="Times New Roman"/>
          <w:b/>
          <w:bCs/>
        </w:rPr>
        <w:t>)</w:t>
      </w:r>
      <w:r w:rsidRPr="00287B3B">
        <w:rPr>
          <w:rFonts w:ascii="Times New Roman" w:hAnsi="Times New Roman" w:cs="Times New Roman"/>
        </w:rPr>
        <w:t xml:space="preserve">. </w:t>
      </w:r>
      <w:r w:rsidRPr="00D6154F">
        <w:rPr>
          <w:rFonts w:ascii="Times New Roman" w:hAnsi="Times New Roman" w:cs="Times New Roman"/>
        </w:rPr>
        <w:t>FIES</w:t>
      </w:r>
      <w:r>
        <w:rPr>
          <w:rFonts w:ascii="Times New Roman" w:hAnsi="Times New Roman" w:cs="Times New Roman"/>
        </w:rPr>
        <w:t xml:space="preserve">, as </w:t>
      </w:r>
      <w:r w:rsidRPr="006120D1">
        <w:rPr>
          <w:rFonts w:ascii="Times New Roman" w:hAnsi="Times New Roman" w:cs="Times New Roman"/>
        </w:rPr>
        <w:t>the</w:t>
      </w:r>
      <w:r w:rsidRPr="006120D1">
        <w:rPr>
          <w:rFonts w:ascii="Times New Roman" w:hAnsi="Times New Roman" w:cs="Times New Roman"/>
          <w:spacing w:val="-1"/>
        </w:rPr>
        <w:t xml:space="preserve"> </w:t>
      </w:r>
      <w:r w:rsidRPr="006120D1">
        <w:rPr>
          <w:rFonts w:ascii="Times New Roman" w:hAnsi="Times New Roman" w:cs="Times New Roman"/>
        </w:rPr>
        <w:t>first</w:t>
      </w:r>
      <w:r w:rsidRPr="006120D1">
        <w:rPr>
          <w:rFonts w:ascii="Times New Roman" w:hAnsi="Times New Roman" w:cs="Times New Roman"/>
          <w:spacing w:val="-1"/>
        </w:rPr>
        <w:t xml:space="preserve"> </w:t>
      </w:r>
      <w:r w:rsidRPr="006120D1">
        <w:rPr>
          <w:rFonts w:ascii="Times New Roman" w:hAnsi="Times New Roman" w:cs="Times New Roman"/>
        </w:rPr>
        <w:t>tool</w:t>
      </w:r>
      <w:r w:rsidRPr="006120D1">
        <w:rPr>
          <w:rFonts w:ascii="Times New Roman" w:hAnsi="Times New Roman" w:cs="Times New Roman"/>
          <w:spacing w:val="-1"/>
        </w:rPr>
        <w:t xml:space="preserve"> </w:t>
      </w:r>
      <w:r w:rsidRPr="006120D1">
        <w:rPr>
          <w:rFonts w:ascii="Times New Roman" w:hAnsi="Times New Roman" w:cs="Times New Roman"/>
        </w:rPr>
        <w:t>employed</w:t>
      </w:r>
      <w:r w:rsidRPr="006120D1">
        <w:rPr>
          <w:rFonts w:ascii="Times New Roman" w:hAnsi="Times New Roman" w:cs="Times New Roman"/>
          <w:spacing w:val="-4"/>
        </w:rPr>
        <w:t xml:space="preserve"> </w:t>
      </w:r>
      <w:r w:rsidRPr="006120D1">
        <w:rPr>
          <w:rFonts w:ascii="Times New Roman" w:hAnsi="Times New Roman" w:cs="Times New Roman"/>
        </w:rPr>
        <w:t>when gauging food</w:t>
      </w:r>
      <w:r w:rsidRPr="006120D1">
        <w:rPr>
          <w:rFonts w:ascii="Times New Roman" w:hAnsi="Times New Roman" w:cs="Times New Roman"/>
          <w:spacing w:val="-4"/>
        </w:rPr>
        <w:t xml:space="preserve"> </w:t>
      </w:r>
      <w:r w:rsidRPr="006120D1">
        <w:rPr>
          <w:rFonts w:ascii="Times New Roman" w:hAnsi="Times New Roman" w:cs="Times New Roman"/>
        </w:rPr>
        <w:t>insecurity at</w:t>
      </w:r>
      <w:r w:rsidRPr="006120D1">
        <w:rPr>
          <w:rFonts w:ascii="Times New Roman" w:hAnsi="Times New Roman" w:cs="Times New Roman"/>
          <w:spacing w:val="-14"/>
        </w:rPr>
        <w:t xml:space="preserve"> </w:t>
      </w:r>
      <w:r w:rsidRPr="006120D1">
        <w:rPr>
          <w:rFonts w:ascii="Times New Roman" w:hAnsi="Times New Roman" w:cs="Times New Roman"/>
        </w:rPr>
        <w:t>the</w:t>
      </w:r>
      <w:r w:rsidRPr="006120D1">
        <w:rPr>
          <w:rFonts w:ascii="Times New Roman" w:hAnsi="Times New Roman" w:cs="Times New Roman"/>
          <w:spacing w:val="-14"/>
        </w:rPr>
        <w:t xml:space="preserve"> </w:t>
      </w:r>
      <w:r w:rsidRPr="006120D1">
        <w:rPr>
          <w:rFonts w:ascii="Times New Roman" w:hAnsi="Times New Roman" w:cs="Times New Roman"/>
        </w:rPr>
        <w:t>individual</w:t>
      </w:r>
      <w:r w:rsidRPr="006120D1">
        <w:rPr>
          <w:rFonts w:ascii="Times New Roman" w:hAnsi="Times New Roman" w:cs="Times New Roman"/>
          <w:spacing w:val="-14"/>
        </w:rPr>
        <w:t xml:space="preserve"> </w:t>
      </w:r>
      <w:r w:rsidRPr="006120D1">
        <w:rPr>
          <w:rFonts w:ascii="Times New Roman" w:hAnsi="Times New Roman" w:cs="Times New Roman"/>
        </w:rPr>
        <w:t>level</w:t>
      </w:r>
      <w:r>
        <w:rPr>
          <w:rFonts w:ascii="Times New Roman" w:hAnsi="Times New Roman" w:cs="Times New Roman"/>
        </w:rPr>
        <w:t>,</w:t>
      </w:r>
      <w:r w:rsidRPr="00D6154F">
        <w:rPr>
          <w:rFonts w:ascii="Times New Roman" w:hAnsi="Times New Roman" w:cs="Times New Roman"/>
        </w:rPr>
        <w:t xml:space="preserve"> assesses </w:t>
      </w:r>
      <w:r>
        <w:rPr>
          <w:rFonts w:ascii="Times New Roman" w:hAnsi="Times New Roman" w:cs="Times New Roman"/>
        </w:rPr>
        <w:t xml:space="preserve">self-reported experiences related to the </w:t>
      </w:r>
      <w:r w:rsidRPr="00D6154F">
        <w:rPr>
          <w:rFonts w:ascii="Times New Roman" w:hAnsi="Times New Roman" w:cs="Times New Roman"/>
        </w:rPr>
        <w:t xml:space="preserve">severity of food insecurity based on participants’ responses to eight questions </w:t>
      </w:r>
      <w:r>
        <w:rPr>
          <w:rFonts w:ascii="Times New Roman" w:hAnsi="Times New Roman" w:cs="Times New Roman"/>
        </w:rPr>
        <w:t>about</w:t>
      </w:r>
      <w:r w:rsidRPr="00D6154F">
        <w:rPr>
          <w:rFonts w:ascii="Times New Roman" w:hAnsi="Times New Roman" w:cs="Times New Roman"/>
        </w:rPr>
        <w:t xml:space="preserve"> economic access to sufficient and nutritious food (Smith et al., 2017).</w:t>
      </w:r>
      <w:r>
        <w:rPr>
          <w:rFonts w:ascii="Times New Roman" w:hAnsi="Times New Roman" w:cs="Times New Roman"/>
        </w:rPr>
        <w:t xml:space="preserve"> </w:t>
      </w:r>
      <w:r w:rsidRPr="00D6154F">
        <w:rPr>
          <w:rFonts w:ascii="Times New Roman" w:hAnsi="Times New Roman" w:cs="Times New Roman"/>
        </w:rPr>
        <w:t>FIES can be administered at either the household or individual level, with reference periods of 30 days or 12 months. In this study, the 12-month individual-level scale was employed. The questionnaire consists of eight questions</w:t>
      </w:r>
      <w:r>
        <w:rPr>
          <w:rFonts w:ascii="Times New Roman" w:hAnsi="Times New Roman" w:cs="Times New Roman"/>
        </w:rPr>
        <w:t xml:space="preserve"> (see Table 1</w:t>
      </w:r>
      <w:r w:rsidR="001D3F56">
        <w:rPr>
          <w:rFonts w:ascii="Times New Roman" w:hAnsi="Times New Roman" w:cs="Times New Roman"/>
        </w:rPr>
        <w:t>A</w:t>
      </w:r>
      <w:r>
        <w:rPr>
          <w:rFonts w:ascii="Times New Roman" w:hAnsi="Times New Roman" w:cs="Times New Roman"/>
        </w:rPr>
        <w:t>),</w:t>
      </w:r>
      <w:r w:rsidRPr="00D6154F">
        <w:rPr>
          <w:rFonts w:ascii="Times New Roman" w:hAnsi="Times New Roman" w:cs="Times New Roman"/>
        </w:rPr>
        <w:t xml:space="preserve"> categorized into three domains</w:t>
      </w:r>
      <w:r>
        <w:rPr>
          <w:rFonts w:ascii="Times New Roman" w:hAnsi="Times New Roman" w:cs="Times New Roman"/>
        </w:rPr>
        <w:t xml:space="preserve"> </w:t>
      </w:r>
      <w:r w:rsidRPr="009F3E03">
        <w:rPr>
          <w:rFonts w:ascii="Times New Roman" w:hAnsi="Times New Roman" w:cs="Times New Roman"/>
        </w:rPr>
        <w:t>to measure self-reported difficulties in accessing food due to financial or resource constraints over a 12-month period</w:t>
      </w:r>
      <w:r w:rsidRPr="00D6154F">
        <w:rPr>
          <w:rFonts w:ascii="Times New Roman" w:hAnsi="Times New Roman" w:cs="Times New Roman"/>
        </w:rPr>
        <w:t>: the first question addresses anxiety and uncertainty about food availability, the second and third questions assess food quality, and the remaining four focus on food insufficiency</w:t>
      </w:r>
      <w:r>
        <w:rPr>
          <w:rFonts w:ascii="Times New Roman" w:hAnsi="Times New Roman" w:cs="Times New Roman"/>
        </w:rPr>
        <w:t>.</w:t>
      </w:r>
      <w:r w:rsidRPr="00D6154F">
        <w:rPr>
          <w:rFonts w:ascii="Times New Roman" w:hAnsi="Times New Roman" w:cs="Times New Roman"/>
        </w:rPr>
        <w:t xml:space="preserve"> </w:t>
      </w:r>
      <w:r w:rsidRPr="009F3E03">
        <w:rPr>
          <w:rFonts w:ascii="Times New Roman" w:hAnsi="Times New Roman" w:cs="Times New Roman"/>
        </w:rPr>
        <w:t xml:space="preserve">The scale comprises eight yes/no items reflecting increasing severity of food </w:t>
      </w:r>
      <w:r w:rsidRPr="009F3E03">
        <w:rPr>
          <w:rFonts w:ascii="Times New Roman" w:hAnsi="Times New Roman" w:cs="Times New Roman"/>
        </w:rPr>
        <w:lastRenderedPageBreak/>
        <w:t>insecurity; raw scores (0–8) classify respondents as food secure (0–3), moderately food insecure (4–6), or severely food insecure (7–8).</w:t>
      </w:r>
    </w:p>
    <w:p w14:paraId="23257502" w14:textId="77777777" w:rsidR="00F8679A" w:rsidRDefault="00F8679A" w:rsidP="00F8679A">
      <w:pPr>
        <w:pStyle w:val="BodyText"/>
        <w:spacing w:before="8"/>
      </w:pPr>
    </w:p>
    <w:p w14:paraId="6F068279" w14:textId="7318F908" w:rsidR="00F8679A" w:rsidRDefault="00F8679A" w:rsidP="00F8679A">
      <w:pPr>
        <w:pStyle w:val="BodyText"/>
        <w:spacing w:before="8"/>
        <w:rPr>
          <w:sz w:val="17"/>
        </w:rPr>
      </w:pPr>
      <w:r>
        <w:t xml:space="preserve">               </w:t>
      </w:r>
      <w:r w:rsidRPr="008543B2">
        <w:t>Table 1</w:t>
      </w:r>
      <w:r w:rsidR="001D3F56">
        <w:t>A</w:t>
      </w:r>
      <w:r w:rsidRPr="008543B2">
        <w:t xml:space="preserve">. Items of the Food Insecurity Experience Scale (FIES) </w:t>
      </w:r>
    </w:p>
    <w:tbl>
      <w:tblPr>
        <w:tblW w:w="0" w:type="auto"/>
        <w:tblInd w:w="928" w:type="dxa"/>
        <w:tblLayout w:type="fixed"/>
        <w:tblCellMar>
          <w:left w:w="0" w:type="dxa"/>
          <w:right w:w="0" w:type="dxa"/>
        </w:tblCellMar>
        <w:tblLook w:val="01E0" w:firstRow="1" w:lastRow="1" w:firstColumn="1" w:lastColumn="1" w:noHBand="0" w:noVBand="0"/>
      </w:tblPr>
      <w:tblGrid>
        <w:gridCol w:w="1040"/>
        <w:gridCol w:w="1687"/>
        <w:gridCol w:w="6957"/>
      </w:tblGrid>
      <w:tr w:rsidR="00F8679A" w14:paraId="62146D50" w14:textId="77777777" w:rsidTr="00417545">
        <w:trPr>
          <w:trHeight w:val="525"/>
        </w:trPr>
        <w:tc>
          <w:tcPr>
            <w:tcW w:w="1040" w:type="dxa"/>
            <w:tcBorders>
              <w:top w:val="single" w:sz="6" w:space="0" w:color="000000"/>
              <w:bottom w:val="single" w:sz="6" w:space="0" w:color="000000"/>
            </w:tcBorders>
          </w:tcPr>
          <w:p w14:paraId="67C8575D" w14:textId="77777777" w:rsidR="00F8679A" w:rsidRDefault="00F8679A" w:rsidP="00417545">
            <w:pPr>
              <w:pStyle w:val="TableParagraph"/>
              <w:spacing w:before="128"/>
              <w:ind w:left="109"/>
              <w:rPr>
                <w:sz w:val="24"/>
              </w:rPr>
            </w:pPr>
            <w:r>
              <w:rPr>
                <w:spacing w:val="-2"/>
                <w:sz w:val="24"/>
              </w:rPr>
              <w:t>Number</w:t>
            </w:r>
          </w:p>
        </w:tc>
        <w:tc>
          <w:tcPr>
            <w:tcW w:w="1687" w:type="dxa"/>
            <w:tcBorders>
              <w:top w:val="single" w:sz="6" w:space="0" w:color="000000"/>
              <w:bottom w:val="single" w:sz="6" w:space="0" w:color="000000"/>
            </w:tcBorders>
          </w:tcPr>
          <w:p w14:paraId="0BCC6AEC" w14:textId="77777777" w:rsidR="00F8679A" w:rsidRDefault="00F8679A" w:rsidP="00417545">
            <w:pPr>
              <w:pStyle w:val="TableParagraph"/>
              <w:spacing w:before="128"/>
              <w:ind w:left="145"/>
              <w:rPr>
                <w:sz w:val="24"/>
              </w:rPr>
            </w:pPr>
            <w:r>
              <w:rPr>
                <w:sz w:val="24"/>
              </w:rPr>
              <w:t>Standard</w:t>
            </w:r>
            <w:r>
              <w:rPr>
                <w:spacing w:val="-9"/>
                <w:sz w:val="24"/>
              </w:rPr>
              <w:t xml:space="preserve"> </w:t>
            </w:r>
            <w:r>
              <w:rPr>
                <w:spacing w:val="-2"/>
                <w:sz w:val="24"/>
              </w:rPr>
              <w:t>label</w:t>
            </w:r>
          </w:p>
        </w:tc>
        <w:tc>
          <w:tcPr>
            <w:tcW w:w="6957" w:type="dxa"/>
            <w:tcBorders>
              <w:top w:val="single" w:sz="6" w:space="0" w:color="000000"/>
              <w:bottom w:val="single" w:sz="6" w:space="0" w:color="000000"/>
            </w:tcBorders>
          </w:tcPr>
          <w:p w14:paraId="3C2E94EF" w14:textId="77777777" w:rsidR="00F8679A" w:rsidRDefault="00F8679A" w:rsidP="00417545">
            <w:pPr>
              <w:pStyle w:val="TableParagraph"/>
              <w:spacing w:before="128"/>
              <w:ind w:left="154"/>
              <w:rPr>
                <w:sz w:val="24"/>
              </w:rPr>
            </w:pPr>
            <w:r>
              <w:rPr>
                <w:sz w:val="24"/>
              </w:rPr>
              <w:t>Question</w:t>
            </w:r>
            <w:r>
              <w:rPr>
                <w:spacing w:val="-7"/>
                <w:sz w:val="24"/>
              </w:rPr>
              <w:t xml:space="preserve"> </w:t>
            </w:r>
            <w:r>
              <w:rPr>
                <w:spacing w:val="-2"/>
                <w:sz w:val="24"/>
              </w:rPr>
              <w:t>wording</w:t>
            </w:r>
          </w:p>
        </w:tc>
      </w:tr>
      <w:tr w:rsidR="00F8679A" w14:paraId="0E79E8D9" w14:textId="77777777" w:rsidTr="00417545">
        <w:trPr>
          <w:trHeight w:val="279"/>
        </w:trPr>
        <w:tc>
          <w:tcPr>
            <w:tcW w:w="1040" w:type="dxa"/>
            <w:tcBorders>
              <w:top w:val="single" w:sz="6" w:space="0" w:color="000000"/>
            </w:tcBorders>
          </w:tcPr>
          <w:p w14:paraId="44B283C2" w14:textId="77777777" w:rsidR="00F8679A" w:rsidRDefault="00F8679A" w:rsidP="00417545">
            <w:pPr>
              <w:pStyle w:val="TableParagraph"/>
              <w:spacing w:line="259" w:lineRule="exact"/>
              <w:ind w:left="109"/>
              <w:rPr>
                <w:sz w:val="24"/>
              </w:rPr>
            </w:pPr>
            <w:r>
              <w:rPr>
                <w:sz w:val="24"/>
              </w:rPr>
              <w:t>1</w:t>
            </w:r>
          </w:p>
        </w:tc>
        <w:tc>
          <w:tcPr>
            <w:tcW w:w="1687" w:type="dxa"/>
            <w:tcBorders>
              <w:top w:val="single" w:sz="6" w:space="0" w:color="000000"/>
            </w:tcBorders>
          </w:tcPr>
          <w:p w14:paraId="0F758052" w14:textId="77777777" w:rsidR="00F8679A" w:rsidRDefault="00F8679A" w:rsidP="00417545">
            <w:pPr>
              <w:pStyle w:val="TableParagraph"/>
              <w:spacing w:line="259" w:lineRule="exact"/>
              <w:ind w:left="145"/>
              <w:rPr>
                <w:sz w:val="24"/>
              </w:rPr>
            </w:pPr>
            <w:r>
              <w:rPr>
                <w:spacing w:val="-2"/>
                <w:sz w:val="24"/>
              </w:rPr>
              <w:t>WORRIED</w:t>
            </w:r>
          </w:p>
        </w:tc>
        <w:tc>
          <w:tcPr>
            <w:tcW w:w="6957" w:type="dxa"/>
            <w:tcBorders>
              <w:top w:val="single" w:sz="6" w:space="0" w:color="000000"/>
            </w:tcBorders>
          </w:tcPr>
          <w:p w14:paraId="29C89146" w14:textId="77777777" w:rsidR="00F8679A" w:rsidRDefault="00F8679A" w:rsidP="00417545">
            <w:pPr>
              <w:pStyle w:val="TableParagraph"/>
              <w:spacing w:line="259" w:lineRule="exact"/>
              <w:ind w:left="154"/>
              <w:rPr>
                <w:sz w:val="24"/>
              </w:rPr>
            </w:pPr>
            <w:r>
              <w:rPr>
                <w:sz w:val="24"/>
              </w:rPr>
              <w:t>During</w:t>
            </w:r>
            <w:r>
              <w:rPr>
                <w:spacing w:val="-3"/>
                <w:sz w:val="24"/>
              </w:rPr>
              <w:t xml:space="preserve"> </w:t>
            </w:r>
            <w:r>
              <w:rPr>
                <w:sz w:val="24"/>
              </w:rPr>
              <w:t>the</w:t>
            </w:r>
            <w:r>
              <w:rPr>
                <w:spacing w:val="-4"/>
                <w:sz w:val="24"/>
              </w:rPr>
              <w:t xml:space="preserve"> </w:t>
            </w:r>
            <w:r>
              <w:rPr>
                <w:sz w:val="24"/>
              </w:rPr>
              <w:t>last</w:t>
            </w:r>
            <w:r>
              <w:rPr>
                <w:spacing w:val="-4"/>
                <w:sz w:val="24"/>
              </w:rPr>
              <w:t xml:space="preserve"> </w:t>
            </w:r>
            <w:r>
              <w:rPr>
                <w:sz w:val="24"/>
              </w:rPr>
              <w:t>12</w:t>
            </w:r>
            <w:r>
              <w:rPr>
                <w:spacing w:val="-3"/>
                <w:sz w:val="24"/>
              </w:rPr>
              <w:t xml:space="preserve"> </w:t>
            </w:r>
            <w:r>
              <w:rPr>
                <w:sz w:val="24"/>
              </w:rPr>
              <w:t>MONTHS,</w:t>
            </w:r>
            <w:r>
              <w:rPr>
                <w:spacing w:val="-2"/>
                <w:sz w:val="24"/>
              </w:rPr>
              <w:t xml:space="preserve"> </w:t>
            </w:r>
            <w:r>
              <w:rPr>
                <w:sz w:val="24"/>
              </w:rPr>
              <w:t>was</w:t>
            </w:r>
            <w:r>
              <w:rPr>
                <w:spacing w:val="-1"/>
                <w:sz w:val="24"/>
              </w:rPr>
              <w:t xml:space="preserve"> </w:t>
            </w:r>
            <w:r>
              <w:rPr>
                <w:sz w:val="24"/>
              </w:rPr>
              <w:t>there</w:t>
            </w:r>
            <w:r>
              <w:rPr>
                <w:spacing w:val="-5"/>
                <w:sz w:val="24"/>
              </w:rPr>
              <w:t xml:space="preserve"> </w:t>
            </w:r>
            <w:r>
              <w:rPr>
                <w:sz w:val="24"/>
              </w:rPr>
              <w:t>a</w:t>
            </w:r>
            <w:r>
              <w:rPr>
                <w:spacing w:val="-4"/>
                <w:sz w:val="24"/>
              </w:rPr>
              <w:t xml:space="preserve"> </w:t>
            </w:r>
            <w:r>
              <w:rPr>
                <w:sz w:val="24"/>
              </w:rPr>
              <w:t>time</w:t>
            </w:r>
            <w:r>
              <w:rPr>
                <w:spacing w:val="-4"/>
                <w:sz w:val="24"/>
              </w:rPr>
              <w:t xml:space="preserve"> </w:t>
            </w:r>
            <w:r>
              <w:rPr>
                <w:sz w:val="24"/>
              </w:rPr>
              <w:t>when</w:t>
            </w:r>
            <w:r>
              <w:rPr>
                <w:spacing w:val="7"/>
                <w:sz w:val="24"/>
              </w:rPr>
              <w:t xml:space="preserve"> </w:t>
            </w:r>
            <w:r>
              <w:rPr>
                <w:sz w:val="24"/>
              </w:rPr>
              <w:t>you</w:t>
            </w:r>
            <w:r>
              <w:rPr>
                <w:spacing w:val="-2"/>
                <w:sz w:val="24"/>
              </w:rPr>
              <w:t xml:space="preserve"> </w:t>
            </w:r>
            <w:r>
              <w:rPr>
                <w:spacing w:val="-4"/>
                <w:sz w:val="24"/>
              </w:rPr>
              <w:t>were</w:t>
            </w:r>
          </w:p>
        </w:tc>
      </w:tr>
      <w:tr w:rsidR="00F8679A" w14:paraId="32D884D9" w14:textId="77777777" w:rsidTr="00417545">
        <w:trPr>
          <w:trHeight w:val="277"/>
        </w:trPr>
        <w:tc>
          <w:tcPr>
            <w:tcW w:w="1040" w:type="dxa"/>
          </w:tcPr>
          <w:p w14:paraId="75E68C12" w14:textId="77777777" w:rsidR="00F8679A" w:rsidRDefault="00F8679A" w:rsidP="00417545">
            <w:pPr>
              <w:pStyle w:val="TableParagraph"/>
              <w:rPr>
                <w:sz w:val="20"/>
              </w:rPr>
            </w:pPr>
          </w:p>
        </w:tc>
        <w:tc>
          <w:tcPr>
            <w:tcW w:w="1687" w:type="dxa"/>
          </w:tcPr>
          <w:p w14:paraId="28987412" w14:textId="77777777" w:rsidR="00F8679A" w:rsidRDefault="00F8679A" w:rsidP="00417545">
            <w:pPr>
              <w:pStyle w:val="TableParagraph"/>
              <w:rPr>
                <w:sz w:val="20"/>
              </w:rPr>
            </w:pPr>
          </w:p>
        </w:tc>
        <w:tc>
          <w:tcPr>
            <w:tcW w:w="6957" w:type="dxa"/>
          </w:tcPr>
          <w:p w14:paraId="7BA98ECF" w14:textId="77777777" w:rsidR="00F8679A" w:rsidRDefault="00F8679A" w:rsidP="00417545">
            <w:pPr>
              <w:pStyle w:val="TableParagraph"/>
              <w:spacing w:line="258" w:lineRule="exact"/>
              <w:ind w:left="154"/>
              <w:rPr>
                <w:sz w:val="24"/>
              </w:rPr>
            </w:pPr>
            <w:r>
              <w:rPr>
                <w:sz w:val="24"/>
              </w:rPr>
              <w:t>worried</w:t>
            </w:r>
            <w:r>
              <w:rPr>
                <w:spacing w:val="-2"/>
                <w:sz w:val="24"/>
              </w:rPr>
              <w:t xml:space="preserve"> </w:t>
            </w:r>
            <w:r>
              <w:rPr>
                <w:sz w:val="24"/>
              </w:rPr>
              <w:t>you</w:t>
            </w:r>
            <w:r>
              <w:rPr>
                <w:spacing w:val="-1"/>
                <w:sz w:val="24"/>
              </w:rPr>
              <w:t xml:space="preserve"> </w:t>
            </w:r>
            <w:r>
              <w:rPr>
                <w:sz w:val="24"/>
              </w:rPr>
              <w:t>would</w:t>
            </w:r>
            <w:r>
              <w:rPr>
                <w:spacing w:val="-1"/>
                <w:sz w:val="24"/>
              </w:rPr>
              <w:t xml:space="preserve"> </w:t>
            </w:r>
            <w:r>
              <w:rPr>
                <w:sz w:val="24"/>
              </w:rPr>
              <w:t>not</w:t>
            </w:r>
            <w:r>
              <w:rPr>
                <w:spacing w:val="-3"/>
                <w:sz w:val="24"/>
              </w:rPr>
              <w:t xml:space="preserve"> </w:t>
            </w:r>
            <w:r>
              <w:rPr>
                <w:sz w:val="24"/>
              </w:rPr>
              <w:t>have</w:t>
            </w:r>
            <w:r>
              <w:rPr>
                <w:spacing w:val="1"/>
                <w:sz w:val="24"/>
              </w:rPr>
              <w:t xml:space="preserve"> </w:t>
            </w:r>
            <w:r>
              <w:rPr>
                <w:sz w:val="24"/>
              </w:rPr>
              <w:t>enough</w:t>
            </w:r>
            <w:r>
              <w:rPr>
                <w:spacing w:val="-1"/>
                <w:sz w:val="24"/>
              </w:rPr>
              <w:t xml:space="preserve"> </w:t>
            </w:r>
            <w:r>
              <w:rPr>
                <w:sz w:val="24"/>
              </w:rPr>
              <w:t>food</w:t>
            </w:r>
            <w:r>
              <w:rPr>
                <w:spacing w:val="-1"/>
                <w:sz w:val="24"/>
              </w:rPr>
              <w:t xml:space="preserve"> </w:t>
            </w:r>
            <w:r>
              <w:rPr>
                <w:sz w:val="24"/>
              </w:rPr>
              <w:t>to</w:t>
            </w:r>
            <w:r>
              <w:rPr>
                <w:spacing w:val="-1"/>
                <w:sz w:val="24"/>
              </w:rPr>
              <w:t xml:space="preserve"> </w:t>
            </w:r>
            <w:r>
              <w:rPr>
                <w:sz w:val="24"/>
              </w:rPr>
              <w:t>eat</w:t>
            </w:r>
            <w:r>
              <w:rPr>
                <w:spacing w:val="-3"/>
                <w:sz w:val="24"/>
              </w:rPr>
              <w:t xml:space="preserve"> </w:t>
            </w:r>
            <w:r>
              <w:rPr>
                <w:sz w:val="24"/>
              </w:rPr>
              <w:t>because</w:t>
            </w:r>
            <w:r>
              <w:rPr>
                <w:spacing w:val="-4"/>
                <w:sz w:val="24"/>
              </w:rPr>
              <w:t xml:space="preserve"> </w:t>
            </w:r>
            <w:r>
              <w:rPr>
                <w:sz w:val="24"/>
              </w:rPr>
              <w:t>of</w:t>
            </w:r>
            <w:r>
              <w:rPr>
                <w:spacing w:val="-1"/>
                <w:sz w:val="24"/>
              </w:rPr>
              <w:t xml:space="preserve"> </w:t>
            </w:r>
            <w:r>
              <w:rPr>
                <w:sz w:val="24"/>
              </w:rPr>
              <w:t>a</w:t>
            </w:r>
            <w:r>
              <w:rPr>
                <w:spacing w:val="-3"/>
                <w:sz w:val="24"/>
              </w:rPr>
              <w:t xml:space="preserve"> </w:t>
            </w:r>
            <w:r>
              <w:rPr>
                <w:sz w:val="24"/>
              </w:rPr>
              <w:t>lack</w:t>
            </w:r>
            <w:r>
              <w:rPr>
                <w:spacing w:val="-1"/>
                <w:sz w:val="24"/>
              </w:rPr>
              <w:t xml:space="preserve"> </w:t>
            </w:r>
            <w:r>
              <w:rPr>
                <w:spacing w:val="-5"/>
                <w:sz w:val="24"/>
              </w:rPr>
              <w:t>of</w:t>
            </w:r>
          </w:p>
        </w:tc>
      </w:tr>
      <w:tr w:rsidR="00F8679A" w14:paraId="4D8D0533" w14:textId="77777777" w:rsidTr="00417545">
        <w:trPr>
          <w:trHeight w:val="277"/>
        </w:trPr>
        <w:tc>
          <w:tcPr>
            <w:tcW w:w="1040" w:type="dxa"/>
          </w:tcPr>
          <w:p w14:paraId="376D572B" w14:textId="77777777" w:rsidR="00F8679A" w:rsidRDefault="00F8679A" w:rsidP="00417545">
            <w:pPr>
              <w:pStyle w:val="TableParagraph"/>
              <w:rPr>
                <w:sz w:val="20"/>
              </w:rPr>
            </w:pPr>
          </w:p>
        </w:tc>
        <w:tc>
          <w:tcPr>
            <w:tcW w:w="1687" w:type="dxa"/>
          </w:tcPr>
          <w:p w14:paraId="78B5DA65" w14:textId="77777777" w:rsidR="00F8679A" w:rsidRDefault="00F8679A" w:rsidP="00417545">
            <w:pPr>
              <w:pStyle w:val="TableParagraph"/>
              <w:rPr>
                <w:sz w:val="20"/>
              </w:rPr>
            </w:pPr>
          </w:p>
        </w:tc>
        <w:tc>
          <w:tcPr>
            <w:tcW w:w="6957" w:type="dxa"/>
          </w:tcPr>
          <w:p w14:paraId="7388435C" w14:textId="77777777" w:rsidR="00F8679A" w:rsidRDefault="00F8679A" w:rsidP="00417545">
            <w:pPr>
              <w:pStyle w:val="TableParagraph"/>
              <w:spacing w:line="258" w:lineRule="exact"/>
              <w:ind w:left="154"/>
              <w:rPr>
                <w:sz w:val="24"/>
              </w:rPr>
            </w:pPr>
            <w:r>
              <w:rPr>
                <w:sz w:val="24"/>
              </w:rPr>
              <w:t>money</w:t>
            </w:r>
            <w:r>
              <w:rPr>
                <w:spacing w:val="-3"/>
                <w:sz w:val="24"/>
              </w:rPr>
              <w:t xml:space="preserve"> </w:t>
            </w:r>
            <w:r>
              <w:rPr>
                <w:sz w:val="24"/>
              </w:rPr>
              <w:t>or</w:t>
            </w:r>
            <w:r>
              <w:rPr>
                <w:spacing w:val="-3"/>
                <w:sz w:val="24"/>
              </w:rPr>
              <w:t xml:space="preserve"> </w:t>
            </w:r>
            <w:r>
              <w:rPr>
                <w:sz w:val="24"/>
              </w:rPr>
              <w:t>other</w:t>
            </w:r>
            <w:r>
              <w:rPr>
                <w:spacing w:val="-4"/>
                <w:sz w:val="24"/>
              </w:rPr>
              <w:t xml:space="preserve"> </w:t>
            </w:r>
            <w:r>
              <w:rPr>
                <w:spacing w:val="-2"/>
                <w:sz w:val="24"/>
              </w:rPr>
              <w:t>resources?</w:t>
            </w:r>
          </w:p>
        </w:tc>
      </w:tr>
      <w:tr w:rsidR="00F8679A" w14:paraId="2604B87A" w14:textId="77777777" w:rsidTr="00417545">
        <w:trPr>
          <w:trHeight w:val="275"/>
        </w:trPr>
        <w:tc>
          <w:tcPr>
            <w:tcW w:w="1040" w:type="dxa"/>
          </w:tcPr>
          <w:p w14:paraId="360D5B35" w14:textId="77777777" w:rsidR="00F8679A" w:rsidRDefault="00F8679A" w:rsidP="00417545">
            <w:pPr>
              <w:pStyle w:val="TableParagraph"/>
              <w:spacing w:line="255" w:lineRule="exact"/>
              <w:ind w:left="109"/>
              <w:rPr>
                <w:sz w:val="24"/>
              </w:rPr>
            </w:pPr>
            <w:r>
              <w:rPr>
                <w:sz w:val="24"/>
              </w:rPr>
              <w:t>2</w:t>
            </w:r>
          </w:p>
        </w:tc>
        <w:tc>
          <w:tcPr>
            <w:tcW w:w="1687" w:type="dxa"/>
          </w:tcPr>
          <w:p w14:paraId="3970C663" w14:textId="77777777" w:rsidR="00F8679A" w:rsidRDefault="00F8679A" w:rsidP="00417545">
            <w:pPr>
              <w:pStyle w:val="TableParagraph"/>
              <w:spacing w:line="255" w:lineRule="exact"/>
              <w:ind w:left="145"/>
              <w:rPr>
                <w:sz w:val="24"/>
              </w:rPr>
            </w:pPr>
            <w:r>
              <w:rPr>
                <w:spacing w:val="-2"/>
                <w:sz w:val="24"/>
              </w:rPr>
              <w:t>HEALTHY</w:t>
            </w:r>
          </w:p>
        </w:tc>
        <w:tc>
          <w:tcPr>
            <w:tcW w:w="6957" w:type="dxa"/>
          </w:tcPr>
          <w:p w14:paraId="36779E67" w14:textId="77777777" w:rsidR="00F8679A" w:rsidRDefault="00F8679A" w:rsidP="00417545">
            <w:pPr>
              <w:pStyle w:val="TableParagraph"/>
              <w:spacing w:line="255" w:lineRule="exact"/>
              <w:ind w:left="154"/>
              <w:rPr>
                <w:sz w:val="24"/>
              </w:rPr>
            </w:pPr>
            <w:r>
              <w:rPr>
                <w:sz w:val="24"/>
              </w:rPr>
              <w:t>Still</w:t>
            </w:r>
            <w:r>
              <w:rPr>
                <w:spacing w:val="-5"/>
                <w:sz w:val="24"/>
              </w:rPr>
              <w:t xml:space="preserve"> </w:t>
            </w:r>
            <w:r>
              <w:rPr>
                <w:sz w:val="24"/>
              </w:rPr>
              <w:t>thinking</w:t>
            </w:r>
            <w:r>
              <w:rPr>
                <w:spacing w:val="-2"/>
                <w:sz w:val="24"/>
              </w:rPr>
              <w:t xml:space="preserve"> </w:t>
            </w:r>
            <w:r>
              <w:rPr>
                <w:sz w:val="24"/>
              </w:rPr>
              <w:t>about</w:t>
            </w:r>
            <w:r>
              <w:rPr>
                <w:spacing w:val="-5"/>
                <w:sz w:val="24"/>
              </w:rPr>
              <w:t xml:space="preserve"> </w:t>
            </w:r>
            <w:r>
              <w:rPr>
                <w:sz w:val="24"/>
              </w:rPr>
              <w:t>the</w:t>
            </w:r>
            <w:r>
              <w:rPr>
                <w:spacing w:val="1"/>
                <w:sz w:val="24"/>
              </w:rPr>
              <w:t xml:space="preserve"> </w:t>
            </w:r>
            <w:r>
              <w:rPr>
                <w:sz w:val="24"/>
              </w:rPr>
              <w:t>last</w:t>
            </w:r>
            <w:r>
              <w:rPr>
                <w:spacing w:val="-5"/>
                <w:sz w:val="24"/>
              </w:rPr>
              <w:t xml:space="preserve"> </w:t>
            </w:r>
            <w:r>
              <w:rPr>
                <w:sz w:val="24"/>
              </w:rPr>
              <w:t>12</w:t>
            </w:r>
            <w:r>
              <w:rPr>
                <w:spacing w:val="-2"/>
                <w:sz w:val="24"/>
              </w:rPr>
              <w:t xml:space="preserve"> </w:t>
            </w:r>
            <w:r>
              <w:rPr>
                <w:sz w:val="24"/>
              </w:rPr>
              <w:t>MONTHS,</w:t>
            </w:r>
            <w:r>
              <w:rPr>
                <w:spacing w:val="-3"/>
                <w:sz w:val="24"/>
              </w:rPr>
              <w:t xml:space="preserve"> </w:t>
            </w:r>
            <w:r>
              <w:rPr>
                <w:sz w:val="24"/>
              </w:rPr>
              <w:t>was</w:t>
            </w:r>
            <w:r>
              <w:rPr>
                <w:spacing w:val="-1"/>
                <w:sz w:val="24"/>
              </w:rPr>
              <w:t xml:space="preserve"> </w:t>
            </w:r>
            <w:r>
              <w:rPr>
                <w:sz w:val="24"/>
              </w:rPr>
              <w:t>there</w:t>
            </w:r>
            <w:r>
              <w:rPr>
                <w:spacing w:val="-5"/>
                <w:sz w:val="24"/>
              </w:rPr>
              <w:t xml:space="preserve"> </w:t>
            </w:r>
            <w:r>
              <w:rPr>
                <w:sz w:val="24"/>
              </w:rPr>
              <w:t>a</w:t>
            </w:r>
            <w:r>
              <w:rPr>
                <w:spacing w:val="-4"/>
                <w:sz w:val="24"/>
              </w:rPr>
              <w:t xml:space="preserve"> </w:t>
            </w:r>
            <w:r>
              <w:rPr>
                <w:sz w:val="24"/>
              </w:rPr>
              <w:t>time</w:t>
            </w:r>
            <w:r>
              <w:rPr>
                <w:spacing w:val="-4"/>
                <w:sz w:val="24"/>
              </w:rPr>
              <w:t xml:space="preserve"> </w:t>
            </w:r>
            <w:r>
              <w:rPr>
                <w:sz w:val="24"/>
              </w:rPr>
              <w:t>when</w:t>
            </w:r>
            <w:r>
              <w:rPr>
                <w:spacing w:val="-3"/>
                <w:sz w:val="24"/>
              </w:rPr>
              <w:t xml:space="preserve"> </w:t>
            </w:r>
            <w:r>
              <w:rPr>
                <w:spacing w:val="-5"/>
                <w:sz w:val="24"/>
              </w:rPr>
              <w:t>you</w:t>
            </w:r>
          </w:p>
        </w:tc>
      </w:tr>
      <w:tr w:rsidR="00F8679A" w14:paraId="75326BF7" w14:textId="77777777" w:rsidTr="00417545">
        <w:trPr>
          <w:trHeight w:val="275"/>
        </w:trPr>
        <w:tc>
          <w:tcPr>
            <w:tcW w:w="1040" w:type="dxa"/>
          </w:tcPr>
          <w:p w14:paraId="1E25D8BE" w14:textId="77777777" w:rsidR="00F8679A" w:rsidRDefault="00F8679A" w:rsidP="00417545">
            <w:pPr>
              <w:pStyle w:val="TableParagraph"/>
              <w:rPr>
                <w:sz w:val="20"/>
              </w:rPr>
            </w:pPr>
          </w:p>
        </w:tc>
        <w:tc>
          <w:tcPr>
            <w:tcW w:w="1687" w:type="dxa"/>
          </w:tcPr>
          <w:p w14:paraId="2CF8C23F" w14:textId="77777777" w:rsidR="00F8679A" w:rsidRDefault="00F8679A" w:rsidP="00417545">
            <w:pPr>
              <w:pStyle w:val="TableParagraph"/>
              <w:rPr>
                <w:sz w:val="20"/>
              </w:rPr>
            </w:pPr>
          </w:p>
        </w:tc>
        <w:tc>
          <w:tcPr>
            <w:tcW w:w="6957" w:type="dxa"/>
          </w:tcPr>
          <w:p w14:paraId="5E40C0D4" w14:textId="77777777" w:rsidR="00F8679A" w:rsidRDefault="00F8679A" w:rsidP="00417545">
            <w:pPr>
              <w:pStyle w:val="TableParagraph"/>
              <w:spacing w:line="255" w:lineRule="exact"/>
              <w:ind w:left="154"/>
              <w:rPr>
                <w:sz w:val="24"/>
              </w:rPr>
            </w:pPr>
            <w:r>
              <w:rPr>
                <w:sz w:val="24"/>
              </w:rPr>
              <w:t>were</w:t>
            </w:r>
            <w:r>
              <w:rPr>
                <w:spacing w:val="-4"/>
                <w:sz w:val="24"/>
              </w:rPr>
              <w:t xml:space="preserve"> </w:t>
            </w:r>
            <w:r>
              <w:rPr>
                <w:sz w:val="24"/>
              </w:rPr>
              <w:t>unable to</w:t>
            </w:r>
            <w:r>
              <w:rPr>
                <w:spacing w:val="-2"/>
                <w:sz w:val="24"/>
              </w:rPr>
              <w:t xml:space="preserve"> </w:t>
            </w:r>
            <w:r>
              <w:rPr>
                <w:sz w:val="24"/>
              </w:rPr>
              <w:t>eat</w:t>
            </w:r>
            <w:r>
              <w:rPr>
                <w:spacing w:val="-4"/>
                <w:sz w:val="24"/>
              </w:rPr>
              <w:t xml:space="preserve"> </w:t>
            </w:r>
            <w:r>
              <w:rPr>
                <w:sz w:val="24"/>
              </w:rPr>
              <w:t>healthy</w:t>
            </w:r>
            <w:r>
              <w:rPr>
                <w:spacing w:val="-2"/>
                <w:sz w:val="24"/>
              </w:rPr>
              <w:t xml:space="preserve"> </w:t>
            </w:r>
            <w:r>
              <w:rPr>
                <w:sz w:val="24"/>
              </w:rPr>
              <w:t>and</w:t>
            </w:r>
            <w:r>
              <w:rPr>
                <w:spacing w:val="-2"/>
                <w:sz w:val="24"/>
              </w:rPr>
              <w:t xml:space="preserve"> </w:t>
            </w:r>
            <w:r>
              <w:rPr>
                <w:sz w:val="24"/>
              </w:rPr>
              <w:t>nutritious</w:t>
            </w:r>
            <w:r>
              <w:rPr>
                <w:spacing w:val="-1"/>
                <w:sz w:val="24"/>
              </w:rPr>
              <w:t xml:space="preserve"> </w:t>
            </w:r>
            <w:r>
              <w:rPr>
                <w:sz w:val="24"/>
              </w:rPr>
              <w:t>food</w:t>
            </w:r>
            <w:r>
              <w:rPr>
                <w:spacing w:val="-2"/>
                <w:sz w:val="24"/>
              </w:rPr>
              <w:t xml:space="preserve"> </w:t>
            </w:r>
            <w:r>
              <w:rPr>
                <w:sz w:val="24"/>
              </w:rPr>
              <w:t>because</w:t>
            </w:r>
            <w:r>
              <w:rPr>
                <w:spacing w:val="-4"/>
                <w:sz w:val="24"/>
              </w:rPr>
              <w:t xml:space="preserve"> </w:t>
            </w:r>
            <w:r>
              <w:rPr>
                <w:sz w:val="24"/>
              </w:rPr>
              <w:t>of</w:t>
            </w:r>
            <w:r>
              <w:rPr>
                <w:spacing w:val="-2"/>
                <w:sz w:val="24"/>
              </w:rPr>
              <w:t xml:space="preserve"> </w:t>
            </w:r>
            <w:r>
              <w:rPr>
                <w:sz w:val="24"/>
              </w:rPr>
              <w:t>a</w:t>
            </w:r>
            <w:r>
              <w:rPr>
                <w:spacing w:val="-4"/>
                <w:sz w:val="24"/>
              </w:rPr>
              <w:t xml:space="preserve"> </w:t>
            </w:r>
            <w:r>
              <w:rPr>
                <w:sz w:val="24"/>
              </w:rPr>
              <w:t>lack</w:t>
            </w:r>
            <w:r>
              <w:rPr>
                <w:spacing w:val="-2"/>
                <w:sz w:val="24"/>
              </w:rPr>
              <w:t xml:space="preserve"> </w:t>
            </w:r>
            <w:r>
              <w:rPr>
                <w:spacing w:val="-5"/>
                <w:sz w:val="24"/>
              </w:rPr>
              <w:t>of</w:t>
            </w:r>
          </w:p>
        </w:tc>
      </w:tr>
      <w:tr w:rsidR="00F8679A" w14:paraId="59B77FF4" w14:textId="77777777" w:rsidTr="00417545">
        <w:trPr>
          <w:trHeight w:val="275"/>
        </w:trPr>
        <w:tc>
          <w:tcPr>
            <w:tcW w:w="1040" w:type="dxa"/>
          </w:tcPr>
          <w:p w14:paraId="2A64D29A" w14:textId="77777777" w:rsidR="00F8679A" w:rsidRDefault="00F8679A" w:rsidP="00417545">
            <w:pPr>
              <w:pStyle w:val="TableParagraph"/>
              <w:rPr>
                <w:sz w:val="20"/>
              </w:rPr>
            </w:pPr>
          </w:p>
        </w:tc>
        <w:tc>
          <w:tcPr>
            <w:tcW w:w="1687" w:type="dxa"/>
          </w:tcPr>
          <w:p w14:paraId="78F018C3" w14:textId="77777777" w:rsidR="00F8679A" w:rsidRDefault="00F8679A" w:rsidP="00417545">
            <w:pPr>
              <w:pStyle w:val="TableParagraph"/>
              <w:rPr>
                <w:sz w:val="20"/>
              </w:rPr>
            </w:pPr>
          </w:p>
        </w:tc>
        <w:tc>
          <w:tcPr>
            <w:tcW w:w="6957" w:type="dxa"/>
          </w:tcPr>
          <w:p w14:paraId="2DF2E13C" w14:textId="77777777" w:rsidR="00F8679A" w:rsidRDefault="00F8679A" w:rsidP="00417545">
            <w:pPr>
              <w:pStyle w:val="TableParagraph"/>
              <w:spacing w:line="255" w:lineRule="exact"/>
              <w:ind w:left="154"/>
              <w:rPr>
                <w:sz w:val="24"/>
              </w:rPr>
            </w:pPr>
            <w:r>
              <w:rPr>
                <w:sz w:val="24"/>
              </w:rPr>
              <w:t>money</w:t>
            </w:r>
            <w:r>
              <w:rPr>
                <w:spacing w:val="-3"/>
                <w:sz w:val="24"/>
              </w:rPr>
              <w:t xml:space="preserve"> </w:t>
            </w:r>
            <w:r>
              <w:rPr>
                <w:sz w:val="24"/>
              </w:rPr>
              <w:t>or</w:t>
            </w:r>
            <w:r>
              <w:rPr>
                <w:spacing w:val="-3"/>
                <w:sz w:val="24"/>
              </w:rPr>
              <w:t xml:space="preserve"> </w:t>
            </w:r>
            <w:r>
              <w:rPr>
                <w:sz w:val="24"/>
              </w:rPr>
              <w:t>other</w:t>
            </w:r>
            <w:r>
              <w:rPr>
                <w:spacing w:val="-4"/>
                <w:sz w:val="24"/>
              </w:rPr>
              <w:t xml:space="preserve"> </w:t>
            </w:r>
            <w:r>
              <w:rPr>
                <w:spacing w:val="-2"/>
                <w:sz w:val="24"/>
              </w:rPr>
              <w:t>resources?</w:t>
            </w:r>
          </w:p>
        </w:tc>
      </w:tr>
      <w:tr w:rsidR="00F8679A" w14:paraId="447CEACD" w14:textId="77777777" w:rsidTr="00417545">
        <w:trPr>
          <w:trHeight w:val="275"/>
        </w:trPr>
        <w:tc>
          <w:tcPr>
            <w:tcW w:w="1040" w:type="dxa"/>
          </w:tcPr>
          <w:p w14:paraId="6FB4A694" w14:textId="77777777" w:rsidR="00F8679A" w:rsidRDefault="00F8679A" w:rsidP="00417545">
            <w:pPr>
              <w:pStyle w:val="TableParagraph"/>
              <w:spacing w:line="255" w:lineRule="exact"/>
              <w:ind w:left="109"/>
              <w:rPr>
                <w:sz w:val="24"/>
              </w:rPr>
            </w:pPr>
            <w:r>
              <w:rPr>
                <w:sz w:val="24"/>
              </w:rPr>
              <w:t>3</w:t>
            </w:r>
          </w:p>
        </w:tc>
        <w:tc>
          <w:tcPr>
            <w:tcW w:w="1687" w:type="dxa"/>
          </w:tcPr>
          <w:p w14:paraId="00676E09" w14:textId="77777777" w:rsidR="00F8679A" w:rsidRDefault="00F8679A" w:rsidP="00417545">
            <w:pPr>
              <w:pStyle w:val="TableParagraph"/>
              <w:spacing w:line="255" w:lineRule="exact"/>
              <w:ind w:left="145"/>
              <w:rPr>
                <w:sz w:val="24"/>
              </w:rPr>
            </w:pPr>
            <w:r>
              <w:rPr>
                <w:spacing w:val="-2"/>
                <w:sz w:val="24"/>
              </w:rPr>
              <w:t>FEWFOODS</w:t>
            </w:r>
          </w:p>
        </w:tc>
        <w:tc>
          <w:tcPr>
            <w:tcW w:w="6957" w:type="dxa"/>
          </w:tcPr>
          <w:p w14:paraId="1AF502E6" w14:textId="77777777" w:rsidR="00F8679A" w:rsidRDefault="00F8679A" w:rsidP="00417545">
            <w:pPr>
              <w:pStyle w:val="TableParagraph"/>
              <w:spacing w:line="255" w:lineRule="exact"/>
              <w:ind w:left="154"/>
              <w:rPr>
                <w:sz w:val="24"/>
              </w:rPr>
            </w:pPr>
            <w:r>
              <w:rPr>
                <w:sz w:val="24"/>
              </w:rPr>
              <w:t>Was</w:t>
            </w:r>
            <w:r>
              <w:rPr>
                <w:spacing w:val="-1"/>
                <w:sz w:val="24"/>
              </w:rPr>
              <w:t xml:space="preserve"> </w:t>
            </w:r>
            <w:r>
              <w:rPr>
                <w:sz w:val="24"/>
              </w:rPr>
              <w:t>there</w:t>
            </w:r>
            <w:r>
              <w:rPr>
                <w:spacing w:val="1"/>
                <w:sz w:val="24"/>
              </w:rPr>
              <w:t xml:space="preserve"> </w:t>
            </w:r>
            <w:r>
              <w:rPr>
                <w:sz w:val="24"/>
              </w:rPr>
              <w:t>a</w:t>
            </w:r>
            <w:r>
              <w:rPr>
                <w:spacing w:val="-4"/>
                <w:sz w:val="24"/>
              </w:rPr>
              <w:t xml:space="preserve"> </w:t>
            </w:r>
            <w:r>
              <w:rPr>
                <w:sz w:val="24"/>
              </w:rPr>
              <w:t>time</w:t>
            </w:r>
            <w:r>
              <w:rPr>
                <w:spacing w:val="-4"/>
                <w:sz w:val="24"/>
              </w:rPr>
              <w:t xml:space="preserve"> </w:t>
            </w:r>
            <w:r>
              <w:rPr>
                <w:sz w:val="24"/>
              </w:rPr>
              <w:t>when</w:t>
            </w:r>
            <w:r>
              <w:rPr>
                <w:spacing w:val="-2"/>
                <w:sz w:val="24"/>
              </w:rPr>
              <w:t xml:space="preserve"> </w:t>
            </w:r>
            <w:r>
              <w:rPr>
                <w:sz w:val="24"/>
              </w:rPr>
              <w:t>you</w:t>
            </w:r>
            <w:r>
              <w:rPr>
                <w:spacing w:val="-2"/>
                <w:sz w:val="24"/>
              </w:rPr>
              <w:t xml:space="preserve"> </w:t>
            </w:r>
            <w:r>
              <w:rPr>
                <w:sz w:val="24"/>
              </w:rPr>
              <w:t>ate</w:t>
            </w:r>
            <w:r>
              <w:rPr>
                <w:spacing w:val="-3"/>
                <w:sz w:val="24"/>
              </w:rPr>
              <w:t xml:space="preserve"> </w:t>
            </w:r>
            <w:r>
              <w:rPr>
                <w:sz w:val="24"/>
              </w:rPr>
              <w:t>only</w:t>
            </w:r>
            <w:r>
              <w:rPr>
                <w:spacing w:val="-2"/>
                <w:sz w:val="24"/>
              </w:rPr>
              <w:t xml:space="preserve"> </w:t>
            </w:r>
            <w:r>
              <w:rPr>
                <w:sz w:val="24"/>
              </w:rPr>
              <w:t>a</w:t>
            </w:r>
            <w:r>
              <w:rPr>
                <w:spacing w:val="-4"/>
                <w:sz w:val="24"/>
              </w:rPr>
              <w:t xml:space="preserve"> </w:t>
            </w:r>
            <w:r>
              <w:rPr>
                <w:sz w:val="24"/>
              </w:rPr>
              <w:t>few</w:t>
            </w:r>
            <w:r>
              <w:rPr>
                <w:spacing w:val="-1"/>
                <w:sz w:val="24"/>
              </w:rPr>
              <w:t xml:space="preserve"> </w:t>
            </w:r>
            <w:r>
              <w:rPr>
                <w:sz w:val="24"/>
              </w:rPr>
              <w:t>kinds</w:t>
            </w:r>
            <w:r>
              <w:rPr>
                <w:spacing w:val="-1"/>
                <w:sz w:val="24"/>
              </w:rPr>
              <w:t xml:space="preserve"> </w:t>
            </w:r>
            <w:r>
              <w:rPr>
                <w:sz w:val="24"/>
              </w:rPr>
              <w:t>of</w:t>
            </w:r>
            <w:r>
              <w:rPr>
                <w:spacing w:val="-2"/>
                <w:sz w:val="24"/>
              </w:rPr>
              <w:t xml:space="preserve"> </w:t>
            </w:r>
            <w:r>
              <w:rPr>
                <w:sz w:val="24"/>
              </w:rPr>
              <w:t>foods</w:t>
            </w:r>
            <w:r>
              <w:rPr>
                <w:spacing w:val="-1"/>
                <w:sz w:val="24"/>
              </w:rPr>
              <w:t xml:space="preserve"> </w:t>
            </w:r>
            <w:r>
              <w:rPr>
                <w:sz w:val="24"/>
              </w:rPr>
              <w:t>because</w:t>
            </w:r>
            <w:r>
              <w:rPr>
                <w:spacing w:val="-3"/>
                <w:sz w:val="24"/>
              </w:rPr>
              <w:t xml:space="preserve"> </w:t>
            </w:r>
            <w:r>
              <w:rPr>
                <w:spacing w:val="-5"/>
                <w:sz w:val="24"/>
              </w:rPr>
              <w:t>of</w:t>
            </w:r>
          </w:p>
        </w:tc>
      </w:tr>
      <w:tr w:rsidR="00F8679A" w14:paraId="270E7093" w14:textId="77777777" w:rsidTr="00417545">
        <w:trPr>
          <w:trHeight w:val="277"/>
        </w:trPr>
        <w:tc>
          <w:tcPr>
            <w:tcW w:w="1040" w:type="dxa"/>
          </w:tcPr>
          <w:p w14:paraId="07489A03" w14:textId="77777777" w:rsidR="00F8679A" w:rsidRDefault="00F8679A" w:rsidP="00417545">
            <w:pPr>
              <w:pStyle w:val="TableParagraph"/>
              <w:rPr>
                <w:sz w:val="20"/>
              </w:rPr>
            </w:pPr>
          </w:p>
        </w:tc>
        <w:tc>
          <w:tcPr>
            <w:tcW w:w="1687" w:type="dxa"/>
          </w:tcPr>
          <w:p w14:paraId="074908E9" w14:textId="77777777" w:rsidR="00F8679A" w:rsidRDefault="00F8679A" w:rsidP="00417545">
            <w:pPr>
              <w:pStyle w:val="TableParagraph"/>
              <w:rPr>
                <w:sz w:val="20"/>
              </w:rPr>
            </w:pPr>
          </w:p>
        </w:tc>
        <w:tc>
          <w:tcPr>
            <w:tcW w:w="6957" w:type="dxa"/>
          </w:tcPr>
          <w:p w14:paraId="17E77F61" w14:textId="77777777" w:rsidR="00F8679A" w:rsidRDefault="00F8679A" w:rsidP="00417545">
            <w:pPr>
              <w:pStyle w:val="TableParagraph"/>
              <w:spacing w:line="258" w:lineRule="exact"/>
              <w:ind w:left="154"/>
              <w:rPr>
                <w:sz w:val="24"/>
              </w:rPr>
            </w:pPr>
            <w:r>
              <w:rPr>
                <w:sz w:val="24"/>
              </w:rPr>
              <w:t>a</w:t>
            </w:r>
            <w:r>
              <w:rPr>
                <w:spacing w:val="-4"/>
                <w:sz w:val="24"/>
              </w:rPr>
              <w:t xml:space="preserve"> </w:t>
            </w:r>
            <w:r>
              <w:rPr>
                <w:sz w:val="24"/>
              </w:rPr>
              <w:t>lack</w:t>
            </w:r>
            <w:r>
              <w:rPr>
                <w:spacing w:val="-2"/>
                <w:sz w:val="24"/>
              </w:rPr>
              <w:t xml:space="preserve"> </w:t>
            </w:r>
            <w:r>
              <w:rPr>
                <w:sz w:val="24"/>
              </w:rPr>
              <w:t>of</w:t>
            </w:r>
            <w:r>
              <w:rPr>
                <w:spacing w:val="2"/>
                <w:sz w:val="24"/>
              </w:rPr>
              <w:t xml:space="preserve"> </w:t>
            </w:r>
            <w:r>
              <w:rPr>
                <w:sz w:val="24"/>
              </w:rPr>
              <w:t>money</w:t>
            </w:r>
            <w:r>
              <w:rPr>
                <w:spacing w:val="-2"/>
                <w:sz w:val="24"/>
              </w:rPr>
              <w:t xml:space="preserve"> </w:t>
            </w:r>
            <w:r>
              <w:rPr>
                <w:sz w:val="24"/>
              </w:rPr>
              <w:t>or</w:t>
            </w:r>
            <w:r>
              <w:rPr>
                <w:spacing w:val="-2"/>
                <w:sz w:val="24"/>
              </w:rPr>
              <w:t xml:space="preserve"> </w:t>
            </w:r>
            <w:r>
              <w:rPr>
                <w:sz w:val="24"/>
              </w:rPr>
              <w:t>other</w:t>
            </w:r>
            <w:r>
              <w:rPr>
                <w:spacing w:val="-2"/>
                <w:sz w:val="24"/>
              </w:rPr>
              <w:t xml:space="preserve"> resources?</w:t>
            </w:r>
          </w:p>
        </w:tc>
      </w:tr>
      <w:tr w:rsidR="00F8679A" w14:paraId="19561DDE" w14:textId="77777777" w:rsidTr="00417545">
        <w:trPr>
          <w:trHeight w:val="277"/>
        </w:trPr>
        <w:tc>
          <w:tcPr>
            <w:tcW w:w="1040" w:type="dxa"/>
          </w:tcPr>
          <w:p w14:paraId="7001840D" w14:textId="77777777" w:rsidR="00F8679A" w:rsidRDefault="00F8679A" w:rsidP="00417545">
            <w:pPr>
              <w:pStyle w:val="TableParagraph"/>
              <w:spacing w:line="258" w:lineRule="exact"/>
              <w:ind w:left="109"/>
              <w:rPr>
                <w:sz w:val="24"/>
              </w:rPr>
            </w:pPr>
            <w:r>
              <w:rPr>
                <w:sz w:val="24"/>
              </w:rPr>
              <w:t>4</w:t>
            </w:r>
          </w:p>
        </w:tc>
        <w:tc>
          <w:tcPr>
            <w:tcW w:w="1687" w:type="dxa"/>
          </w:tcPr>
          <w:p w14:paraId="0533DFF6" w14:textId="77777777" w:rsidR="00F8679A" w:rsidRDefault="00F8679A" w:rsidP="00417545">
            <w:pPr>
              <w:pStyle w:val="TableParagraph"/>
              <w:spacing w:line="258" w:lineRule="exact"/>
              <w:ind w:left="145"/>
              <w:rPr>
                <w:sz w:val="24"/>
              </w:rPr>
            </w:pPr>
            <w:r>
              <w:rPr>
                <w:spacing w:val="-2"/>
                <w:sz w:val="24"/>
              </w:rPr>
              <w:t>SKIPPED</w:t>
            </w:r>
          </w:p>
        </w:tc>
        <w:tc>
          <w:tcPr>
            <w:tcW w:w="6957" w:type="dxa"/>
          </w:tcPr>
          <w:p w14:paraId="32238FF3" w14:textId="77777777" w:rsidR="00F8679A" w:rsidRDefault="00F8679A" w:rsidP="00417545">
            <w:pPr>
              <w:pStyle w:val="TableParagraph"/>
              <w:spacing w:line="258" w:lineRule="exact"/>
              <w:ind w:left="154"/>
              <w:rPr>
                <w:sz w:val="24"/>
              </w:rPr>
            </w:pPr>
            <w:r>
              <w:rPr>
                <w:sz w:val="24"/>
              </w:rPr>
              <w:t>Was</w:t>
            </w:r>
            <w:r>
              <w:rPr>
                <w:spacing w:val="-1"/>
                <w:sz w:val="24"/>
              </w:rPr>
              <w:t xml:space="preserve"> </w:t>
            </w:r>
            <w:r>
              <w:rPr>
                <w:sz w:val="24"/>
              </w:rPr>
              <w:t>there</w:t>
            </w:r>
            <w:r>
              <w:rPr>
                <w:spacing w:val="1"/>
                <w:sz w:val="24"/>
              </w:rPr>
              <w:t xml:space="preserve"> </w:t>
            </w:r>
            <w:r>
              <w:rPr>
                <w:sz w:val="24"/>
              </w:rPr>
              <w:t>a</w:t>
            </w:r>
            <w:r>
              <w:rPr>
                <w:spacing w:val="-4"/>
                <w:sz w:val="24"/>
              </w:rPr>
              <w:t xml:space="preserve"> </w:t>
            </w:r>
            <w:r>
              <w:rPr>
                <w:sz w:val="24"/>
              </w:rPr>
              <w:t>time</w:t>
            </w:r>
            <w:r>
              <w:rPr>
                <w:spacing w:val="-3"/>
                <w:sz w:val="24"/>
              </w:rPr>
              <w:t xml:space="preserve"> </w:t>
            </w:r>
            <w:r>
              <w:rPr>
                <w:sz w:val="24"/>
              </w:rPr>
              <w:t>when</w:t>
            </w:r>
            <w:r>
              <w:rPr>
                <w:spacing w:val="-2"/>
                <w:sz w:val="24"/>
              </w:rPr>
              <w:t xml:space="preserve"> </w:t>
            </w:r>
            <w:r>
              <w:rPr>
                <w:sz w:val="24"/>
              </w:rPr>
              <w:t>you</w:t>
            </w:r>
            <w:r>
              <w:rPr>
                <w:spacing w:val="-2"/>
                <w:sz w:val="24"/>
              </w:rPr>
              <w:t xml:space="preserve"> </w:t>
            </w:r>
            <w:r>
              <w:rPr>
                <w:sz w:val="24"/>
              </w:rPr>
              <w:t>had</w:t>
            </w:r>
            <w:r>
              <w:rPr>
                <w:spacing w:val="-2"/>
                <w:sz w:val="24"/>
              </w:rPr>
              <w:t xml:space="preserve"> </w:t>
            </w:r>
            <w:r>
              <w:rPr>
                <w:sz w:val="24"/>
              </w:rPr>
              <w:t>to</w:t>
            </w:r>
            <w:r>
              <w:rPr>
                <w:spacing w:val="-1"/>
                <w:sz w:val="24"/>
              </w:rPr>
              <w:t xml:space="preserve"> </w:t>
            </w:r>
            <w:r>
              <w:rPr>
                <w:sz w:val="24"/>
              </w:rPr>
              <w:t>skip</w:t>
            </w:r>
            <w:r>
              <w:rPr>
                <w:spacing w:val="2"/>
                <w:sz w:val="24"/>
              </w:rPr>
              <w:t xml:space="preserve"> </w:t>
            </w:r>
            <w:r>
              <w:rPr>
                <w:sz w:val="24"/>
              </w:rPr>
              <w:t>a</w:t>
            </w:r>
            <w:r>
              <w:rPr>
                <w:spacing w:val="-4"/>
                <w:sz w:val="24"/>
              </w:rPr>
              <w:t xml:space="preserve"> </w:t>
            </w:r>
            <w:r>
              <w:rPr>
                <w:sz w:val="24"/>
              </w:rPr>
              <w:t>meal</w:t>
            </w:r>
            <w:r>
              <w:rPr>
                <w:spacing w:val="-3"/>
                <w:sz w:val="24"/>
              </w:rPr>
              <w:t xml:space="preserve"> </w:t>
            </w:r>
            <w:r>
              <w:rPr>
                <w:sz w:val="24"/>
              </w:rPr>
              <w:t>because</w:t>
            </w:r>
            <w:r>
              <w:rPr>
                <w:spacing w:val="-4"/>
                <w:sz w:val="24"/>
              </w:rPr>
              <w:t xml:space="preserve"> </w:t>
            </w:r>
            <w:r>
              <w:rPr>
                <w:sz w:val="24"/>
              </w:rPr>
              <w:t>there</w:t>
            </w:r>
            <w:r>
              <w:rPr>
                <w:spacing w:val="2"/>
                <w:sz w:val="24"/>
              </w:rPr>
              <w:t xml:space="preserve"> </w:t>
            </w:r>
            <w:r>
              <w:rPr>
                <w:sz w:val="24"/>
              </w:rPr>
              <w:t>was</w:t>
            </w:r>
            <w:r>
              <w:rPr>
                <w:spacing w:val="-1"/>
                <w:sz w:val="24"/>
              </w:rPr>
              <w:t xml:space="preserve"> </w:t>
            </w:r>
            <w:r>
              <w:rPr>
                <w:spacing w:val="-5"/>
                <w:sz w:val="24"/>
              </w:rPr>
              <w:t>not</w:t>
            </w:r>
          </w:p>
        </w:tc>
      </w:tr>
      <w:tr w:rsidR="00F8679A" w14:paraId="08E8DCEB" w14:textId="77777777" w:rsidTr="00417545">
        <w:trPr>
          <w:trHeight w:val="275"/>
        </w:trPr>
        <w:tc>
          <w:tcPr>
            <w:tcW w:w="1040" w:type="dxa"/>
          </w:tcPr>
          <w:p w14:paraId="17C49728" w14:textId="77777777" w:rsidR="00F8679A" w:rsidRDefault="00F8679A" w:rsidP="00417545">
            <w:pPr>
              <w:pStyle w:val="TableParagraph"/>
              <w:rPr>
                <w:sz w:val="20"/>
              </w:rPr>
            </w:pPr>
          </w:p>
        </w:tc>
        <w:tc>
          <w:tcPr>
            <w:tcW w:w="1687" w:type="dxa"/>
          </w:tcPr>
          <w:p w14:paraId="6BE79446" w14:textId="77777777" w:rsidR="00F8679A" w:rsidRDefault="00F8679A" w:rsidP="00417545">
            <w:pPr>
              <w:pStyle w:val="TableParagraph"/>
              <w:rPr>
                <w:sz w:val="20"/>
              </w:rPr>
            </w:pPr>
          </w:p>
        </w:tc>
        <w:tc>
          <w:tcPr>
            <w:tcW w:w="6957" w:type="dxa"/>
          </w:tcPr>
          <w:p w14:paraId="2E302ADB" w14:textId="77777777" w:rsidR="00F8679A" w:rsidRDefault="00F8679A" w:rsidP="00417545">
            <w:pPr>
              <w:pStyle w:val="TableParagraph"/>
              <w:spacing w:line="255" w:lineRule="exact"/>
              <w:ind w:left="154"/>
              <w:rPr>
                <w:sz w:val="24"/>
              </w:rPr>
            </w:pPr>
            <w:r>
              <w:rPr>
                <w:sz w:val="24"/>
              </w:rPr>
              <w:t>enough</w:t>
            </w:r>
            <w:r>
              <w:rPr>
                <w:spacing w:val="-2"/>
                <w:sz w:val="24"/>
              </w:rPr>
              <w:t xml:space="preserve"> </w:t>
            </w:r>
            <w:r>
              <w:rPr>
                <w:sz w:val="24"/>
              </w:rPr>
              <w:t>money</w:t>
            </w:r>
            <w:r>
              <w:rPr>
                <w:spacing w:val="-2"/>
                <w:sz w:val="24"/>
              </w:rPr>
              <w:t xml:space="preserve"> </w:t>
            </w:r>
            <w:r>
              <w:rPr>
                <w:sz w:val="24"/>
              </w:rPr>
              <w:t>or</w:t>
            </w:r>
            <w:r>
              <w:rPr>
                <w:spacing w:val="-2"/>
                <w:sz w:val="24"/>
              </w:rPr>
              <w:t xml:space="preserve"> </w:t>
            </w:r>
            <w:r>
              <w:rPr>
                <w:sz w:val="24"/>
              </w:rPr>
              <w:t>other</w:t>
            </w:r>
            <w:r>
              <w:rPr>
                <w:spacing w:val="-2"/>
                <w:sz w:val="24"/>
              </w:rPr>
              <w:t xml:space="preserve"> </w:t>
            </w:r>
            <w:r>
              <w:rPr>
                <w:sz w:val="24"/>
              </w:rPr>
              <w:t>resources</w:t>
            </w:r>
            <w:r>
              <w:rPr>
                <w:spacing w:val="-1"/>
                <w:sz w:val="24"/>
              </w:rPr>
              <w:t xml:space="preserve"> </w:t>
            </w:r>
            <w:r>
              <w:rPr>
                <w:sz w:val="24"/>
              </w:rPr>
              <w:t>to</w:t>
            </w:r>
            <w:r>
              <w:rPr>
                <w:spacing w:val="-2"/>
                <w:sz w:val="24"/>
              </w:rPr>
              <w:t xml:space="preserve"> </w:t>
            </w:r>
            <w:r>
              <w:rPr>
                <w:sz w:val="24"/>
              </w:rPr>
              <w:t>get</w:t>
            </w:r>
            <w:r>
              <w:rPr>
                <w:spacing w:val="-4"/>
                <w:sz w:val="24"/>
              </w:rPr>
              <w:t xml:space="preserve"> </w:t>
            </w:r>
            <w:r>
              <w:rPr>
                <w:spacing w:val="-2"/>
                <w:sz w:val="24"/>
              </w:rPr>
              <w:t>food?</w:t>
            </w:r>
          </w:p>
        </w:tc>
      </w:tr>
      <w:tr w:rsidR="00F8679A" w14:paraId="5B8913CA" w14:textId="77777777" w:rsidTr="00417545">
        <w:trPr>
          <w:trHeight w:val="274"/>
        </w:trPr>
        <w:tc>
          <w:tcPr>
            <w:tcW w:w="1040" w:type="dxa"/>
          </w:tcPr>
          <w:p w14:paraId="686FD02D" w14:textId="77777777" w:rsidR="00F8679A" w:rsidRDefault="00F8679A" w:rsidP="00417545">
            <w:pPr>
              <w:pStyle w:val="TableParagraph"/>
              <w:spacing w:line="255" w:lineRule="exact"/>
              <w:ind w:left="109"/>
              <w:rPr>
                <w:sz w:val="24"/>
              </w:rPr>
            </w:pPr>
            <w:r>
              <w:rPr>
                <w:sz w:val="24"/>
              </w:rPr>
              <w:t>5</w:t>
            </w:r>
          </w:p>
        </w:tc>
        <w:tc>
          <w:tcPr>
            <w:tcW w:w="1687" w:type="dxa"/>
          </w:tcPr>
          <w:p w14:paraId="24924004" w14:textId="77777777" w:rsidR="00F8679A" w:rsidRDefault="00F8679A" w:rsidP="00417545">
            <w:pPr>
              <w:pStyle w:val="TableParagraph"/>
              <w:spacing w:line="255" w:lineRule="exact"/>
              <w:ind w:left="145"/>
              <w:rPr>
                <w:sz w:val="24"/>
              </w:rPr>
            </w:pPr>
            <w:r>
              <w:rPr>
                <w:spacing w:val="-2"/>
                <w:sz w:val="24"/>
              </w:rPr>
              <w:t>ATELESS</w:t>
            </w:r>
          </w:p>
        </w:tc>
        <w:tc>
          <w:tcPr>
            <w:tcW w:w="6957" w:type="dxa"/>
          </w:tcPr>
          <w:p w14:paraId="19AEA1FD" w14:textId="77777777" w:rsidR="00F8679A" w:rsidRDefault="00F8679A" w:rsidP="00417545">
            <w:pPr>
              <w:pStyle w:val="TableParagraph"/>
              <w:spacing w:line="255" w:lineRule="exact"/>
              <w:ind w:left="154"/>
              <w:rPr>
                <w:sz w:val="24"/>
              </w:rPr>
            </w:pPr>
            <w:r>
              <w:rPr>
                <w:sz w:val="24"/>
              </w:rPr>
              <w:t>Still</w:t>
            </w:r>
            <w:r>
              <w:rPr>
                <w:spacing w:val="-5"/>
                <w:sz w:val="24"/>
              </w:rPr>
              <w:t xml:space="preserve"> </w:t>
            </w:r>
            <w:r>
              <w:rPr>
                <w:sz w:val="24"/>
              </w:rPr>
              <w:t>thinking</w:t>
            </w:r>
            <w:r>
              <w:rPr>
                <w:spacing w:val="-2"/>
                <w:sz w:val="24"/>
              </w:rPr>
              <w:t xml:space="preserve"> </w:t>
            </w:r>
            <w:r>
              <w:rPr>
                <w:sz w:val="24"/>
              </w:rPr>
              <w:t>about</w:t>
            </w:r>
            <w:r>
              <w:rPr>
                <w:spacing w:val="-5"/>
                <w:sz w:val="24"/>
              </w:rPr>
              <w:t xml:space="preserve"> </w:t>
            </w:r>
            <w:r>
              <w:rPr>
                <w:sz w:val="24"/>
              </w:rPr>
              <w:t>the</w:t>
            </w:r>
            <w:r>
              <w:rPr>
                <w:spacing w:val="1"/>
                <w:sz w:val="24"/>
              </w:rPr>
              <w:t xml:space="preserve"> </w:t>
            </w:r>
            <w:r>
              <w:rPr>
                <w:sz w:val="24"/>
              </w:rPr>
              <w:t>last</w:t>
            </w:r>
            <w:r>
              <w:rPr>
                <w:spacing w:val="-5"/>
                <w:sz w:val="24"/>
              </w:rPr>
              <w:t xml:space="preserve"> </w:t>
            </w:r>
            <w:r>
              <w:rPr>
                <w:sz w:val="24"/>
              </w:rPr>
              <w:t>12</w:t>
            </w:r>
            <w:r>
              <w:rPr>
                <w:spacing w:val="-2"/>
                <w:sz w:val="24"/>
              </w:rPr>
              <w:t xml:space="preserve"> </w:t>
            </w:r>
            <w:r>
              <w:rPr>
                <w:sz w:val="24"/>
              </w:rPr>
              <w:t>MONTHS,</w:t>
            </w:r>
            <w:r>
              <w:rPr>
                <w:spacing w:val="-3"/>
                <w:sz w:val="24"/>
              </w:rPr>
              <w:t xml:space="preserve"> </w:t>
            </w:r>
            <w:r>
              <w:rPr>
                <w:sz w:val="24"/>
              </w:rPr>
              <w:t>was</w:t>
            </w:r>
            <w:r>
              <w:rPr>
                <w:spacing w:val="-1"/>
                <w:sz w:val="24"/>
              </w:rPr>
              <w:t xml:space="preserve"> </w:t>
            </w:r>
            <w:r>
              <w:rPr>
                <w:sz w:val="24"/>
              </w:rPr>
              <w:t>there</w:t>
            </w:r>
            <w:r>
              <w:rPr>
                <w:spacing w:val="-5"/>
                <w:sz w:val="24"/>
              </w:rPr>
              <w:t xml:space="preserve"> </w:t>
            </w:r>
            <w:r>
              <w:rPr>
                <w:sz w:val="24"/>
              </w:rPr>
              <w:t>a</w:t>
            </w:r>
            <w:r>
              <w:rPr>
                <w:spacing w:val="-4"/>
                <w:sz w:val="24"/>
              </w:rPr>
              <w:t xml:space="preserve"> </w:t>
            </w:r>
            <w:r>
              <w:rPr>
                <w:sz w:val="24"/>
              </w:rPr>
              <w:t>time</w:t>
            </w:r>
            <w:r>
              <w:rPr>
                <w:spacing w:val="-4"/>
                <w:sz w:val="24"/>
              </w:rPr>
              <w:t xml:space="preserve"> </w:t>
            </w:r>
            <w:r>
              <w:rPr>
                <w:sz w:val="24"/>
              </w:rPr>
              <w:t>when</w:t>
            </w:r>
            <w:r>
              <w:rPr>
                <w:spacing w:val="-3"/>
                <w:sz w:val="24"/>
              </w:rPr>
              <w:t xml:space="preserve"> </w:t>
            </w:r>
            <w:r>
              <w:rPr>
                <w:spacing w:val="-5"/>
                <w:sz w:val="24"/>
              </w:rPr>
              <w:t>you</w:t>
            </w:r>
          </w:p>
        </w:tc>
      </w:tr>
      <w:tr w:rsidR="00F8679A" w14:paraId="0376A60E" w14:textId="77777777" w:rsidTr="00417545">
        <w:trPr>
          <w:trHeight w:val="275"/>
        </w:trPr>
        <w:tc>
          <w:tcPr>
            <w:tcW w:w="1040" w:type="dxa"/>
          </w:tcPr>
          <w:p w14:paraId="34C92505" w14:textId="77777777" w:rsidR="00F8679A" w:rsidRDefault="00F8679A" w:rsidP="00417545">
            <w:pPr>
              <w:pStyle w:val="TableParagraph"/>
              <w:rPr>
                <w:sz w:val="20"/>
              </w:rPr>
            </w:pPr>
          </w:p>
        </w:tc>
        <w:tc>
          <w:tcPr>
            <w:tcW w:w="1687" w:type="dxa"/>
          </w:tcPr>
          <w:p w14:paraId="239DF53A" w14:textId="77777777" w:rsidR="00F8679A" w:rsidRDefault="00F8679A" w:rsidP="00417545">
            <w:pPr>
              <w:pStyle w:val="TableParagraph"/>
              <w:rPr>
                <w:sz w:val="20"/>
              </w:rPr>
            </w:pPr>
          </w:p>
        </w:tc>
        <w:tc>
          <w:tcPr>
            <w:tcW w:w="6957" w:type="dxa"/>
          </w:tcPr>
          <w:p w14:paraId="7DD585B0" w14:textId="77777777" w:rsidR="00F8679A" w:rsidRDefault="00F8679A" w:rsidP="00417545">
            <w:pPr>
              <w:pStyle w:val="TableParagraph"/>
              <w:spacing w:line="255" w:lineRule="exact"/>
              <w:ind w:left="154"/>
              <w:rPr>
                <w:sz w:val="24"/>
              </w:rPr>
            </w:pPr>
            <w:r>
              <w:rPr>
                <w:sz w:val="24"/>
              </w:rPr>
              <w:t>ate</w:t>
            </w:r>
            <w:r>
              <w:rPr>
                <w:spacing w:val="-4"/>
                <w:sz w:val="24"/>
              </w:rPr>
              <w:t xml:space="preserve"> </w:t>
            </w:r>
            <w:r>
              <w:rPr>
                <w:sz w:val="24"/>
              </w:rPr>
              <w:t>less</w:t>
            </w:r>
            <w:r>
              <w:rPr>
                <w:spacing w:val="-1"/>
                <w:sz w:val="24"/>
              </w:rPr>
              <w:t xml:space="preserve"> </w:t>
            </w:r>
            <w:r>
              <w:rPr>
                <w:sz w:val="24"/>
              </w:rPr>
              <w:t>than</w:t>
            </w:r>
            <w:r>
              <w:rPr>
                <w:spacing w:val="-1"/>
                <w:sz w:val="24"/>
              </w:rPr>
              <w:t xml:space="preserve"> </w:t>
            </w:r>
            <w:r>
              <w:rPr>
                <w:sz w:val="24"/>
              </w:rPr>
              <w:t>you</w:t>
            </w:r>
            <w:r>
              <w:rPr>
                <w:spacing w:val="-2"/>
                <w:sz w:val="24"/>
              </w:rPr>
              <w:t xml:space="preserve"> </w:t>
            </w:r>
            <w:r>
              <w:rPr>
                <w:sz w:val="24"/>
              </w:rPr>
              <w:t>thought</w:t>
            </w:r>
            <w:r>
              <w:rPr>
                <w:spacing w:val="-3"/>
                <w:sz w:val="24"/>
              </w:rPr>
              <w:t xml:space="preserve"> </w:t>
            </w:r>
            <w:r>
              <w:rPr>
                <w:sz w:val="24"/>
              </w:rPr>
              <w:t>you</w:t>
            </w:r>
            <w:r>
              <w:rPr>
                <w:spacing w:val="-2"/>
                <w:sz w:val="24"/>
              </w:rPr>
              <w:t xml:space="preserve"> </w:t>
            </w:r>
            <w:r>
              <w:rPr>
                <w:sz w:val="24"/>
              </w:rPr>
              <w:t>should</w:t>
            </w:r>
            <w:r>
              <w:rPr>
                <w:spacing w:val="-1"/>
                <w:sz w:val="24"/>
              </w:rPr>
              <w:t xml:space="preserve"> </w:t>
            </w:r>
            <w:r>
              <w:rPr>
                <w:sz w:val="24"/>
              </w:rPr>
              <w:t>because</w:t>
            </w:r>
            <w:r>
              <w:rPr>
                <w:spacing w:val="-4"/>
                <w:sz w:val="24"/>
              </w:rPr>
              <w:t xml:space="preserve"> </w:t>
            </w:r>
            <w:r>
              <w:rPr>
                <w:sz w:val="24"/>
              </w:rPr>
              <w:t>of</w:t>
            </w:r>
            <w:r>
              <w:rPr>
                <w:spacing w:val="-1"/>
                <w:sz w:val="24"/>
              </w:rPr>
              <w:t xml:space="preserve"> </w:t>
            </w:r>
            <w:r>
              <w:rPr>
                <w:sz w:val="24"/>
              </w:rPr>
              <w:t>a</w:t>
            </w:r>
            <w:r>
              <w:rPr>
                <w:spacing w:val="1"/>
                <w:sz w:val="24"/>
              </w:rPr>
              <w:t xml:space="preserve"> </w:t>
            </w:r>
            <w:r>
              <w:rPr>
                <w:sz w:val="24"/>
              </w:rPr>
              <w:t>lack</w:t>
            </w:r>
            <w:r>
              <w:rPr>
                <w:spacing w:val="-1"/>
                <w:sz w:val="24"/>
              </w:rPr>
              <w:t xml:space="preserve"> </w:t>
            </w:r>
            <w:r>
              <w:rPr>
                <w:sz w:val="24"/>
              </w:rPr>
              <w:t>of</w:t>
            </w:r>
            <w:r>
              <w:rPr>
                <w:spacing w:val="-2"/>
                <w:sz w:val="24"/>
              </w:rPr>
              <w:t xml:space="preserve"> </w:t>
            </w:r>
            <w:r>
              <w:rPr>
                <w:sz w:val="24"/>
              </w:rPr>
              <w:t>money</w:t>
            </w:r>
            <w:r>
              <w:rPr>
                <w:spacing w:val="-1"/>
                <w:sz w:val="24"/>
              </w:rPr>
              <w:t xml:space="preserve"> </w:t>
            </w:r>
            <w:r>
              <w:rPr>
                <w:spacing w:val="-5"/>
                <w:sz w:val="24"/>
              </w:rPr>
              <w:t>or</w:t>
            </w:r>
          </w:p>
        </w:tc>
      </w:tr>
      <w:tr w:rsidR="00F8679A" w14:paraId="7A55F66B" w14:textId="77777777" w:rsidTr="00417545">
        <w:trPr>
          <w:trHeight w:val="277"/>
        </w:trPr>
        <w:tc>
          <w:tcPr>
            <w:tcW w:w="1040" w:type="dxa"/>
          </w:tcPr>
          <w:p w14:paraId="79CD16F6" w14:textId="77777777" w:rsidR="00F8679A" w:rsidRDefault="00F8679A" w:rsidP="00417545">
            <w:pPr>
              <w:pStyle w:val="TableParagraph"/>
              <w:rPr>
                <w:sz w:val="20"/>
              </w:rPr>
            </w:pPr>
          </w:p>
        </w:tc>
        <w:tc>
          <w:tcPr>
            <w:tcW w:w="1687" w:type="dxa"/>
          </w:tcPr>
          <w:p w14:paraId="4BF6DE31" w14:textId="77777777" w:rsidR="00F8679A" w:rsidRDefault="00F8679A" w:rsidP="00417545">
            <w:pPr>
              <w:pStyle w:val="TableParagraph"/>
              <w:rPr>
                <w:sz w:val="20"/>
              </w:rPr>
            </w:pPr>
          </w:p>
        </w:tc>
        <w:tc>
          <w:tcPr>
            <w:tcW w:w="6957" w:type="dxa"/>
          </w:tcPr>
          <w:p w14:paraId="58B6DD55" w14:textId="77777777" w:rsidR="00F8679A" w:rsidRDefault="00F8679A" w:rsidP="00417545">
            <w:pPr>
              <w:pStyle w:val="TableParagraph"/>
              <w:spacing w:line="258" w:lineRule="exact"/>
              <w:ind w:left="154"/>
              <w:rPr>
                <w:sz w:val="24"/>
              </w:rPr>
            </w:pPr>
            <w:r>
              <w:rPr>
                <w:sz w:val="24"/>
              </w:rPr>
              <w:t>other</w:t>
            </w:r>
            <w:r>
              <w:rPr>
                <w:spacing w:val="-6"/>
                <w:sz w:val="24"/>
              </w:rPr>
              <w:t xml:space="preserve"> </w:t>
            </w:r>
            <w:r>
              <w:rPr>
                <w:spacing w:val="-2"/>
                <w:sz w:val="24"/>
              </w:rPr>
              <w:t>resources?</w:t>
            </w:r>
          </w:p>
        </w:tc>
      </w:tr>
      <w:tr w:rsidR="00F8679A" w14:paraId="67184E9C" w14:textId="77777777" w:rsidTr="00417545">
        <w:trPr>
          <w:trHeight w:val="277"/>
        </w:trPr>
        <w:tc>
          <w:tcPr>
            <w:tcW w:w="1040" w:type="dxa"/>
          </w:tcPr>
          <w:p w14:paraId="4EDB6054" w14:textId="77777777" w:rsidR="00F8679A" w:rsidRDefault="00F8679A" w:rsidP="00417545">
            <w:pPr>
              <w:pStyle w:val="TableParagraph"/>
              <w:spacing w:line="258" w:lineRule="exact"/>
              <w:ind w:left="109"/>
              <w:rPr>
                <w:sz w:val="24"/>
              </w:rPr>
            </w:pPr>
            <w:r>
              <w:rPr>
                <w:sz w:val="24"/>
              </w:rPr>
              <w:t>6</w:t>
            </w:r>
          </w:p>
        </w:tc>
        <w:tc>
          <w:tcPr>
            <w:tcW w:w="1687" w:type="dxa"/>
          </w:tcPr>
          <w:p w14:paraId="510B614A" w14:textId="77777777" w:rsidR="00F8679A" w:rsidRDefault="00F8679A" w:rsidP="00417545">
            <w:pPr>
              <w:pStyle w:val="TableParagraph"/>
              <w:spacing w:line="258" w:lineRule="exact"/>
              <w:ind w:left="145"/>
              <w:rPr>
                <w:sz w:val="24"/>
              </w:rPr>
            </w:pPr>
            <w:r>
              <w:rPr>
                <w:spacing w:val="-2"/>
                <w:sz w:val="24"/>
              </w:rPr>
              <w:t>RANOUT</w:t>
            </w:r>
          </w:p>
        </w:tc>
        <w:tc>
          <w:tcPr>
            <w:tcW w:w="6957" w:type="dxa"/>
          </w:tcPr>
          <w:p w14:paraId="3CA02781" w14:textId="77777777" w:rsidR="00F8679A" w:rsidRDefault="00F8679A" w:rsidP="00417545">
            <w:pPr>
              <w:pStyle w:val="TableParagraph"/>
              <w:spacing w:line="258" w:lineRule="exact"/>
              <w:ind w:left="154"/>
              <w:rPr>
                <w:sz w:val="24"/>
              </w:rPr>
            </w:pPr>
            <w:r>
              <w:rPr>
                <w:sz w:val="24"/>
              </w:rPr>
              <w:t>Was</w:t>
            </w:r>
            <w:r>
              <w:rPr>
                <w:spacing w:val="-1"/>
                <w:sz w:val="24"/>
              </w:rPr>
              <w:t xml:space="preserve"> </w:t>
            </w:r>
            <w:r>
              <w:rPr>
                <w:sz w:val="24"/>
              </w:rPr>
              <w:t>there</w:t>
            </w:r>
            <w:r>
              <w:rPr>
                <w:spacing w:val="2"/>
                <w:sz w:val="24"/>
              </w:rPr>
              <w:t xml:space="preserve"> </w:t>
            </w:r>
            <w:r>
              <w:rPr>
                <w:sz w:val="24"/>
              </w:rPr>
              <w:t>a</w:t>
            </w:r>
            <w:r>
              <w:rPr>
                <w:spacing w:val="-3"/>
                <w:sz w:val="24"/>
              </w:rPr>
              <w:t xml:space="preserve"> </w:t>
            </w:r>
            <w:r>
              <w:rPr>
                <w:sz w:val="24"/>
              </w:rPr>
              <w:t>time</w:t>
            </w:r>
            <w:r>
              <w:rPr>
                <w:spacing w:val="-3"/>
                <w:sz w:val="24"/>
              </w:rPr>
              <w:t xml:space="preserve"> </w:t>
            </w:r>
            <w:r>
              <w:rPr>
                <w:sz w:val="24"/>
              </w:rPr>
              <w:t>when</w:t>
            </w:r>
            <w:r>
              <w:rPr>
                <w:spacing w:val="-2"/>
                <w:sz w:val="24"/>
              </w:rPr>
              <w:t xml:space="preserve"> </w:t>
            </w:r>
            <w:r>
              <w:rPr>
                <w:sz w:val="24"/>
              </w:rPr>
              <w:t>your</w:t>
            </w:r>
            <w:r>
              <w:rPr>
                <w:spacing w:val="1"/>
                <w:sz w:val="24"/>
              </w:rPr>
              <w:t xml:space="preserve"> </w:t>
            </w:r>
            <w:r>
              <w:rPr>
                <w:sz w:val="24"/>
              </w:rPr>
              <w:t>household</w:t>
            </w:r>
            <w:r>
              <w:rPr>
                <w:spacing w:val="-1"/>
                <w:sz w:val="24"/>
              </w:rPr>
              <w:t xml:space="preserve"> </w:t>
            </w:r>
            <w:r>
              <w:rPr>
                <w:sz w:val="24"/>
              </w:rPr>
              <w:t>ran</w:t>
            </w:r>
            <w:r>
              <w:rPr>
                <w:spacing w:val="-1"/>
                <w:sz w:val="24"/>
              </w:rPr>
              <w:t xml:space="preserve"> </w:t>
            </w:r>
            <w:r>
              <w:rPr>
                <w:sz w:val="24"/>
              </w:rPr>
              <w:t>out</w:t>
            </w:r>
            <w:r>
              <w:rPr>
                <w:spacing w:val="-3"/>
                <w:sz w:val="24"/>
              </w:rPr>
              <w:t xml:space="preserve"> </w:t>
            </w:r>
            <w:r>
              <w:rPr>
                <w:sz w:val="24"/>
              </w:rPr>
              <w:t>of</w:t>
            </w:r>
            <w:r>
              <w:rPr>
                <w:spacing w:val="-2"/>
                <w:sz w:val="24"/>
              </w:rPr>
              <w:t xml:space="preserve"> </w:t>
            </w:r>
            <w:r>
              <w:rPr>
                <w:sz w:val="24"/>
              </w:rPr>
              <w:t>food</w:t>
            </w:r>
            <w:r>
              <w:rPr>
                <w:spacing w:val="-1"/>
                <w:sz w:val="24"/>
              </w:rPr>
              <w:t xml:space="preserve"> </w:t>
            </w:r>
            <w:r>
              <w:rPr>
                <w:sz w:val="24"/>
              </w:rPr>
              <w:t>because</w:t>
            </w:r>
            <w:r>
              <w:rPr>
                <w:spacing w:val="-3"/>
                <w:sz w:val="24"/>
              </w:rPr>
              <w:t xml:space="preserve"> </w:t>
            </w:r>
            <w:r>
              <w:rPr>
                <w:sz w:val="24"/>
              </w:rPr>
              <w:t>of</w:t>
            </w:r>
            <w:r>
              <w:rPr>
                <w:spacing w:val="-1"/>
                <w:sz w:val="24"/>
              </w:rPr>
              <w:t xml:space="preserve"> </w:t>
            </w:r>
            <w:r>
              <w:rPr>
                <w:spacing w:val="-10"/>
                <w:sz w:val="24"/>
              </w:rPr>
              <w:t>a</w:t>
            </w:r>
          </w:p>
        </w:tc>
      </w:tr>
      <w:tr w:rsidR="00F8679A" w14:paraId="32D0740A" w14:textId="77777777" w:rsidTr="00417545">
        <w:trPr>
          <w:trHeight w:val="275"/>
        </w:trPr>
        <w:tc>
          <w:tcPr>
            <w:tcW w:w="1040" w:type="dxa"/>
          </w:tcPr>
          <w:p w14:paraId="2A8CB334" w14:textId="77777777" w:rsidR="00F8679A" w:rsidRDefault="00F8679A" w:rsidP="00417545">
            <w:pPr>
              <w:pStyle w:val="TableParagraph"/>
              <w:rPr>
                <w:sz w:val="20"/>
              </w:rPr>
            </w:pPr>
          </w:p>
        </w:tc>
        <w:tc>
          <w:tcPr>
            <w:tcW w:w="1687" w:type="dxa"/>
          </w:tcPr>
          <w:p w14:paraId="72C3A762" w14:textId="77777777" w:rsidR="00F8679A" w:rsidRDefault="00F8679A" w:rsidP="00417545">
            <w:pPr>
              <w:pStyle w:val="TableParagraph"/>
              <w:rPr>
                <w:sz w:val="20"/>
              </w:rPr>
            </w:pPr>
          </w:p>
        </w:tc>
        <w:tc>
          <w:tcPr>
            <w:tcW w:w="6957" w:type="dxa"/>
          </w:tcPr>
          <w:p w14:paraId="56F93E1B" w14:textId="77777777" w:rsidR="00F8679A" w:rsidRDefault="00F8679A" w:rsidP="00417545">
            <w:pPr>
              <w:pStyle w:val="TableParagraph"/>
              <w:spacing w:line="255" w:lineRule="exact"/>
              <w:ind w:left="154"/>
              <w:rPr>
                <w:sz w:val="24"/>
              </w:rPr>
            </w:pPr>
            <w:r>
              <w:rPr>
                <w:sz w:val="24"/>
              </w:rPr>
              <w:t>lack</w:t>
            </w:r>
            <w:r>
              <w:rPr>
                <w:spacing w:val="-3"/>
                <w:sz w:val="24"/>
              </w:rPr>
              <w:t xml:space="preserve"> </w:t>
            </w:r>
            <w:r>
              <w:rPr>
                <w:sz w:val="24"/>
              </w:rPr>
              <w:t>of</w:t>
            </w:r>
            <w:r>
              <w:rPr>
                <w:spacing w:val="-2"/>
                <w:sz w:val="24"/>
              </w:rPr>
              <w:t xml:space="preserve"> </w:t>
            </w:r>
            <w:r>
              <w:rPr>
                <w:sz w:val="24"/>
              </w:rPr>
              <w:t>money</w:t>
            </w:r>
            <w:r>
              <w:rPr>
                <w:spacing w:val="-2"/>
                <w:sz w:val="24"/>
              </w:rPr>
              <w:t xml:space="preserve"> </w:t>
            </w:r>
            <w:r>
              <w:rPr>
                <w:sz w:val="24"/>
              </w:rPr>
              <w:t>or</w:t>
            </w:r>
            <w:r>
              <w:rPr>
                <w:spacing w:val="-2"/>
                <w:sz w:val="24"/>
              </w:rPr>
              <w:t xml:space="preserve"> </w:t>
            </w:r>
            <w:r>
              <w:rPr>
                <w:sz w:val="24"/>
              </w:rPr>
              <w:t>other</w:t>
            </w:r>
            <w:r>
              <w:rPr>
                <w:spacing w:val="-3"/>
                <w:sz w:val="24"/>
              </w:rPr>
              <w:t xml:space="preserve"> </w:t>
            </w:r>
            <w:r>
              <w:rPr>
                <w:spacing w:val="-2"/>
                <w:sz w:val="24"/>
              </w:rPr>
              <w:t>resources?</w:t>
            </w:r>
          </w:p>
        </w:tc>
      </w:tr>
      <w:tr w:rsidR="00F8679A" w14:paraId="35EA4B8D" w14:textId="77777777" w:rsidTr="00417545">
        <w:trPr>
          <w:trHeight w:val="275"/>
        </w:trPr>
        <w:tc>
          <w:tcPr>
            <w:tcW w:w="1040" w:type="dxa"/>
          </w:tcPr>
          <w:p w14:paraId="0200827F" w14:textId="77777777" w:rsidR="00F8679A" w:rsidRDefault="00F8679A" w:rsidP="00417545">
            <w:pPr>
              <w:pStyle w:val="TableParagraph"/>
              <w:spacing w:line="255" w:lineRule="exact"/>
              <w:ind w:left="109"/>
              <w:rPr>
                <w:sz w:val="24"/>
              </w:rPr>
            </w:pPr>
            <w:r>
              <w:rPr>
                <w:sz w:val="24"/>
              </w:rPr>
              <w:t>7</w:t>
            </w:r>
          </w:p>
        </w:tc>
        <w:tc>
          <w:tcPr>
            <w:tcW w:w="1687" w:type="dxa"/>
          </w:tcPr>
          <w:p w14:paraId="689AF3F6" w14:textId="77777777" w:rsidR="00F8679A" w:rsidRDefault="00F8679A" w:rsidP="00417545">
            <w:pPr>
              <w:pStyle w:val="TableParagraph"/>
              <w:spacing w:line="255" w:lineRule="exact"/>
              <w:ind w:left="145"/>
              <w:rPr>
                <w:sz w:val="24"/>
              </w:rPr>
            </w:pPr>
            <w:r>
              <w:rPr>
                <w:spacing w:val="-2"/>
                <w:sz w:val="24"/>
              </w:rPr>
              <w:t>HUNGRY</w:t>
            </w:r>
          </w:p>
        </w:tc>
        <w:tc>
          <w:tcPr>
            <w:tcW w:w="6957" w:type="dxa"/>
          </w:tcPr>
          <w:p w14:paraId="1B8E1C8F" w14:textId="77777777" w:rsidR="00F8679A" w:rsidRDefault="00F8679A" w:rsidP="00417545">
            <w:pPr>
              <w:pStyle w:val="TableParagraph"/>
              <w:spacing w:line="255" w:lineRule="exact"/>
              <w:ind w:left="154"/>
              <w:rPr>
                <w:sz w:val="24"/>
              </w:rPr>
            </w:pPr>
            <w:r>
              <w:rPr>
                <w:sz w:val="24"/>
              </w:rPr>
              <w:t>Was</w:t>
            </w:r>
            <w:r>
              <w:rPr>
                <w:spacing w:val="-1"/>
                <w:sz w:val="24"/>
              </w:rPr>
              <w:t xml:space="preserve"> </w:t>
            </w:r>
            <w:r>
              <w:rPr>
                <w:sz w:val="24"/>
              </w:rPr>
              <w:t>there</w:t>
            </w:r>
            <w:r>
              <w:rPr>
                <w:spacing w:val="1"/>
                <w:sz w:val="24"/>
              </w:rPr>
              <w:t xml:space="preserve"> </w:t>
            </w:r>
            <w:r>
              <w:rPr>
                <w:sz w:val="24"/>
              </w:rPr>
              <w:t>a</w:t>
            </w:r>
            <w:r>
              <w:rPr>
                <w:spacing w:val="-3"/>
                <w:sz w:val="24"/>
              </w:rPr>
              <w:t xml:space="preserve"> </w:t>
            </w:r>
            <w:r>
              <w:rPr>
                <w:sz w:val="24"/>
              </w:rPr>
              <w:t>time</w:t>
            </w:r>
            <w:r>
              <w:rPr>
                <w:spacing w:val="-4"/>
                <w:sz w:val="24"/>
              </w:rPr>
              <w:t xml:space="preserve"> </w:t>
            </w:r>
            <w:r>
              <w:rPr>
                <w:sz w:val="24"/>
              </w:rPr>
              <w:t>when</w:t>
            </w:r>
            <w:r>
              <w:rPr>
                <w:spacing w:val="-1"/>
                <w:sz w:val="24"/>
              </w:rPr>
              <w:t xml:space="preserve"> </w:t>
            </w:r>
            <w:r>
              <w:rPr>
                <w:sz w:val="24"/>
              </w:rPr>
              <w:t>you</w:t>
            </w:r>
            <w:r>
              <w:rPr>
                <w:spacing w:val="-2"/>
                <w:sz w:val="24"/>
              </w:rPr>
              <w:t xml:space="preserve"> </w:t>
            </w:r>
            <w:r>
              <w:rPr>
                <w:sz w:val="24"/>
              </w:rPr>
              <w:t>were</w:t>
            </w:r>
            <w:r>
              <w:rPr>
                <w:spacing w:val="-3"/>
                <w:sz w:val="24"/>
              </w:rPr>
              <w:t xml:space="preserve"> </w:t>
            </w:r>
            <w:r>
              <w:rPr>
                <w:sz w:val="24"/>
              </w:rPr>
              <w:t>hungry</w:t>
            </w:r>
            <w:r>
              <w:rPr>
                <w:spacing w:val="-2"/>
                <w:sz w:val="24"/>
              </w:rPr>
              <w:t xml:space="preserve"> </w:t>
            </w:r>
            <w:r>
              <w:rPr>
                <w:sz w:val="24"/>
              </w:rPr>
              <w:t>but</w:t>
            </w:r>
            <w:r>
              <w:rPr>
                <w:spacing w:val="-3"/>
                <w:sz w:val="24"/>
              </w:rPr>
              <w:t xml:space="preserve"> </w:t>
            </w:r>
            <w:r>
              <w:rPr>
                <w:sz w:val="24"/>
              </w:rPr>
              <w:t>did</w:t>
            </w:r>
            <w:r>
              <w:rPr>
                <w:spacing w:val="-2"/>
                <w:sz w:val="24"/>
              </w:rPr>
              <w:t xml:space="preserve"> </w:t>
            </w:r>
            <w:r>
              <w:rPr>
                <w:sz w:val="24"/>
              </w:rPr>
              <w:t>not</w:t>
            </w:r>
            <w:r>
              <w:rPr>
                <w:spacing w:val="2"/>
                <w:sz w:val="24"/>
              </w:rPr>
              <w:t xml:space="preserve"> </w:t>
            </w:r>
            <w:r>
              <w:rPr>
                <w:sz w:val="24"/>
              </w:rPr>
              <w:t>eat</w:t>
            </w:r>
            <w:r>
              <w:rPr>
                <w:spacing w:val="-4"/>
                <w:sz w:val="24"/>
              </w:rPr>
              <w:t xml:space="preserve"> </w:t>
            </w:r>
            <w:r>
              <w:rPr>
                <w:sz w:val="24"/>
              </w:rPr>
              <w:t>because</w:t>
            </w:r>
            <w:r>
              <w:rPr>
                <w:spacing w:val="-3"/>
                <w:sz w:val="24"/>
              </w:rPr>
              <w:t xml:space="preserve"> </w:t>
            </w:r>
            <w:r>
              <w:rPr>
                <w:spacing w:val="-2"/>
                <w:sz w:val="24"/>
              </w:rPr>
              <w:t>there</w:t>
            </w:r>
          </w:p>
        </w:tc>
      </w:tr>
      <w:tr w:rsidR="00F8679A" w14:paraId="602F5776" w14:textId="77777777" w:rsidTr="00417545">
        <w:trPr>
          <w:trHeight w:val="275"/>
        </w:trPr>
        <w:tc>
          <w:tcPr>
            <w:tcW w:w="1040" w:type="dxa"/>
          </w:tcPr>
          <w:p w14:paraId="78614380" w14:textId="77777777" w:rsidR="00F8679A" w:rsidRDefault="00F8679A" w:rsidP="00417545">
            <w:pPr>
              <w:pStyle w:val="TableParagraph"/>
              <w:rPr>
                <w:sz w:val="20"/>
              </w:rPr>
            </w:pPr>
          </w:p>
        </w:tc>
        <w:tc>
          <w:tcPr>
            <w:tcW w:w="1687" w:type="dxa"/>
          </w:tcPr>
          <w:p w14:paraId="46677930" w14:textId="77777777" w:rsidR="00F8679A" w:rsidRDefault="00F8679A" w:rsidP="00417545">
            <w:pPr>
              <w:pStyle w:val="TableParagraph"/>
              <w:rPr>
                <w:sz w:val="20"/>
              </w:rPr>
            </w:pPr>
          </w:p>
        </w:tc>
        <w:tc>
          <w:tcPr>
            <w:tcW w:w="6957" w:type="dxa"/>
          </w:tcPr>
          <w:p w14:paraId="0AA111AA" w14:textId="77777777" w:rsidR="00F8679A" w:rsidRDefault="00F8679A" w:rsidP="00417545">
            <w:pPr>
              <w:pStyle w:val="TableParagraph"/>
              <w:spacing w:line="255" w:lineRule="exact"/>
              <w:ind w:left="154"/>
              <w:rPr>
                <w:sz w:val="24"/>
              </w:rPr>
            </w:pPr>
            <w:r>
              <w:rPr>
                <w:sz w:val="24"/>
              </w:rPr>
              <w:t>was</w:t>
            </w:r>
            <w:r>
              <w:rPr>
                <w:spacing w:val="-2"/>
                <w:sz w:val="24"/>
              </w:rPr>
              <w:t xml:space="preserve"> </w:t>
            </w:r>
            <w:r>
              <w:rPr>
                <w:sz w:val="24"/>
              </w:rPr>
              <w:t>not</w:t>
            </w:r>
            <w:r>
              <w:rPr>
                <w:spacing w:val="-4"/>
                <w:sz w:val="24"/>
              </w:rPr>
              <w:t xml:space="preserve"> </w:t>
            </w:r>
            <w:r>
              <w:rPr>
                <w:sz w:val="24"/>
              </w:rPr>
              <w:t>enough</w:t>
            </w:r>
            <w:r>
              <w:rPr>
                <w:spacing w:val="-2"/>
                <w:sz w:val="24"/>
              </w:rPr>
              <w:t xml:space="preserve"> </w:t>
            </w:r>
            <w:r>
              <w:rPr>
                <w:sz w:val="24"/>
              </w:rPr>
              <w:t>money</w:t>
            </w:r>
            <w:r>
              <w:rPr>
                <w:spacing w:val="-2"/>
                <w:sz w:val="24"/>
              </w:rPr>
              <w:t xml:space="preserve"> </w:t>
            </w:r>
            <w:r>
              <w:rPr>
                <w:sz w:val="24"/>
              </w:rPr>
              <w:t>or</w:t>
            </w:r>
            <w:r>
              <w:rPr>
                <w:spacing w:val="-2"/>
                <w:sz w:val="24"/>
              </w:rPr>
              <w:t xml:space="preserve"> </w:t>
            </w:r>
            <w:r>
              <w:rPr>
                <w:sz w:val="24"/>
              </w:rPr>
              <w:t>other</w:t>
            </w:r>
            <w:r>
              <w:rPr>
                <w:spacing w:val="-3"/>
                <w:sz w:val="24"/>
              </w:rPr>
              <w:t xml:space="preserve"> </w:t>
            </w:r>
            <w:r>
              <w:rPr>
                <w:sz w:val="24"/>
              </w:rPr>
              <w:t>resources</w:t>
            </w:r>
            <w:r>
              <w:rPr>
                <w:spacing w:val="-1"/>
                <w:sz w:val="24"/>
              </w:rPr>
              <w:t xml:space="preserve"> </w:t>
            </w:r>
            <w:r>
              <w:rPr>
                <w:sz w:val="24"/>
              </w:rPr>
              <w:t>for</w:t>
            </w:r>
            <w:r>
              <w:rPr>
                <w:spacing w:val="-2"/>
                <w:sz w:val="24"/>
              </w:rPr>
              <w:t xml:space="preserve"> food?</w:t>
            </w:r>
          </w:p>
        </w:tc>
      </w:tr>
      <w:tr w:rsidR="00F8679A" w14:paraId="448BFD08" w14:textId="77777777" w:rsidTr="00417545">
        <w:trPr>
          <w:trHeight w:val="277"/>
        </w:trPr>
        <w:tc>
          <w:tcPr>
            <w:tcW w:w="1040" w:type="dxa"/>
          </w:tcPr>
          <w:p w14:paraId="133B2642" w14:textId="77777777" w:rsidR="00F8679A" w:rsidRDefault="00F8679A" w:rsidP="00417545">
            <w:pPr>
              <w:pStyle w:val="TableParagraph"/>
              <w:spacing w:line="258" w:lineRule="exact"/>
              <w:ind w:left="109"/>
              <w:rPr>
                <w:sz w:val="24"/>
              </w:rPr>
            </w:pPr>
            <w:r>
              <w:rPr>
                <w:sz w:val="24"/>
              </w:rPr>
              <w:t>8</w:t>
            </w:r>
          </w:p>
        </w:tc>
        <w:tc>
          <w:tcPr>
            <w:tcW w:w="1687" w:type="dxa"/>
          </w:tcPr>
          <w:p w14:paraId="5F376407" w14:textId="77777777" w:rsidR="00F8679A" w:rsidRDefault="00F8679A" w:rsidP="00417545">
            <w:pPr>
              <w:pStyle w:val="TableParagraph"/>
              <w:spacing w:line="258" w:lineRule="exact"/>
              <w:ind w:left="145"/>
              <w:rPr>
                <w:sz w:val="24"/>
              </w:rPr>
            </w:pPr>
            <w:r>
              <w:rPr>
                <w:spacing w:val="-2"/>
                <w:sz w:val="24"/>
              </w:rPr>
              <w:t>WHOLEDAY</w:t>
            </w:r>
          </w:p>
        </w:tc>
        <w:tc>
          <w:tcPr>
            <w:tcW w:w="6957" w:type="dxa"/>
          </w:tcPr>
          <w:p w14:paraId="6B054744" w14:textId="77777777" w:rsidR="00F8679A" w:rsidRDefault="00F8679A" w:rsidP="00417545">
            <w:pPr>
              <w:pStyle w:val="TableParagraph"/>
              <w:spacing w:line="258" w:lineRule="exact"/>
              <w:ind w:left="154"/>
              <w:rPr>
                <w:sz w:val="24"/>
              </w:rPr>
            </w:pPr>
            <w:r>
              <w:rPr>
                <w:sz w:val="24"/>
              </w:rPr>
              <w:t>During</w:t>
            </w:r>
            <w:r>
              <w:rPr>
                <w:spacing w:val="-3"/>
                <w:sz w:val="24"/>
              </w:rPr>
              <w:t xml:space="preserve"> </w:t>
            </w:r>
            <w:r>
              <w:rPr>
                <w:sz w:val="24"/>
              </w:rPr>
              <w:t>the</w:t>
            </w:r>
            <w:r>
              <w:rPr>
                <w:spacing w:val="-4"/>
                <w:sz w:val="24"/>
              </w:rPr>
              <w:t xml:space="preserve"> </w:t>
            </w:r>
            <w:r>
              <w:rPr>
                <w:sz w:val="24"/>
              </w:rPr>
              <w:t>last</w:t>
            </w:r>
            <w:r>
              <w:rPr>
                <w:spacing w:val="-4"/>
                <w:sz w:val="24"/>
              </w:rPr>
              <w:t xml:space="preserve"> </w:t>
            </w:r>
            <w:r>
              <w:rPr>
                <w:sz w:val="24"/>
              </w:rPr>
              <w:t>12</w:t>
            </w:r>
            <w:r>
              <w:rPr>
                <w:spacing w:val="-3"/>
                <w:sz w:val="24"/>
              </w:rPr>
              <w:t xml:space="preserve"> </w:t>
            </w:r>
            <w:r>
              <w:rPr>
                <w:sz w:val="24"/>
              </w:rPr>
              <w:t>MONTHS,</w:t>
            </w:r>
            <w:r>
              <w:rPr>
                <w:spacing w:val="-2"/>
                <w:sz w:val="24"/>
              </w:rPr>
              <w:t xml:space="preserve"> </w:t>
            </w:r>
            <w:r>
              <w:rPr>
                <w:sz w:val="24"/>
              </w:rPr>
              <w:t>was</w:t>
            </w:r>
            <w:r>
              <w:rPr>
                <w:spacing w:val="-1"/>
                <w:sz w:val="24"/>
              </w:rPr>
              <w:t xml:space="preserve"> </w:t>
            </w:r>
            <w:r>
              <w:rPr>
                <w:sz w:val="24"/>
              </w:rPr>
              <w:t>there</w:t>
            </w:r>
            <w:r>
              <w:rPr>
                <w:spacing w:val="-5"/>
                <w:sz w:val="24"/>
              </w:rPr>
              <w:t xml:space="preserve"> </w:t>
            </w:r>
            <w:r>
              <w:rPr>
                <w:sz w:val="24"/>
              </w:rPr>
              <w:t>a time</w:t>
            </w:r>
            <w:r>
              <w:rPr>
                <w:spacing w:val="-4"/>
                <w:sz w:val="24"/>
              </w:rPr>
              <w:t xml:space="preserve"> </w:t>
            </w:r>
            <w:r>
              <w:rPr>
                <w:sz w:val="24"/>
              </w:rPr>
              <w:t>when</w:t>
            </w:r>
            <w:r>
              <w:rPr>
                <w:spacing w:val="1"/>
                <w:sz w:val="24"/>
              </w:rPr>
              <w:t xml:space="preserve"> </w:t>
            </w:r>
            <w:r>
              <w:rPr>
                <w:sz w:val="24"/>
              </w:rPr>
              <w:t>you</w:t>
            </w:r>
            <w:r>
              <w:rPr>
                <w:spacing w:val="-2"/>
                <w:sz w:val="24"/>
              </w:rPr>
              <w:t xml:space="preserve"> </w:t>
            </w:r>
            <w:r>
              <w:rPr>
                <w:spacing w:val="-4"/>
                <w:sz w:val="24"/>
              </w:rPr>
              <w:t>went</w:t>
            </w:r>
          </w:p>
        </w:tc>
      </w:tr>
      <w:tr w:rsidR="00F8679A" w14:paraId="03FC8E20" w14:textId="77777777" w:rsidTr="00417545">
        <w:trPr>
          <w:trHeight w:val="272"/>
        </w:trPr>
        <w:tc>
          <w:tcPr>
            <w:tcW w:w="1040" w:type="dxa"/>
          </w:tcPr>
          <w:p w14:paraId="4976E32A" w14:textId="77777777" w:rsidR="00F8679A" w:rsidRDefault="00F8679A" w:rsidP="00417545">
            <w:pPr>
              <w:pStyle w:val="TableParagraph"/>
              <w:rPr>
                <w:sz w:val="20"/>
              </w:rPr>
            </w:pPr>
          </w:p>
        </w:tc>
        <w:tc>
          <w:tcPr>
            <w:tcW w:w="1687" w:type="dxa"/>
          </w:tcPr>
          <w:p w14:paraId="70F59221" w14:textId="77777777" w:rsidR="00F8679A" w:rsidRDefault="00F8679A" w:rsidP="00417545">
            <w:pPr>
              <w:pStyle w:val="TableParagraph"/>
              <w:rPr>
                <w:sz w:val="20"/>
              </w:rPr>
            </w:pPr>
          </w:p>
        </w:tc>
        <w:tc>
          <w:tcPr>
            <w:tcW w:w="6957" w:type="dxa"/>
          </w:tcPr>
          <w:p w14:paraId="17F3EDF5" w14:textId="77777777" w:rsidR="00F8679A" w:rsidRDefault="00F8679A" w:rsidP="00417545">
            <w:pPr>
              <w:pStyle w:val="TableParagraph"/>
              <w:spacing w:line="253" w:lineRule="exact"/>
              <w:ind w:left="154"/>
              <w:rPr>
                <w:sz w:val="24"/>
              </w:rPr>
            </w:pPr>
            <w:r>
              <w:rPr>
                <w:sz w:val="24"/>
              </w:rPr>
              <w:t>without</w:t>
            </w:r>
            <w:r>
              <w:rPr>
                <w:spacing w:val="-4"/>
                <w:sz w:val="24"/>
              </w:rPr>
              <w:t xml:space="preserve"> </w:t>
            </w:r>
            <w:r>
              <w:rPr>
                <w:sz w:val="24"/>
              </w:rPr>
              <w:t>eating</w:t>
            </w:r>
            <w:r>
              <w:rPr>
                <w:spacing w:val="-1"/>
                <w:sz w:val="24"/>
              </w:rPr>
              <w:t xml:space="preserve"> </w:t>
            </w:r>
            <w:r>
              <w:rPr>
                <w:sz w:val="24"/>
              </w:rPr>
              <w:t>for</w:t>
            </w:r>
            <w:r>
              <w:rPr>
                <w:spacing w:val="-1"/>
                <w:sz w:val="24"/>
              </w:rPr>
              <w:t xml:space="preserve"> </w:t>
            </w:r>
            <w:r>
              <w:rPr>
                <w:sz w:val="24"/>
              </w:rPr>
              <w:t>a</w:t>
            </w:r>
            <w:r>
              <w:rPr>
                <w:spacing w:val="-3"/>
                <w:sz w:val="24"/>
              </w:rPr>
              <w:t xml:space="preserve"> </w:t>
            </w:r>
            <w:r>
              <w:rPr>
                <w:sz w:val="24"/>
              </w:rPr>
              <w:t>whole</w:t>
            </w:r>
            <w:r>
              <w:rPr>
                <w:spacing w:val="-3"/>
                <w:sz w:val="24"/>
              </w:rPr>
              <w:t xml:space="preserve"> </w:t>
            </w:r>
            <w:r>
              <w:rPr>
                <w:sz w:val="24"/>
              </w:rPr>
              <w:t>day</w:t>
            </w:r>
            <w:r>
              <w:rPr>
                <w:spacing w:val="-1"/>
                <w:sz w:val="24"/>
              </w:rPr>
              <w:t xml:space="preserve"> </w:t>
            </w:r>
            <w:r>
              <w:rPr>
                <w:sz w:val="24"/>
              </w:rPr>
              <w:t>because</w:t>
            </w:r>
            <w:r>
              <w:rPr>
                <w:spacing w:val="-3"/>
                <w:sz w:val="24"/>
              </w:rPr>
              <w:t xml:space="preserve"> </w:t>
            </w:r>
            <w:r>
              <w:rPr>
                <w:sz w:val="24"/>
              </w:rPr>
              <w:t>of</w:t>
            </w:r>
            <w:r>
              <w:rPr>
                <w:spacing w:val="-1"/>
                <w:sz w:val="24"/>
              </w:rPr>
              <w:t xml:space="preserve"> </w:t>
            </w:r>
            <w:r>
              <w:rPr>
                <w:sz w:val="24"/>
              </w:rPr>
              <w:t>a</w:t>
            </w:r>
            <w:r>
              <w:rPr>
                <w:spacing w:val="-3"/>
                <w:sz w:val="24"/>
              </w:rPr>
              <w:t xml:space="preserve"> </w:t>
            </w:r>
            <w:r>
              <w:rPr>
                <w:sz w:val="24"/>
              </w:rPr>
              <w:t>lack</w:t>
            </w:r>
            <w:r>
              <w:rPr>
                <w:spacing w:val="-2"/>
                <w:sz w:val="24"/>
              </w:rPr>
              <w:t xml:space="preserve"> </w:t>
            </w:r>
            <w:r>
              <w:rPr>
                <w:sz w:val="24"/>
              </w:rPr>
              <w:t>of</w:t>
            </w:r>
            <w:r>
              <w:rPr>
                <w:spacing w:val="3"/>
                <w:sz w:val="24"/>
              </w:rPr>
              <w:t xml:space="preserve"> </w:t>
            </w:r>
            <w:r>
              <w:rPr>
                <w:sz w:val="24"/>
              </w:rPr>
              <w:t>money</w:t>
            </w:r>
            <w:r>
              <w:rPr>
                <w:spacing w:val="-1"/>
                <w:sz w:val="24"/>
              </w:rPr>
              <w:t xml:space="preserve"> </w:t>
            </w:r>
            <w:r>
              <w:rPr>
                <w:sz w:val="24"/>
              </w:rPr>
              <w:t>or</w:t>
            </w:r>
            <w:r>
              <w:rPr>
                <w:spacing w:val="-1"/>
                <w:sz w:val="24"/>
              </w:rPr>
              <w:t xml:space="preserve"> </w:t>
            </w:r>
            <w:r>
              <w:rPr>
                <w:spacing w:val="-2"/>
                <w:sz w:val="24"/>
              </w:rPr>
              <w:t>other</w:t>
            </w:r>
          </w:p>
        </w:tc>
      </w:tr>
    </w:tbl>
    <w:p w14:paraId="0AE504FF" w14:textId="77777777" w:rsidR="00F8679A" w:rsidRDefault="00F8679A" w:rsidP="00F8679A">
      <w:pPr>
        <w:pStyle w:val="BodyText"/>
        <w:tabs>
          <w:tab w:val="left" w:pos="3801"/>
          <w:tab w:val="left" w:pos="10604"/>
        </w:tabs>
        <w:ind w:left="905"/>
        <w:rPr>
          <w:u w:val="single"/>
        </w:rPr>
      </w:pPr>
      <w:r>
        <w:rPr>
          <w:u w:val="single"/>
        </w:rPr>
        <w:tab/>
      </w:r>
      <w:r>
        <w:rPr>
          <w:spacing w:val="-2"/>
          <w:u w:val="single"/>
        </w:rPr>
        <w:t>resources?</w:t>
      </w:r>
    </w:p>
    <w:p w14:paraId="0EFD53ED" w14:textId="77777777" w:rsidR="00F8679A" w:rsidRDefault="00F8679A" w:rsidP="00F8679A">
      <w:pPr>
        <w:pStyle w:val="BodyText"/>
        <w:tabs>
          <w:tab w:val="left" w:pos="3801"/>
          <w:tab w:val="left" w:pos="10604"/>
        </w:tabs>
        <w:ind w:left="905"/>
        <w:rPr>
          <w:u w:val="single"/>
        </w:rPr>
      </w:pPr>
    </w:p>
    <w:p w14:paraId="278961CC" w14:textId="77777777" w:rsidR="00F8679A" w:rsidRDefault="00F8679A" w:rsidP="00F8679A">
      <w:pPr>
        <w:jc w:val="both"/>
        <w:rPr>
          <w:rFonts w:ascii="Times New Roman" w:hAnsi="Times New Roman" w:cs="Times New Roman"/>
          <w:lang w:val="tr-TR"/>
        </w:rPr>
      </w:pPr>
      <w:r w:rsidRPr="001A118E">
        <w:rPr>
          <w:rFonts w:ascii="Times New Roman" w:hAnsi="Times New Roman" w:cs="Times New Roman"/>
          <w:lang w:val="tr-TR"/>
        </w:rPr>
        <w:t>Data collection was carried out at two main locations. The first site was ASEM (Immigrant Assistance and Solidarity Association), a non-governmental organization that primarily serves migrants of African origin. Between November 2022 and March 2023, face-to-face surveys were conducted with 89 participants at ASEM.</w:t>
      </w:r>
      <w:r>
        <w:rPr>
          <w:rFonts w:ascii="Times New Roman" w:hAnsi="Times New Roman" w:cs="Times New Roman"/>
          <w:lang w:val="tr-TR"/>
        </w:rPr>
        <w:t xml:space="preserve"> </w:t>
      </w:r>
      <w:r w:rsidRPr="001A118E">
        <w:rPr>
          <w:rFonts w:ascii="Times New Roman" w:hAnsi="Times New Roman" w:cs="Times New Roman"/>
          <w:lang w:val="tr-TR"/>
        </w:rPr>
        <w:t>The second site was St. Mary’s Armenian Church (Meryem Ana Ermeni Kilisesi) in Fatih, which serves as a gathering place for Ethiopian Orthodox migrants, particularly during Sunday worship services. Over ten consecutive Sundays, the researcher attended services and engaged with the congregation to recruit participants. During these visits, 19 participants were enrolled in the study. Mr. F__, a trusted member of the Ethiopian congregation and fluent in Turkish, supported the researcher by facilitating communication with potential participants and assisting in the recruitment and data collection process.</w:t>
      </w:r>
      <w:r>
        <w:rPr>
          <w:rFonts w:ascii="Times New Roman" w:hAnsi="Times New Roman" w:cs="Times New Roman"/>
          <w:lang w:val="tr-TR"/>
        </w:rPr>
        <w:t xml:space="preserve"> </w:t>
      </w:r>
      <w:r w:rsidRPr="001A118E">
        <w:rPr>
          <w:rFonts w:ascii="Times New Roman" w:hAnsi="Times New Roman" w:cs="Times New Roman"/>
          <w:lang w:val="tr-TR"/>
        </w:rPr>
        <w:t>Data collection at the church took place in the open garden area between December 2022 and March 2023, through face-to-face administration of the survey. As a token of appreciation, each participant received a 50 TL Migros gift card.</w:t>
      </w:r>
      <w:r>
        <w:rPr>
          <w:rFonts w:ascii="Times New Roman" w:hAnsi="Times New Roman" w:cs="Times New Roman"/>
          <w:lang w:val="tr-TR"/>
        </w:rPr>
        <w:t xml:space="preserve"> </w:t>
      </w:r>
      <w:r w:rsidRPr="001A118E">
        <w:rPr>
          <w:rFonts w:ascii="Times New Roman" w:hAnsi="Times New Roman" w:cs="Times New Roman"/>
          <w:lang w:val="tr-TR"/>
        </w:rPr>
        <w:t>Through the combined efforts at ASEM and St. Mary’s Armenian Church, the researcher engaged with approximately 300 Sub-Saharan African migrants and successfully conducted surveys with 108 participants.</w:t>
      </w:r>
    </w:p>
    <w:p w14:paraId="5C799983" w14:textId="745D88F1" w:rsidR="00F8679A" w:rsidRPr="003609B3" w:rsidRDefault="000A06BC" w:rsidP="00F8679A">
      <w:pPr>
        <w:jc w:val="both"/>
        <w:rPr>
          <w:rFonts w:ascii="Times New Roman" w:hAnsi="Times New Roman" w:cs="Times New Roman"/>
        </w:rPr>
      </w:pPr>
      <w:r w:rsidRPr="000A06BC">
        <w:rPr>
          <w:rFonts w:ascii="Times New Roman" w:hAnsi="Times New Roman" w:cs="Times New Roman"/>
        </w:rPr>
        <w:lastRenderedPageBreak/>
        <w:t xml:space="preserve">Descriptive statistics were first examined to characterize the sociodemographic, </w:t>
      </w:r>
      <w:r w:rsidR="002A43BE">
        <w:rPr>
          <w:rFonts w:ascii="Times New Roman" w:hAnsi="Times New Roman" w:cs="Times New Roman"/>
        </w:rPr>
        <w:t xml:space="preserve">socioeconomic, </w:t>
      </w:r>
      <w:r w:rsidRPr="000A06BC">
        <w:rPr>
          <w:rFonts w:ascii="Times New Roman" w:hAnsi="Times New Roman" w:cs="Times New Roman"/>
        </w:rPr>
        <w:t xml:space="preserve">migration-related, and health profiles of the study sample and to provide essential contextual information for interpreting subsequent measurement results. Tables 1B–3B </w:t>
      </w:r>
      <w:r>
        <w:rPr>
          <w:rFonts w:ascii="Times New Roman" w:hAnsi="Times New Roman" w:cs="Times New Roman"/>
        </w:rPr>
        <w:t xml:space="preserve">in Appendix </w:t>
      </w:r>
      <w:r w:rsidR="00BC1964">
        <w:rPr>
          <w:rFonts w:ascii="Times New Roman" w:hAnsi="Times New Roman" w:cs="Times New Roman"/>
        </w:rPr>
        <w:t>B</w:t>
      </w:r>
      <w:r>
        <w:rPr>
          <w:rFonts w:ascii="Times New Roman" w:hAnsi="Times New Roman" w:cs="Times New Roman"/>
        </w:rPr>
        <w:t xml:space="preserve"> </w:t>
      </w:r>
      <w:r w:rsidRPr="000A06BC">
        <w:rPr>
          <w:rFonts w:ascii="Times New Roman" w:hAnsi="Times New Roman" w:cs="Times New Roman"/>
        </w:rPr>
        <w:t xml:space="preserve">summarize participants’ </w:t>
      </w:r>
      <w:r w:rsidR="00534895">
        <w:rPr>
          <w:rFonts w:ascii="Times New Roman" w:hAnsi="Times New Roman" w:cs="Times New Roman"/>
        </w:rPr>
        <w:t xml:space="preserve">sociodemographic and </w:t>
      </w:r>
      <w:r w:rsidRPr="000A06BC">
        <w:rPr>
          <w:rFonts w:ascii="Times New Roman" w:hAnsi="Times New Roman" w:cs="Times New Roman"/>
        </w:rPr>
        <w:t>socioeconomic characteristics, migration histories and living arrangements, and self-reported health status and healthcare access. These descriptive analyses were not intended for hypothesis testing or causal inference but served to document sample composition, highlight patterns of economic precarity and structural vulnerability, and inform the interpretation of food insecurity measurement. The Rasch analysis of the Food Insecurity Experience Scale (FIES), which constitutes the primary quantitative analytical component of the study, is presented following these descriptive summaries.</w:t>
      </w:r>
      <w:r>
        <w:rPr>
          <w:rFonts w:ascii="Times New Roman" w:hAnsi="Times New Roman" w:cs="Times New Roman"/>
        </w:rPr>
        <w:t xml:space="preserve"> T</w:t>
      </w:r>
      <w:r w:rsidR="00F8679A" w:rsidRPr="003609B3">
        <w:rPr>
          <w:rFonts w:ascii="Times New Roman" w:hAnsi="Times New Roman" w:cs="Times New Roman"/>
        </w:rPr>
        <w:t>he Food Insecurity Experience Scale (FIES) instrument was analyzed using Rasch modeling, following FAO’s recommended methodology. The Rasch model was applied to assess the internal consistency of the eight-item FIES module, estimate item severities, and ensure the comparability of results with the global reference scale. Equating procedures were then used to calculate the prevalence of moderate or severe and severe food insecurity among participants.</w:t>
      </w:r>
    </w:p>
    <w:p w14:paraId="40031E97" w14:textId="77777777" w:rsidR="00F8679A" w:rsidRDefault="00F8679A" w:rsidP="00F8679A">
      <w:pPr>
        <w:jc w:val="both"/>
        <w:rPr>
          <w:rFonts w:ascii="Times New Roman" w:hAnsi="Times New Roman" w:cs="Times New Roman"/>
        </w:rPr>
      </w:pPr>
      <w:r w:rsidRPr="00357149">
        <w:rPr>
          <w:rFonts w:ascii="Times New Roman" w:hAnsi="Times New Roman" w:cs="Times New Roman"/>
        </w:rPr>
        <w:t xml:space="preserve">Rasch modeling, a psychometric approach rooted in the Item Response Theory framework, is widely applied for the analysis and validation of survey </w:t>
      </w:r>
      <w:r w:rsidRPr="008C5C0C">
        <w:rPr>
          <w:rFonts w:ascii="Times New Roman" w:hAnsi="Times New Roman" w:cs="Times New Roman"/>
        </w:rPr>
        <w:t xml:space="preserve">instruments (Boone, 2016; </w:t>
      </w:r>
      <w:proofErr w:type="spellStart"/>
      <w:r>
        <w:rPr>
          <w:rFonts w:ascii="Times New Roman" w:hAnsi="Times New Roman" w:cs="Times New Roman"/>
        </w:rPr>
        <w:t>Wambogo</w:t>
      </w:r>
      <w:proofErr w:type="spellEnd"/>
      <w:r>
        <w:rPr>
          <w:rFonts w:ascii="Times New Roman" w:hAnsi="Times New Roman" w:cs="Times New Roman"/>
        </w:rPr>
        <w:t xml:space="preserve"> et al.</w:t>
      </w:r>
      <w:r w:rsidRPr="008C5C0C">
        <w:rPr>
          <w:rFonts w:ascii="Times New Roman" w:hAnsi="Times New Roman" w:cs="Times New Roman"/>
        </w:rPr>
        <w:t xml:space="preserve">, 2018). Among the various statistical techniques available for scale development, Rasch analysis is particularly useful for assessing the performance </w:t>
      </w:r>
      <w:r w:rsidRPr="00357149">
        <w:rPr>
          <w:rFonts w:ascii="Times New Roman" w:hAnsi="Times New Roman" w:cs="Times New Roman"/>
        </w:rPr>
        <w:t>and measurement properties of individual items (Gordon, 2015). In this study, responses were examined using Rasch modeling—a probabilistic method that jointly estimates both person and item parameters on a common latent continuum, thereby determining the probability of an affirmative response to each item (</w:t>
      </w:r>
      <w:r>
        <w:rPr>
          <w:rFonts w:ascii="Times New Roman" w:hAnsi="Times New Roman" w:cs="Times New Roman"/>
        </w:rPr>
        <w:t>Food and Agriculture Organization (</w:t>
      </w:r>
      <w:r w:rsidRPr="00CD06C3">
        <w:rPr>
          <w:rFonts w:ascii="Times New Roman" w:hAnsi="Times New Roman" w:cs="Times New Roman"/>
        </w:rPr>
        <w:t>FAO</w:t>
      </w:r>
      <w:r>
        <w:rPr>
          <w:rFonts w:ascii="Times New Roman" w:hAnsi="Times New Roman" w:cs="Times New Roman"/>
        </w:rPr>
        <w:t>)</w:t>
      </w:r>
      <w:r w:rsidRPr="00357149">
        <w:rPr>
          <w:rFonts w:ascii="Times New Roman" w:hAnsi="Times New Roman" w:cs="Times New Roman"/>
        </w:rPr>
        <w:t>, 2016; Boone, 2016; Curtin et al., 2016</w:t>
      </w:r>
      <w:r>
        <w:rPr>
          <w:rFonts w:ascii="Times New Roman" w:hAnsi="Times New Roman" w:cs="Times New Roman"/>
        </w:rPr>
        <w:t xml:space="preserve">; </w:t>
      </w:r>
      <w:proofErr w:type="spellStart"/>
      <w:r>
        <w:rPr>
          <w:rFonts w:ascii="Times New Roman" w:hAnsi="Times New Roman" w:cs="Times New Roman"/>
        </w:rPr>
        <w:t>Wambogo</w:t>
      </w:r>
      <w:proofErr w:type="spellEnd"/>
      <w:r>
        <w:rPr>
          <w:rFonts w:ascii="Times New Roman" w:hAnsi="Times New Roman" w:cs="Times New Roman"/>
        </w:rPr>
        <w:t xml:space="preserve"> et al.</w:t>
      </w:r>
      <w:r w:rsidRPr="008C5C0C">
        <w:rPr>
          <w:rFonts w:ascii="Times New Roman" w:hAnsi="Times New Roman" w:cs="Times New Roman"/>
        </w:rPr>
        <w:t>, 2018</w:t>
      </w:r>
      <w:r w:rsidRPr="00357149">
        <w:rPr>
          <w:rFonts w:ascii="Times New Roman" w:hAnsi="Times New Roman" w:cs="Times New Roman"/>
        </w:rPr>
        <w:t>). This analytical approach allows for the comparability and generalization of results across samples and items. Within the Rasch framework, the probability of endorsing an item follows a logistic function based on the difference between a respondent’s latent trait (i.e., level of food insecurity) and the item’s difficulty parameter. Consequently, individuals with lower latent trait levels have a lower probability of affirming more difficult items (</w:t>
      </w:r>
      <w:r>
        <w:rPr>
          <w:rFonts w:ascii="Times New Roman" w:hAnsi="Times New Roman" w:cs="Times New Roman"/>
        </w:rPr>
        <w:t>Food and Agriculture Organization (</w:t>
      </w:r>
      <w:r w:rsidRPr="00CD06C3">
        <w:rPr>
          <w:rFonts w:ascii="Times New Roman" w:hAnsi="Times New Roman" w:cs="Times New Roman"/>
        </w:rPr>
        <w:t>FAO</w:t>
      </w:r>
      <w:r>
        <w:rPr>
          <w:rFonts w:ascii="Times New Roman" w:hAnsi="Times New Roman" w:cs="Times New Roman"/>
        </w:rPr>
        <w:t>)</w:t>
      </w:r>
      <w:r w:rsidRPr="00357149">
        <w:rPr>
          <w:rFonts w:ascii="Times New Roman" w:hAnsi="Times New Roman" w:cs="Times New Roman"/>
        </w:rPr>
        <w:t>, 2016; Boone, 2016; Agarwal et al., 2009; Nord, 2014; Nord, 2003</w:t>
      </w:r>
      <w:r>
        <w:rPr>
          <w:rFonts w:ascii="Times New Roman" w:hAnsi="Times New Roman" w:cs="Times New Roman"/>
        </w:rPr>
        <w:t xml:space="preserve">; </w:t>
      </w:r>
      <w:proofErr w:type="spellStart"/>
      <w:r>
        <w:rPr>
          <w:rFonts w:ascii="Times New Roman" w:hAnsi="Times New Roman" w:cs="Times New Roman"/>
        </w:rPr>
        <w:t>Wambogo</w:t>
      </w:r>
      <w:proofErr w:type="spellEnd"/>
      <w:r>
        <w:rPr>
          <w:rFonts w:ascii="Times New Roman" w:hAnsi="Times New Roman" w:cs="Times New Roman"/>
        </w:rPr>
        <w:t xml:space="preserve"> et al.</w:t>
      </w:r>
      <w:r w:rsidRPr="008C5C0C">
        <w:rPr>
          <w:rFonts w:ascii="Times New Roman" w:hAnsi="Times New Roman" w:cs="Times New Roman"/>
        </w:rPr>
        <w:t>, 2018</w:t>
      </w:r>
      <w:r w:rsidRPr="00357149">
        <w:rPr>
          <w:rFonts w:ascii="Times New Roman" w:hAnsi="Times New Roman" w:cs="Times New Roman"/>
        </w:rPr>
        <w:t>). Applying this method enabled the estimation of individual food insecurity severity and the calculation of prevalence rates for moderate and severe food insecurity, consistent with FAO analytical standards (</w:t>
      </w:r>
      <w:r>
        <w:rPr>
          <w:rFonts w:ascii="Times New Roman" w:hAnsi="Times New Roman" w:cs="Times New Roman"/>
        </w:rPr>
        <w:t>Food and Agriculture Organization (</w:t>
      </w:r>
      <w:r w:rsidRPr="00CD06C3">
        <w:rPr>
          <w:rFonts w:ascii="Times New Roman" w:hAnsi="Times New Roman" w:cs="Times New Roman"/>
        </w:rPr>
        <w:t>FAO</w:t>
      </w:r>
      <w:r>
        <w:rPr>
          <w:rFonts w:ascii="Times New Roman" w:hAnsi="Times New Roman" w:cs="Times New Roman"/>
        </w:rPr>
        <w:t>)</w:t>
      </w:r>
      <w:r w:rsidRPr="00357149">
        <w:rPr>
          <w:rFonts w:ascii="Times New Roman" w:hAnsi="Times New Roman" w:cs="Times New Roman"/>
        </w:rPr>
        <w:t>, 2016). Respondents not classified as moderate or severe were accordingly categorized as experiencing no or only mild food insecurity, representing the residual share after accounting for higher-severity cases. The analysis was conducted using the Food Insecurity Experience Scale (FIES) Data Analysis Software (</w:t>
      </w:r>
      <w:r>
        <w:rPr>
          <w:rFonts w:ascii="Times New Roman" w:hAnsi="Times New Roman" w:cs="Times New Roman"/>
        </w:rPr>
        <w:t>Food and Agriculture Organization (</w:t>
      </w:r>
      <w:r w:rsidRPr="00CD06C3">
        <w:rPr>
          <w:rFonts w:ascii="Times New Roman" w:hAnsi="Times New Roman" w:cs="Times New Roman"/>
        </w:rPr>
        <w:t>FAO</w:t>
      </w:r>
      <w:r>
        <w:rPr>
          <w:rFonts w:ascii="Times New Roman" w:hAnsi="Times New Roman" w:cs="Times New Roman"/>
        </w:rPr>
        <w:t>)</w:t>
      </w:r>
      <w:r w:rsidRPr="00357149">
        <w:rPr>
          <w:rFonts w:ascii="Times New Roman" w:hAnsi="Times New Roman" w:cs="Times New Roman"/>
        </w:rPr>
        <w:t>, 2017), which converts raw FIES scores into a globally comparable food insecurity metric. To assess the model’s internal reliability and discriminatory power, a Rasch reliability test was performed, where values of 0.70 or above were interpreted as evidence of satisfactory model fit (</w:t>
      </w:r>
      <w:r>
        <w:rPr>
          <w:rFonts w:ascii="Times New Roman" w:hAnsi="Times New Roman" w:cs="Times New Roman"/>
        </w:rPr>
        <w:t>Food and Agriculture Organization (</w:t>
      </w:r>
      <w:r w:rsidRPr="00CD06C3">
        <w:rPr>
          <w:rFonts w:ascii="Times New Roman" w:hAnsi="Times New Roman" w:cs="Times New Roman"/>
        </w:rPr>
        <w:t>FAO</w:t>
      </w:r>
      <w:r>
        <w:rPr>
          <w:rFonts w:ascii="Times New Roman" w:hAnsi="Times New Roman" w:cs="Times New Roman"/>
        </w:rPr>
        <w:t>)</w:t>
      </w:r>
      <w:r w:rsidRPr="00357149">
        <w:rPr>
          <w:rFonts w:ascii="Times New Roman" w:hAnsi="Times New Roman" w:cs="Times New Roman"/>
        </w:rPr>
        <w:t>, 2016; Nord et al., 2016; Agarwal et al., 2009</w:t>
      </w:r>
      <w:r>
        <w:rPr>
          <w:rFonts w:ascii="Times New Roman" w:hAnsi="Times New Roman" w:cs="Times New Roman"/>
        </w:rPr>
        <w:t xml:space="preserve">; </w:t>
      </w:r>
      <w:proofErr w:type="spellStart"/>
      <w:r>
        <w:rPr>
          <w:rFonts w:ascii="Times New Roman" w:hAnsi="Times New Roman" w:cs="Times New Roman"/>
        </w:rPr>
        <w:t>Wambogo</w:t>
      </w:r>
      <w:proofErr w:type="spellEnd"/>
      <w:r>
        <w:rPr>
          <w:rFonts w:ascii="Times New Roman" w:hAnsi="Times New Roman" w:cs="Times New Roman"/>
        </w:rPr>
        <w:t xml:space="preserve"> et al.</w:t>
      </w:r>
      <w:r w:rsidRPr="008C5C0C">
        <w:rPr>
          <w:rFonts w:ascii="Times New Roman" w:hAnsi="Times New Roman" w:cs="Times New Roman"/>
        </w:rPr>
        <w:t>, 2018</w:t>
      </w:r>
      <w:r w:rsidRPr="00357149">
        <w:rPr>
          <w:rFonts w:ascii="Times New Roman" w:hAnsi="Times New Roman" w:cs="Times New Roman"/>
        </w:rPr>
        <w:t>).</w:t>
      </w:r>
    </w:p>
    <w:p w14:paraId="52B96530" w14:textId="1F64C470" w:rsidR="00F8679A" w:rsidRPr="00AB39B0" w:rsidRDefault="00F8679A" w:rsidP="00F8679A">
      <w:pPr>
        <w:jc w:val="both"/>
        <w:rPr>
          <w:rFonts w:ascii="Times New Roman" w:hAnsi="Times New Roman" w:cs="Times New Roman"/>
        </w:rPr>
      </w:pPr>
      <w:r w:rsidRPr="00AB39B0">
        <w:rPr>
          <w:rFonts w:ascii="Times New Roman" w:hAnsi="Times New Roman" w:cs="Times New Roman"/>
        </w:rPr>
        <w:lastRenderedPageBreak/>
        <w:t xml:space="preserve">Rasch modeling also generates </w:t>
      </w:r>
      <w:r w:rsidRPr="00AB39B0">
        <w:rPr>
          <w:rFonts w:ascii="Times New Roman" w:hAnsi="Times New Roman" w:cs="Times New Roman"/>
          <w:i/>
          <w:iCs/>
        </w:rPr>
        <w:t>infit</w:t>
      </w:r>
      <w:r w:rsidRPr="00AB39B0">
        <w:rPr>
          <w:rFonts w:ascii="Times New Roman" w:hAnsi="Times New Roman" w:cs="Times New Roman"/>
        </w:rPr>
        <w:t xml:space="preserve"> and </w:t>
      </w:r>
      <w:r w:rsidRPr="00AB39B0">
        <w:rPr>
          <w:rFonts w:ascii="Times New Roman" w:hAnsi="Times New Roman" w:cs="Times New Roman"/>
          <w:i/>
          <w:iCs/>
        </w:rPr>
        <w:t>outfit</w:t>
      </w:r>
      <w:r w:rsidRPr="00AB39B0">
        <w:rPr>
          <w:rFonts w:ascii="Times New Roman" w:hAnsi="Times New Roman" w:cs="Times New Roman"/>
        </w:rPr>
        <w:t xml:space="preserve"> statistics to evaluate the fit of individual items within the scale. These chi-square–type indicators compare observed versus expected response patterns to detect items that may not align well with model expectations (Nord, 2014; Nord, 2003</w:t>
      </w:r>
      <w:r>
        <w:rPr>
          <w:rFonts w:ascii="Times New Roman" w:hAnsi="Times New Roman" w:cs="Times New Roman"/>
        </w:rPr>
        <w:t xml:space="preserve">; </w:t>
      </w:r>
      <w:proofErr w:type="spellStart"/>
      <w:r>
        <w:rPr>
          <w:rFonts w:ascii="Times New Roman" w:hAnsi="Times New Roman" w:cs="Times New Roman"/>
        </w:rPr>
        <w:t>Wambogo</w:t>
      </w:r>
      <w:proofErr w:type="spellEnd"/>
      <w:r>
        <w:rPr>
          <w:rFonts w:ascii="Times New Roman" w:hAnsi="Times New Roman" w:cs="Times New Roman"/>
        </w:rPr>
        <w:t xml:space="preserve"> et al.</w:t>
      </w:r>
      <w:r w:rsidRPr="008C5C0C">
        <w:rPr>
          <w:rFonts w:ascii="Times New Roman" w:hAnsi="Times New Roman" w:cs="Times New Roman"/>
        </w:rPr>
        <w:t>, 2018</w:t>
      </w:r>
      <w:r w:rsidRPr="00AB39B0">
        <w:rPr>
          <w:rFonts w:ascii="Times New Roman" w:hAnsi="Times New Roman" w:cs="Times New Roman"/>
        </w:rPr>
        <w:t>). Such indices are essential for assessing how effectively each item functions within the instrument and for identifying those that may require further examination. In the present study, infit statistics were primarily used to assess the assumption of equal item discrimination, while outfit statistics were examined to identify items exhibiting unusually erratic response patterns (</w:t>
      </w:r>
      <w:r>
        <w:rPr>
          <w:rFonts w:ascii="Times New Roman" w:hAnsi="Times New Roman" w:cs="Times New Roman"/>
        </w:rPr>
        <w:t>Food and Agriculture Organization (</w:t>
      </w:r>
      <w:r w:rsidRPr="00CD06C3">
        <w:rPr>
          <w:rFonts w:ascii="Times New Roman" w:hAnsi="Times New Roman" w:cs="Times New Roman"/>
        </w:rPr>
        <w:t>FAO</w:t>
      </w:r>
      <w:r>
        <w:rPr>
          <w:rFonts w:ascii="Times New Roman" w:hAnsi="Times New Roman" w:cs="Times New Roman"/>
        </w:rPr>
        <w:t>)</w:t>
      </w:r>
      <w:r w:rsidRPr="00AB39B0">
        <w:rPr>
          <w:rFonts w:ascii="Times New Roman" w:hAnsi="Times New Roman" w:cs="Times New Roman"/>
        </w:rPr>
        <w:t>, 2016). Ideally, both fit statistics should approximate 1.0, with values between 0.7 and 1.3 typically regarded as acceptable indicators of adequate fit; values exceeding this range suggest weaker discrimination (Sahyoun et al., 2014</w:t>
      </w:r>
      <w:r>
        <w:rPr>
          <w:rFonts w:ascii="Times New Roman" w:hAnsi="Times New Roman" w:cs="Times New Roman"/>
        </w:rPr>
        <w:t xml:space="preserve">; </w:t>
      </w:r>
      <w:proofErr w:type="spellStart"/>
      <w:r>
        <w:rPr>
          <w:rFonts w:ascii="Times New Roman" w:hAnsi="Times New Roman" w:cs="Times New Roman"/>
        </w:rPr>
        <w:t>Wambogo</w:t>
      </w:r>
      <w:proofErr w:type="spellEnd"/>
      <w:r>
        <w:rPr>
          <w:rFonts w:ascii="Times New Roman" w:hAnsi="Times New Roman" w:cs="Times New Roman"/>
        </w:rPr>
        <w:t xml:space="preserve"> et al.</w:t>
      </w:r>
      <w:r w:rsidRPr="008C5C0C">
        <w:rPr>
          <w:rFonts w:ascii="Times New Roman" w:hAnsi="Times New Roman" w:cs="Times New Roman"/>
        </w:rPr>
        <w:t>, 2018</w:t>
      </w:r>
      <w:r w:rsidRPr="00AB39B0">
        <w:rPr>
          <w:rFonts w:ascii="Times New Roman" w:hAnsi="Times New Roman" w:cs="Times New Roman"/>
        </w:rPr>
        <w:t>). Because elevated outfit values can result from a few random or atypical responses, they should be interpreted cautiously when considering item misfit (Nord, 2014). As long as infit values remain within the acceptable range, high outfit values alone are generally not sufficient grounds for item removal (Agarwal et al., 2009</w:t>
      </w:r>
      <w:r>
        <w:rPr>
          <w:rFonts w:ascii="Times New Roman" w:hAnsi="Times New Roman" w:cs="Times New Roman"/>
        </w:rPr>
        <w:t xml:space="preserve">; </w:t>
      </w:r>
      <w:proofErr w:type="spellStart"/>
      <w:r>
        <w:rPr>
          <w:rFonts w:ascii="Times New Roman" w:hAnsi="Times New Roman" w:cs="Times New Roman"/>
        </w:rPr>
        <w:t>Wambogo</w:t>
      </w:r>
      <w:proofErr w:type="spellEnd"/>
      <w:r>
        <w:rPr>
          <w:rFonts w:ascii="Times New Roman" w:hAnsi="Times New Roman" w:cs="Times New Roman"/>
        </w:rPr>
        <w:t xml:space="preserve"> et al.</w:t>
      </w:r>
      <w:r w:rsidRPr="008C5C0C">
        <w:rPr>
          <w:rFonts w:ascii="Times New Roman" w:hAnsi="Times New Roman" w:cs="Times New Roman"/>
        </w:rPr>
        <w:t>, 2018</w:t>
      </w:r>
      <w:r w:rsidRPr="00AB39B0">
        <w:rPr>
          <w:rFonts w:ascii="Times New Roman" w:hAnsi="Times New Roman" w:cs="Times New Roman"/>
        </w:rPr>
        <w:t>), whereas notably low infit values may indicate redundancy among items (</w:t>
      </w:r>
      <w:r>
        <w:rPr>
          <w:rFonts w:ascii="Times New Roman" w:hAnsi="Times New Roman" w:cs="Times New Roman"/>
        </w:rPr>
        <w:t>Food and Agriculture Organization (</w:t>
      </w:r>
      <w:r w:rsidRPr="00CD06C3">
        <w:rPr>
          <w:rFonts w:ascii="Times New Roman" w:hAnsi="Times New Roman" w:cs="Times New Roman"/>
        </w:rPr>
        <w:t>FAO</w:t>
      </w:r>
      <w:r>
        <w:rPr>
          <w:rFonts w:ascii="Times New Roman" w:hAnsi="Times New Roman" w:cs="Times New Roman"/>
        </w:rPr>
        <w:t>)</w:t>
      </w:r>
      <w:r w:rsidRPr="00AB39B0">
        <w:rPr>
          <w:rFonts w:ascii="Times New Roman" w:hAnsi="Times New Roman" w:cs="Times New Roman"/>
        </w:rPr>
        <w:t xml:space="preserve">, 2016; Kilanowski </w:t>
      </w:r>
      <w:r w:rsidR="00B277CD">
        <w:rPr>
          <w:rFonts w:ascii="Times New Roman" w:hAnsi="Times New Roman" w:cs="Times New Roman"/>
        </w:rPr>
        <w:t>&amp;</w:t>
      </w:r>
      <w:r w:rsidRPr="00AB39B0">
        <w:rPr>
          <w:rFonts w:ascii="Times New Roman" w:hAnsi="Times New Roman" w:cs="Times New Roman"/>
        </w:rPr>
        <w:t xml:space="preserve"> Lin, 2012).</w:t>
      </w:r>
    </w:p>
    <w:p w14:paraId="2D6BD694" w14:textId="77777777" w:rsidR="00F8679A" w:rsidRDefault="00F8679A" w:rsidP="00F8679A">
      <w:pPr>
        <w:jc w:val="both"/>
        <w:rPr>
          <w:rFonts w:ascii="Times New Roman" w:hAnsi="Times New Roman" w:cs="Times New Roman"/>
        </w:rPr>
      </w:pPr>
      <w:r w:rsidRPr="00AB39B0">
        <w:rPr>
          <w:rFonts w:ascii="Times New Roman" w:hAnsi="Times New Roman" w:cs="Times New Roman"/>
        </w:rPr>
        <w:t>To further assess model assumptions, conditional independence and dimensionality were examined through the analysis of item residual correlations. Residual correlations equal to or greater than 0.40 between any two items indicate potential item dependence, suggesting that responses are not independent of one another. Moderate correlations, ranging from 0.25 to below 0.40, among clusters of three or four items may reflect emerging multidimensionality—an unintended deviation from the unidimensional nature of the FIES construct (Gordon, 2015; Curtin et al., 2016; Schutte et al., 2016</w:t>
      </w:r>
      <w:r>
        <w:rPr>
          <w:rFonts w:ascii="Times New Roman" w:hAnsi="Times New Roman" w:cs="Times New Roman"/>
        </w:rPr>
        <w:t xml:space="preserve">; </w:t>
      </w:r>
      <w:proofErr w:type="spellStart"/>
      <w:r>
        <w:rPr>
          <w:rFonts w:ascii="Times New Roman" w:hAnsi="Times New Roman" w:cs="Times New Roman"/>
        </w:rPr>
        <w:t>Wambogo</w:t>
      </w:r>
      <w:proofErr w:type="spellEnd"/>
      <w:r>
        <w:rPr>
          <w:rFonts w:ascii="Times New Roman" w:hAnsi="Times New Roman" w:cs="Times New Roman"/>
        </w:rPr>
        <w:t xml:space="preserve"> et al.</w:t>
      </w:r>
      <w:r w:rsidRPr="008C5C0C">
        <w:rPr>
          <w:rFonts w:ascii="Times New Roman" w:hAnsi="Times New Roman" w:cs="Times New Roman"/>
        </w:rPr>
        <w:t>, 2018</w:t>
      </w:r>
      <w:r w:rsidRPr="00AB39B0">
        <w:rPr>
          <w:rFonts w:ascii="Times New Roman" w:hAnsi="Times New Roman" w:cs="Times New Roman"/>
        </w:rPr>
        <w:t>).</w:t>
      </w:r>
    </w:p>
    <w:p w14:paraId="1D13B413" w14:textId="77777777" w:rsidR="00F8679A" w:rsidRPr="003F3997" w:rsidRDefault="00F8679A" w:rsidP="00F8679A">
      <w:pPr>
        <w:jc w:val="both"/>
        <w:rPr>
          <w:rFonts w:ascii="Times New Roman" w:hAnsi="Times New Roman" w:cs="Times New Roman"/>
          <w:lang w:val="tr-TR"/>
        </w:rPr>
      </w:pPr>
      <w:r w:rsidRPr="003F3997">
        <w:rPr>
          <w:rFonts w:ascii="Times New Roman" w:hAnsi="Times New Roman" w:cs="Times New Roman"/>
          <w:lang w:val="tr-TR"/>
        </w:rPr>
        <w:t xml:space="preserve">The Food Insecurity Experience Scale (FIES) ensures cross-country comparability by calibrating local survey data against a global reference scale. For the Sub-Saharan African migrants in Istanbul, one key FIES output was the </w:t>
      </w:r>
      <w:r w:rsidRPr="003F3997">
        <w:rPr>
          <w:rFonts w:ascii="Times New Roman" w:hAnsi="Times New Roman" w:cs="Times New Roman"/>
          <w:i/>
          <w:iCs/>
          <w:lang w:val="tr-TR"/>
        </w:rPr>
        <w:t>absolute difference</w:t>
      </w:r>
      <w:r w:rsidRPr="003F3997">
        <w:rPr>
          <w:rFonts w:ascii="Times New Roman" w:hAnsi="Times New Roman" w:cs="Times New Roman"/>
          <w:lang w:val="tr-TR"/>
        </w:rPr>
        <w:t xml:space="preserve"> between item severity estimates in Turkey and the global standard.</w:t>
      </w:r>
      <w:r>
        <w:rPr>
          <w:rFonts w:ascii="Times New Roman" w:hAnsi="Times New Roman" w:cs="Times New Roman"/>
          <w:lang w:val="tr-TR"/>
        </w:rPr>
        <w:t xml:space="preserve"> </w:t>
      </w:r>
      <w:r w:rsidRPr="003F3997">
        <w:rPr>
          <w:rFonts w:ascii="Times New Roman" w:hAnsi="Times New Roman" w:cs="Times New Roman"/>
          <w:lang w:val="tr-TR"/>
        </w:rPr>
        <w:t>These differences, measured in logits, show how respondents interpret and respond to food insecurity relative to the global reference. Positive values mean items were affirmed only at more severe levels, while negative values mean they were affirmed earlier, at milder levels. Larger gaps (≥1 logit) suggest cultural, contextual, or translation effects on item interpretation</w:t>
      </w:r>
      <w:r>
        <w:rPr>
          <w:rFonts w:ascii="Times New Roman" w:hAnsi="Times New Roman" w:cs="Times New Roman"/>
          <w:lang w:val="tr-TR"/>
        </w:rPr>
        <w:t xml:space="preserve"> (</w:t>
      </w:r>
      <w:r>
        <w:rPr>
          <w:rFonts w:ascii="Times New Roman" w:hAnsi="Times New Roman" w:cs="Times New Roman"/>
        </w:rPr>
        <w:t>Food and Agriculture Organization (</w:t>
      </w:r>
      <w:r w:rsidRPr="00CD06C3">
        <w:rPr>
          <w:rFonts w:ascii="Times New Roman" w:hAnsi="Times New Roman" w:cs="Times New Roman"/>
        </w:rPr>
        <w:t>FAO</w:t>
      </w:r>
      <w:r>
        <w:rPr>
          <w:rFonts w:ascii="Times New Roman" w:hAnsi="Times New Roman" w:cs="Times New Roman"/>
        </w:rPr>
        <w:t>)</w:t>
      </w:r>
      <w:r w:rsidRPr="00AB39B0">
        <w:rPr>
          <w:rFonts w:ascii="Times New Roman" w:hAnsi="Times New Roman" w:cs="Times New Roman"/>
        </w:rPr>
        <w:t>, 2016</w:t>
      </w:r>
      <w:r>
        <w:rPr>
          <w:rFonts w:ascii="Times New Roman" w:hAnsi="Times New Roman" w:cs="Times New Roman"/>
        </w:rPr>
        <w:t>; Food and Agriculture Organization (</w:t>
      </w:r>
      <w:r w:rsidRPr="00CD06C3">
        <w:rPr>
          <w:rFonts w:ascii="Times New Roman" w:hAnsi="Times New Roman" w:cs="Times New Roman"/>
        </w:rPr>
        <w:t>FAO</w:t>
      </w:r>
      <w:r>
        <w:rPr>
          <w:rFonts w:ascii="Times New Roman" w:hAnsi="Times New Roman" w:cs="Times New Roman"/>
        </w:rPr>
        <w:t>)</w:t>
      </w:r>
      <w:r w:rsidRPr="00AB39B0">
        <w:rPr>
          <w:rFonts w:ascii="Times New Roman" w:hAnsi="Times New Roman" w:cs="Times New Roman"/>
        </w:rPr>
        <w:t>, 201</w:t>
      </w:r>
      <w:r>
        <w:rPr>
          <w:rFonts w:ascii="Times New Roman" w:hAnsi="Times New Roman" w:cs="Times New Roman"/>
        </w:rPr>
        <w:t>7)</w:t>
      </w:r>
      <w:r w:rsidRPr="003F3997">
        <w:rPr>
          <w:rFonts w:ascii="Times New Roman" w:hAnsi="Times New Roman" w:cs="Times New Roman"/>
          <w:lang w:val="tr-TR"/>
        </w:rPr>
        <w:t>.</w:t>
      </w:r>
    </w:p>
    <w:p w14:paraId="17EFFB3F" w14:textId="651D3619" w:rsidR="00F8679A" w:rsidRDefault="00F8679A" w:rsidP="00F8679A">
      <w:pPr>
        <w:jc w:val="both"/>
        <w:rPr>
          <w:rFonts w:ascii="Times New Roman" w:hAnsi="Times New Roman" w:cs="Times New Roman"/>
        </w:rPr>
      </w:pPr>
      <w:r w:rsidRPr="00605DB0">
        <w:rPr>
          <w:rFonts w:ascii="Times New Roman" w:hAnsi="Times New Roman" w:cs="Times New Roman"/>
        </w:rPr>
        <w:t>Due to incomplete responses, 19 participants were excluded from the Food Insecurity Experience Scale (FIES) analysis. Consequently, the analysis was conducted on a sample of 89 individuals</w:t>
      </w:r>
      <w:r>
        <w:rPr>
          <w:rFonts w:ascii="Times New Roman" w:hAnsi="Times New Roman" w:cs="Times New Roman"/>
        </w:rPr>
        <w:t>.</w:t>
      </w:r>
      <w:r w:rsidR="00E01324">
        <w:rPr>
          <w:rFonts w:ascii="Times New Roman" w:hAnsi="Times New Roman" w:cs="Times New Roman"/>
        </w:rPr>
        <w:t xml:space="preserve"> </w:t>
      </w:r>
      <w:r w:rsidR="00E01324" w:rsidRPr="00E01324">
        <w:rPr>
          <w:rFonts w:ascii="Times New Roman" w:hAnsi="Times New Roman" w:cs="Times New Roman"/>
        </w:rPr>
        <w:t xml:space="preserve">The exclusion of 19 participants from the Food Insecurity Experience Scale (FIES) analysis was based on incomplete item-level responses that did not meet the minimum requirements for Rasch modeling. Rasch estimation relies on complete response patterns across the scale items to ensure reliable estimation of item severity and person parameters. Consistent with FAO-recommended analytical procedures, respondents with missing responses on one or more FIES items were </w:t>
      </w:r>
      <w:r w:rsidR="00E01324" w:rsidRPr="00E01324">
        <w:rPr>
          <w:rFonts w:ascii="Times New Roman" w:hAnsi="Times New Roman" w:cs="Times New Roman"/>
        </w:rPr>
        <w:lastRenderedPageBreak/>
        <w:t>excluded from the Rasch calibration to preserve model validity and comparability with the global reference scale. No imputation was applied, as imputing food insecurity items may introduce measurement bias in latent trait estimation. As a result, the Rasch-based analyses were conducted on the subset of participants with complete FIES responses (n = 89).</w:t>
      </w:r>
    </w:p>
    <w:p w14:paraId="6C865828" w14:textId="77777777" w:rsidR="00F8679A" w:rsidRPr="00B41422" w:rsidRDefault="00F8679A" w:rsidP="00B41422">
      <w:pPr>
        <w:jc w:val="both"/>
        <w:rPr>
          <w:rFonts w:ascii="Times New Roman" w:hAnsi="Times New Roman" w:cs="Times New Roman"/>
          <w:b/>
          <w:bCs/>
        </w:rPr>
      </w:pPr>
      <w:r w:rsidRPr="00B41422">
        <w:rPr>
          <w:rFonts w:ascii="Times New Roman" w:hAnsi="Times New Roman" w:cs="Times New Roman"/>
          <w:b/>
          <w:bCs/>
        </w:rPr>
        <w:t>Qualitative Data Collection and Analysis</w:t>
      </w:r>
    </w:p>
    <w:p w14:paraId="78F0E02D" w14:textId="77777777" w:rsidR="00F8679A" w:rsidRPr="00357149" w:rsidRDefault="00F8679A" w:rsidP="00F8679A">
      <w:pPr>
        <w:jc w:val="both"/>
        <w:rPr>
          <w:rFonts w:ascii="Times New Roman" w:hAnsi="Times New Roman" w:cs="Times New Roman"/>
        </w:rPr>
      </w:pPr>
      <w:r w:rsidRPr="00357149">
        <w:rPr>
          <w:rFonts w:ascii="Times New Roman" w:hAnsi="Times New Roman" w:cs="Times New Roman"/>
        </w:rPr>
        <w:t xml:space="preserve">The second phase of the study adopted a qualitative design to complement and contextualize the quantitative findings. This phase aimed to gain an in-depth understanding of </w:t>
      </w:r>
      <w:proofErr w:type="gramStart"/>
      <w:r w:rsidRPr="00357149">
        <w:rPr>
          <w:rFonts w:ascii="Times New Roman" w:hAnsi="Times New Roman" w:cs="Times New Roman"/>
        </w:rPr>
        <w:t>participants’</w:t>
      </w:r>
      <w:proofErr w:type="gramEnd"/>
      <w:r w:rsidRPr="00357149">
        <w:rPr>
          <w:rFonts w:ascii="Times New Roman" w:hAnsi="Times New Roman" w:cs="Times New Roman"/>
        </w:rPr>
        <w:t xml:space="preserve"> lived experiences with food access, dietary habits, and coping mechanisms related to food insecurity. Semi-structured, in-depth interviews were used to explore the meanings, perceptions, and everyday realities behind the survey data. This approach allowed participants to articulate their own perspectives on the social, cultural, and economic factors shaping their nutritional challenges and strategies in Istanbul.</w:t>
      </w:r>
    </w:p>
    <w:p w14:paraId="4BD5230C" w14:textId="12CC4CB6" w:rsidR="00F8679A" w:rsidRPr="00357149" w:rsidRDefault="00F8679A" w:rsidP="00F8679A">
      <w:pPr>
        <w:jc w:val="both"/>
        <w:rPr>
          <w:rFonts w:ascii="Times New Roman" w:hAnsi="Times New Roman" w:cs="Times New Roman"/>
        </w:rPr>
      </w:pPr>
      <w:r w:rsidRPr="00357149">
        <w:rPr>
          <w:rFonts w:ascii="Times New Roman" w:hAnsi="Times New Roman" w:cs="Times New Roman"/>
        </w:rPr>
        <w:t xml:space="preserve">Although </w:t>
      </w:r>
      <w:r w:rsidR="006D7727">
        <w:rPr>
          <w:rFonts w:ascii="Times New Roman" w:hAnsi="Times New Roman" w:cs="Times New Roman"/>
        </w:rPr>
        <w:t xml:space="preserve">in-depth </w:t>
      </w:r>
      <w:r w:rsidRPr="00357149">
        <w:rPr>
          <w:rFonts w:ascii="Times New Roman" w:hAnsi="Times New Roman" w:cs="Times New Roman"/>
        </w:rPr>
        <w:t>interviews were initially planned</w:t>
      </w:r>
      <w:r w:rsidR="006D7727">
        <w:rPr>
          <w:rFonts w:ascii="Times New Roman" w:hAnsi="Times New Roman" w:cs="Times New Roman"/>
        </w:rPr>
        <w:t xml:space="preserve"> as face-to-face</w:t>
      </w:r>
      <w:r w:rsidRPr="00357149">
        <w:rPr>
          <w:rFonts w:ascii="Times New Roman" w:hAnsi="Times New Roman" w:cs="Times New Roman"/>
        </w:rPr>
        <w:t xml:space="preserve">, all participants preferred to participate online due to scheduling conflicts, employment commitments, or travel constraints. With participants’ consent, interviews were conducted via Zoom using secure connections, recorded on a password-protected device, and stored safely on the primary researcher’s encrypted drive to ensure data confidentiality. Of the 108 survey participants, 10 individuals initially volunteered for follow-up qualitative interviews. After contact attempts, 4 participants were unreachable, 2 later declined participation, and 4 were successfully interviewed. </w:t>
      </w:r>
    </w:p>
    <w:p w14:paraId="4AAE5136" w14:textId="52B80449" w:rsidR="00F8679A" w:rsidRPr="00357149" w:rsidRDefault="00F8679A" w:rsidP="00F8679A">
      <w:pPr>
        <w:jc w:val="both"/>
        <w:rPr>
          <w:rFonts w:ascii="Times New Roman" w:hAnsi="Times New Roman" w:cs="Times New Roman"/>
        </w:rPr>
      </w:pPr>
      <w:r w:rsidRPr="00357149">
        <w:rPr>
          <w:rFonts w:ascii="Times New Roman" w:hAnsi="Times New Roman" w:cs="Times New Roman"/>
        </w:rPr>
        <w:t xml:space="preserve">All interviews were conducted in English using a semi-structured interview guide developed by the researcher. The guide was informed by previous studies on migrant food insecurity and dietary adaptation (Tiedje et al., 2014; </w:t>
      </w:r>
      <w:proofErr w:type="spellStart"/>
      <w:r w:rsidRPr="00357149">
        <w:rPr>
          <w:rFonts w:ascii="Times New Roman" w:hAnsi="Times New Roman" w:cs="Times New Roman"/>
        </w:rPr>
        <w:t>Vahabi</w:t>
      </w:r>
      <w:proofErr w:type="spellEnd"/>
      <w:r w:rsidRPr="00357149">
        <w:rPr>
          <w:rFonts w:ascii="Times New Roman" w:hAnsi="Times New Roman" w:cs="Times New Roman"/>
        </w:rPr>
        <w:t xml:space="preserve"> </w:t>
      </w:r>
      <w:r w:rsidR="00B277CD">
        <w:rPr>
          <w:rFonts w:ascii="Times New Roman" w:hAnsi="Times New Roman" w:cs="Times New Roman"/>
        </w:rPr>
        <w:t>&amp;</w:t>
      </w:r>
      <w:r w:rsidRPr="00357149">
        <w:rPr>
          <w:rFonts w:ascii="Times New Roman" w:hAnsi="Times New Roman" w:cs="Times New Roman"/>
        </w:rPr>
        <w:t xml:space="preserve"> Damba, 2013) and refined following expert feedback for cultural and contextual appropriateness. The instrument covered three major domains: (1) experiences before and after migration, (2) changes in food habits and dietary practices, and (3) access to food, food insecurity, and coping mechanisms. The interview guide remained flexible, allowing participants to elaborate freely on emerging issues or personal reflections. Interviews lasted between 40 and 60 minutes.</w:t>
      </w:r>
    </w:p>
    <w:p w14:paraId="1C6E53E5" w14:textId="77777777" w:rsidR="00F8679A" w:rsidRPr="00357149" w:rsidRDefault="00F8679A" w:rsidP="00F8679A">
      <w:pPr>
        <w:jc w:val="both"/>
        <w:rPr>
          <w:rFonts w:ascii="Times New Roman" w:hAnsi="Times New Roman" w:cs="Times New Roman"/>
        </w:rPr>
      </w:pPr>
      <w:r w:rsidRPr="00357149">
        <w:rPr>
          <w:rFonts w:ascii="Times New Roman" w:hAnsi="Times New Roman" w:cs="Times New Roman"/>
        </w:rPr>
        <w:t>Two interviewees (P1 and P4) were affiliated with St. Mary’s Armenian Church, a local community organization known for its support to migrant families, and two others (P2 and P3) were connected with ASEM, a local NGO providing humanitarian and integration assistance. All participants gave verbal consent before participation and were informed of their right to withdraw at any point. To maintain confidentiality, participants were assigned pseudonyms based on a simple coding system (e.g., “P1W” for Participant 1, Woman; “P2M” for Participant 2, Man).</w:t>
      </w:r>
    </w:p>
    <w:p w14:paraId="4F953269" w14:textId="1AA34D2E" w:rsidR="00F8679A" w:rsidRPr="00A46159" w:rsidRDefault="00F8679A" w:rsidP="00F8679A">
      <w:pPr>
        <w:jc w:val="both"/>
        <w:rPr>
          <w:rFonts w:ascii="Times New Roman" w:hAnsi="Times New Roman" w:cs="Times New Roman"/>
        </w:rPr>
      </w:pPr>
      <w:r w:rsidRPr="00357149">
        <w:rPr>
          <w:rFonts w:ascii="Times New Roman" w:hAnsi="Times New Roman" w:cs="Times New Roman"/>
        </w:rPr>
        <w:t xml:space="preserve">Each interview was transcribed verbatim into Microsoft Word immediately following the session to preserve linguistic accuracy and contextual nuance. Data analysis followed a thematic analysis approach as described by Braun </w:t>
      </w:r>
      <w:r w:rsidR="00254939">
        <w:rPr>
          <w:rFonts w:ascii="Times New Roman" w:hAnsi="Times New Roman" w:cs="Times New Roman"/>
        </w:rPr>
        <w:t>&amp;</w:t>
      </w:r>
      <w:r w:rsidRPr="00357149">
        <w:rPr>
          <w:rFonts w:ascii="Times New Roman" w:hAnsi="Times New Roman" w:cs="Times New Roman"/>
        </w:rPr>
        <w:t xml:space="preserve"> Clarke (2006), incorporating both deductive and inductive coding strategies. Deductive codes were derived from the four core dimensions of food </w:t>
      </w:r>
      <w:r w:rsidRPr="00357149">
        <w:rPr>
          <w:rFonts w:ascii="Times New Roman" w:hAnsi="Times New Roman" w:cs="Times New Roman"/>
        </w:rPr>
        <w:lastRenderedPageBreak/>
        <w:t xml:space="preserve">insecurity—availability, access, utilization, and stability—while inductive codes emerged organically from participants’ narratives, capturing context-specific factors such as social isolation, cultural </w:t>
      </w:r>
      <w:r w:rsidRPr="00A46159">
        <w:rPr>
          <w:rFonts w:ascii="Times New Roman" w:hAnsi="Times New Roman" w:cs="Times New Roman"/>
        </w:rPr>
        <w:t xml:space="preserve">food preferences, and informal support networks. The researcher repeatedly read and coded transcripts to ensure </w:t>
      </w:r>
      <w:r w:rsidR="0078711F" w:rsidRPr="00A46159">
        <w:rPr>
          <w:rFonts w:ascii="Times New Roman" w:hAnsi="Times New Roman" w:cs="Times New Roman"/>
        </w:rPr>
        <w:t xml:space="preserve">analytic </w:t>
      </w:r>
      <w:r w:rsidRPr="00A46159">
        <w:rPr>
          <w:rFonts w:ascii="Times New Roman" w:hAnsi="Times New Roman" w:cs="Times New Roman"/>
        </w:rPr>
        <w:t>consistency and interpretive depth.</w:t>
      </w:r>
      <w:r w:rsidR="00A46159" w:rsidRPr="00A46159">
        <w:rPr>
          <w:rFonts w:ascii="Times New Roman" w:hAnsi="Times New Roman" w:cs="Times New Roman"/>
        </w:rPr>
        <w:t xml:space="preserve"> Given the small number of interviews, the qualitative analysis was intended as a focused, illustrative exploration to contextualize quantitative findings, rather than to achieve thematic saturation.</w:t>
      </w:r>
    </w:p>
    <w:p w14:paraId="29BBC528" w14:textId="77777777" w:rsidR="00F8679A" w:rsidRPr="00357149" w:rsidRDefault="00F8679A" w:rsidP="00F8679A">
      <w:pPr>
        <w:jc w:val="both"/>
        <w:rPr>
          <w:rFonts w:ascii="Times New Roman" w:hAnsi="Times New Roman" w:cs="Times New Roman"/>
        </w:rPr>
      </w:pPr>
      <w:r w:rsidRPr="00357149">
        <w:rPr>
          <w:rFonts w:ascii="Times New Roman" w:hAnsi="Times New Roman" w:cs="Times New Roman"/>
        </w:rPr>
        <w:t>The analysis proceeded through several iterative steps: familiarization with the data, generation of initial codes, categorization into potential themes, review and refinement of themes, and final synthesis. Triangulation with quantitative findings was used to enhance the validity of interpretations. Selected quotations were used to illustrate the themes and give voice to participants’ experiences in their own words. The researcher maintained reflexive notes throughout the analysis to minimize personal bias and enhance analytical transparency.</w:t>
      </w:r>
    </w:p>
    <w:p w14:paraId="23874F4C" w14:textId="77777777" w:rsidR="00F8679A" w:rsidRDefault="00F8679A" w:rsidP="00F8679A">
      <w:pPr>
        <w:jc w:val="both"/>
        <w:rPr>
          <w:rFonts w:ascii="Times New Roman" w:hAnsi="Times New Roman" w:cs="Times New Roman"/>
        </w:rPr>
      </w:pPr>
      <w:r w:rsidRPr="00357149">
        <w:rPr>
          <w:rFonts w:ascii="Times New Roman" w:hAnsi="Times New Roman" w:cs="Times New Roman"/>
        </w:rPr>
        <w:t>Overall, this qualitative phase enriched the study by offering contextual understanding of how structural barriers, economic hardship, and social networks interact to shape food insecurity among Sub-Saharan African migrants in Istanbul.</w:t>
      </w:r>
    </w:p>
    <w:p w14:paraId="18F9E031" w14:textId="49AAC2AC" w:rsidR="00F8679A" w:rsidRPr="005C0BC1" w:rsidRDefault="00B41708">
      <w:pPr>
        <w:rPr>
          <w:rFonts w:ascii="Times New Roman" w:hAnsi="Times New Roman" w:cs="Times New Roman"/>
          <w:b/>
          <w:bCs/>
        </w:rPr>
      </w:pPr>
      <w:r w:rsidRPr="005C0BC1">
        <w:rPr>
          <w:rFonts w:ascii="Times New Roman" w:hAnsi="Times New Roman" w:cs="Times New Roman"/>
          <w:b/>
          <w:bCs/>
        </w:rPr>
        <w:t>References</w:t>
      </w:r>
    </w:p>
    <w:p w14:paraId="2468D4DC" w14:textId="12FE932A" w:rsidR="00B41708" w:rsidRDefault="00B41708" w:rsidP="00B41708">
      <w:pPr>
        <w:pStyle w:val="ListParagraph"/>
        <w:numPr>
          <w:ilvl w:val="0"/>
          <w:numId w:val="2"/>
        </w:numPr>
        <w:spacing w:before="139"/>
        <w:rPr>
          <w:rFonts w:ascii="Times New Roman" w:hAnsi="Times New Roman" w:cs="Times New Roman"/>
        </w:rPr>
      </w:pPr>
      <w:r w:rsidRPr="00E41DEB">
        <w:rPr>
          <w:rFonts w:ascii="Times New Roman" w:hAnsi="Times New Roman" w:cs="Times New Roman"/>
          <w:lang w:val="fr-FR"/>
        </w:rPr>
        <w:t>Agarwal, S., Sethi, V., Gupta, P., Jha, M., Agnihotri, A., Nord</w:t>
      </w:r>
      <w:r>
        <w:rPr>
          <w:rFonts w:ascii="Times New Roman" w:hAnsi="Times New Roman" w:cs="Times New Roman"/>
          <w:lang w:val="fr-FR"/>
        </w:rPr>
        <w:t>,</w:t>
      </w:r>
      <w:r w:rsidRPr="00E41DEB">
        <w:rPr>
          <w:rFonts w:ascii="Times New Roman" w:hAnsi="Times New Roman" w:cs="Times New Roman"/>
          <w:lang w:val="fr-FR"/>
        </w:rPr>
        <w:t xml:space="preserve"> M. (2009). </w:t>
      </w:r>
      <w:r w:rsidRPr="00903CFF">
        <w:rPr>
          <w:rFonts w:ascii="Times New Roman" w:hAnsi="Times New Roman" w:cs="Times New Roman"/>
        </w:rPr>
        <w:t xml:space="preserve">Experiential household food insecurity in an urban underserved slum of north India. Food Sec </w:t>
      </w:r>
      <w:proofErr w:type="gramStart"/>
      <w:r w:rsidRPr="00903CFF">
        <w:rPr>
          <w:rFonts w:ascii="Times New Roman" w:hAnsi="Times New Roman" w:cs="Times New Roman"/>
        </w:rPr>
        <w:t>2009;1:239</w:t>
      </w:r>
      <w:proofErr w:type="gramEnd"/>
      <w:r w:rsidRPr="00903CFF">
        <w:rPr>
          <w:rFonts w:ascii="Times New Roman" w:hAnsi="Times New Roman" w:cs="Times New Roman"/>
        </w:rPr>
        <w:t>–50.</w:t>
      </w:r>
    </w:p>
    <w:p w14:paraId="54915EA4" w14:textId="77777777" w:rsidR="008E2B2B" w:rsidRPr="00B41708" w:rsidRDefault="008E2B2B" w:rsidP="008E2B2B">
      <w:pPr>
        <w:pStyle w:val="ListParagraph"/>
        <w:spacing w:before="139"/>
        <w:rPr>
          <w:rFonts w:ascii="Times New Roman" w:hAnsi="Times New Roman" w:cs="Times New Roman"/>
        </w:rPr>
      </w:pPr>
    </w:p>
    <w:p w14:paraId="04DDA231" w14:textId="77777777" w:rsidR="00B41708" w:rsidRDefault="00B41708" w:rsidP="00B41708">
      <w:pPr>
        <w:pStyle w:val="ListParagraph"/>
        <w:numPr>
          <w:ilvl w:val="0"/>
          <w:numId w:val="2"/>
        </w:numPr>
        <w:jc w:val="both"/>
        <w:rPr>
          <w:rFonts w:ascii="Times New Roman" w:hAnsi="Times New Roman" w:cs="Times New Roman"/>
        </w:rPr>
      </w:pPr>
      <w:r w:rsidRPr="00903CFF">
        <w:rPr>
          <w:rFonts w:ascii="Times New Roman" w:hAnsi="Times New Roman" w:cs="Times New Roman"/>
        </w:rPr>
        <w:t>Boone</w:t>
      </w:r>
      <w:r>
        <w:rPr>
          <w:rFonts w:ascii="Times New Roman" w:hAnsi="Times New Roman" w:cs="Times New Roman"/>
        </w:rPr>
        <w:t>,</w:t>
      </w:r>
      <w:r w:rsidRPr="00903CFF">
        <w:rPr>
          <w:rFonts w:ascii="Times New Roman" w:hAnsi="Times New Roman" w:cs="Times New Roman"/>
        </w:rPr>
        <w:t xml:space="preserve"> W</w:t>
      </w:r>
      <w:r>
        <w:rPr>
          <w:rFonts w:ascii="Times New Roman" w:hAnsi="Times New Roman" w:cs="Times New Roman"/>
        </w:rPr>
        <w:t>.</w:t>
      </w:r>
      <w:r w:rsidRPr="00903CFF">
        <w:rPr>
          <w:rFonts w:ascii="Times New Roman" w:hAnsi="Times New Roman" w:cs="Times New Roman"/>
        </w:rPr>
        <w:t xml:space="preserve">J. (2016). Rasch analysis for instrument development: why, when, and how? </w:t>
      </w:r>
      <w:proofErr w:type="spellStart"/>
      <w:r w:rsidRPr="00903CFF">
        <w:rPr>
          <w:rFonts w:ascii="Times New Roman" w:hAnsi="Times New Roman" w:cs="Times New Roman"/>
        </w:rPr>
        <w:t>CBELifeSci</w:t>
      </w:r>
      <w:proofErr w:type="spellEnd"/>
      <w:r w:rsidRPr="00903CFF">
        <w:rPr>
          <w:rFonts w:ascii="Times New Roman" w:hAnsi="Times New Roman" w:cs="Times New Roman"/>
        </w:rPr>
        <w:t xml:space="preserve"> Educ 2016;15(4):rm4.</w:t>
      </w:r>
    </w:p>
    <w:p w14:paraId="2467B5F3" w14:textId="77777777" w:rsidR="008E2B2B" w:rsidRPr="008E2B2B" w:rsidRDefault="008E2B2B" w:rsidP="008E2B2B">
      <w:pPr>
        <w:pStyle w:val="ListParagraph"/>
        <w:rPr>
          <w:rFonts w:ascii="Times New Roman" w:hAnsi="Times New Roman" w:cs="Times New Roman"/>
        </w:rPr>
      </w:pPr>
    </w:p>
    <w:p w14:paraId="601BC52A" w14:textId="77777777" w:rsidR="008E2B2B" w:rsidRDefault="008E2B2B" w:rsidP="008E2B2B">
      <w:pPr>
        <w:pStyle w:val="ListParagraph"/>
        <w:jc w:val="both"/>
        <w:rPr>
          <w:rFonts w:ascii="Times New Roman" w:hAnsi="Times New Roman" w:cs="Times New Roman"/>
        </w:rPr>
      </w:pPr>
    </w:p>
    <w:p w14:paraId="10FE1E2D" w14:textId="65336C34" w:rsidR="00254939" w:rsidRPr="00254939" w:rsidRDefault="00254939" w:rsidP="00254939">
      <w:pPr>
        <w:pStyle w:val="ListParagraph"/>
        <w:numPr>
          <w:ilvl w:val="0"/>
          <w:numId w:val="2"/>
        </w:numPr>
        <w:jc w:val="both"/>
        <w:rPr>
          <w:rFonts w:ascii="Times New Roman" w:hAnsi="Times New Roman" w:cs="Times New Roman"/>
        </w:rPr>
      </w:pPr>
      <w:r w:rsidRPr="008F6EE7">
        <w:rPr>
          <w:rFonts w:ascii="Times New Roman" w:hAnsi="Times New Roman" w:cs="Times New Roman"/>
        </w:rPr>
        <w:t>Braun, V.</w:t>
      </w:r>
      <w:r w:rsidR="00526958">
        <w:rPr>
          <w:rFonts w:ascii="Times New Roman" w:hAnsi="Times New Roman" w:cs="Times New Roman"/>
        </w:rPr>
        <w:t>,</w:t>
      </w:r>
      <w:r w:rsidRPr="008F6EE7">
        <w:rPr>
          <w:rFonts w:ascii="Times New Roman" w:hAnsi="Times New Roman" w:cs="Times New Roman"/>
        </w:rPr>
        <w:t xml:space="preserve"> &amp; Clarke, V. (2006). Using thematic analysis in psychology. </w:t>
      </w:r>
      <w:r w:rsidRPr="008F6EE7">
        <w:rPr>
          <w:rFonts w:ascii="Times New Roman" w:hAnsi="Times New Roman" w:cs="Times New Roman"/>
          <w:i/>
          <w:iCs/>
        </w:rPr>
        <w:t>Qualitative Research in Psychology</w:t>
      </w:r>
      <w:r w:rsidRPr="008F6EE7">
        <w:rPr>
          <w:rFonts w:ascii="Times New Roman" w:hAnsi="Times New Roman" w:cs="Times New Roman"/>
        </w:rPr>
        <w:t>, </w:t>
      </w:r>
      <w:r w:rsidRPr="008F6EE7">
        <w:rPr>
          <w:rFonts w:ascii="Times New Roman" w:hAnsi="Times New Roman" w:cs="Times New Roman"/>
          <w:i/>
          <w:iCs/>
        </w:rPr>
        <w:t>3</w:t>
      </w:r>
      <w:r w:rsidRPr="008F6EE7">
        <w:rPr>
          <w:rFonts w:ascii="Times New Roman" w:hAnsi="Times New Roman" w:cs="Times New Roman"/>
        </w:rPr>
        <w:t>(2), 77–101. https://doi.org/10.1191/1478088706qp063oa</w:t>
      </w:r>
      <w:r>
        <w:rPr>
          <w:rFonts w:ascii="Times New Roman" w:hAnsi="Times New Roman" w:cs="Times New Roman"/>
        </w:rPr>
        <w:t>.</w:t>
      </w:r>
    </w:p>
    <w:p w14:paraId="023DF056" w14:textId="77777777" w:rsidR="00B41708" w:rsidRDefault="00B41708" w:rsidP="00B41708">
      <w:pPr>
        <w:pStyle w:val="ListParagraph"/>
        <w:jc w:val="both"/>
        <w:rPr>
          <w:rFonts w:ascii="Times New Roman" w:hAnsi="Times New Roman" w:cs="Times New Roman"/>
        </w:rPr>
      </w:pPr>
    </w:p>
    <w:p w14:paraId="6BC1CCE0" w14:textId="2ACFC445" w:rsidR="00B41708" w:rsidRDefault="00B41708" w:rsidP="00B41708">
      <w:pPr>
        <w:pStyle w:val="ListParagraph"/>
        <w:numPr>
          <w:ilvl w:val="0"/>
          <w:numId w:val="2"/>
        </w:numPr>
        <w:spacing w:before="139"/>
        <w:rPr>
          <w:rFonts w:ascii="Times New Roman" w:hAnsi="Times New Roman" w:cs="Times New Roman"/>
          <w:spacing w:val="-4"/>
        </w:rPr>
      </w:pPr>
      <w:r w:rsidRPr="00903CFF">
        <w:rPr>
          <w:rFonts w:ascii="Times New Roman" w:hAnsi="Times New Roman" w:cs="Times New Roman"/>
          <w:spacing w:val="-4"/>
        </w:rPr>
        <w:t>Curtin</w:t>
      </w:r>
      <w:r>
        <w:rPr>
          <w:rFonts w:ascii="Times New Roman" w:hAnsi="Times New Roman" w:cs="Times New Roman"/>
          <w:spacing w:val="-4"/>
        </w:rPr>
        <w:t>,</w:t>
      </w:r>
      <w:r w:rsidRPr="00903CFF">
        <w:rPr>
          <w:rFonts w:ascii="Times New Roman" w:hAnsi="Times New Roman" w:cs="Times New Roman"/>
          <w:spacing w:val="-4"/>
        </w:rPr>
        <w:t xml:space="preserve"> M</w:t>
      </w:r>
      <w:r>
        <w:rPr>
          <w:rFonts w:ascii="Times New Roman" w:hAnsi="Times New Roman" w:cs="Times New Roman"/>
          <w:spacing w:val="-4"/>
        </w:rPr>
        <w:t>.</w:t>
      </w:r>
      <w:r w:rsidRPr="00903CFF">
        <w:rPr>
          <w:rFonts w:ascii="Times New Roman" w:hAnsi="Times New Roman" w:cs="Times New Roman"/>
          <w:spacing w:val="-4"/>
        </w:rPr>
        <w:t>, Browne</w:t>
      </w:r>
      <w:r>
        <w:rPr>
          <w:rFonts w:ascii="Times New Roman" w:hAnsi="Times New Roman" w:cs="Times New Roman"/>
          <w:spacing w:val="-4"/>
        </w:rPr>
        <w:t>,</w:t>
      </w:r>
      <w:r w:rsidRPr="00903CFF">
        <w:rPr>
          <w:rFonts w:ascii="Times New Roman" w:hAnsi="Times New Roman" w:cs="Times New Roman"/>
          <w:spacing w:val="-4"/>
        </w:rPr>
        <w:t xml:space="preserve"> J</w:t>
      </w:r>
      <w:r>
        <w:rPr>
          <w:rFonts w:ascii="Times New Roman" w:hAnsi="Times New Roman" w:cs="Times New Roman"/>
          <w:spacing w:val="-4"/>
        </w:rPr>
        <w:t>.</w:t>
      </w:r>
      <w:r w:rsidRPr="00903CFF">
        <w:rPr>
          <w:rFonts w:ascii="Times New Roman" w:hAnsi="Times New Roman" w:cs="Times New Roman"/>
          <w:spacing w:val="-4"/>
        </w:rPr>
        <w:t>, Staines</w:t>
      </w:r>
      <w:r>
        <w:rPr>
          <w:rFonts w:ascii="Times New Roman" w:hAnsi="Times New Roman" w:cs="Times New Roman"/>
          <w:spacing w:val="-4"/>
        </w:rPr>
        <w:t>,</w:t>
      </w:r>
      <w:r w:rsidRPr="00903CFF">
        <w:rPr>
          <w:rFonts w:ascii="Times New Roman" w:hAnsi="Times New Roman" w:cs="Times New Roman"/>
          <w:spacing w:val="-4"/>
        </w:rPr>
        <w:t xml:space="preserve"> A</w:t>
      </w:r>
      <w:r>
        <w:rPr>
          <w:rFonts w:ascii="Times New Roman" w:hAnsi="Times New Roman" w:cs="Times New Roman"/>
          <w:spacing w:val="-4"/>
        </w:rPr>
        <w:t>.</w:t>
      </w:r>
      <w:r w:rsidRPr="00903CFF">
        <w:rPr>
          <w:rFonts w:ascii="Times New Roman" w:hAnsi="Times New Roman" w:cs="Times New Roman"/>
          <w:spacing w:val="-4"/>
        </w:rPr>
        <w:t>, Perry</w:t>
      </w:r>
      <w:r>
        <w:rPr>
          <w:rFonts w:ascii="Times New Roman" w:hAnsi="Times New Roman" w:cs="Times New Roman"/>
          <w:spacing w:val="-4"/>
        </w:rPr>
        <w:t>,</w:t>
      </w:r>
      <w:r w:rsidRPr="00903CFF">
        <w:rPr>
          <w:rFonts w:ascii="Times New Roman" w:hAnsi="Times New Roman" w:cs="Times New Roman"/>
          <w:spacing w:val="-4"/>
        </w:rPr>
        <w:t xml:space="preserve"> I</w:t>
      </w:r>
      <w:r>
        <w:rPr>
          <w:rFonts w:ascii="Times New Roman" w:hAnsi="Times New Roman" w:cs="Times New Roman"/>
          <w:spacing w:val="-4"/>
        </w:rPr>
        <w:t>.</w:t>
      </w:r>
      <w:r w:rsidRPr="00903CFF">
        <w:rPr>
          <w:rFonts w:ascii="Times New Roman" w:hAnsi="Times New Roman" w:cs="Times New Roman"/>
          <w:spacing w:val="-4"/>
        </w:rPr>
        <w:t xml:space="preserve">J. (2016). The Early Development Instrument: an evaluation of its five domains using Rasch analysis. BMC </w:t>
      </w:r>
      <w:proofErr w:type="spellStart"/>
      <w:r w:rsidRPr="00903CFF">
        <w:rPr>
          <w:rFonts w:ascii="Times New Roman" w:hAnsi="Times New Roman" w:cs="Times New Roman"/>
          <w:spacing w:val="-4"/>
        </w:rPr>
        <w:t>Pediatr</w:t>
      </w:r>
      <w:proofErr w:type="spellEnd"/>
      <w:r w:rsidRPr="00903CFF">
        <w:rPr>
          <w:rFonts w:ascii="Times New Roman" w:hAnsi="Times New Roman" w:cs="Times New Roman"/>
          <w:spacing w:val="-4"/>
        </w:rPr>
        <w:t xml:space="preserve"> </w:t>
      </w:r>
      <w:proofErr w:type="gramStart"/>
      <w:r w:rsidRPr="00903CFF">
        <w:rPr>
          <w:rFonts w:ascii="Times New Roman" w:hAnsi="Times New Roman" w:cs="Times New Roman"/>
          <w:spacing w:val="-4"/>
        </w:rPr>
        <w:t>2016;16:10</w:t>
      </w:r>
      <w:proofErr w:type="gramEnd"/>
      <w:r w:rsidRPr="00903CFF">
        <w:rPr>
          <w:rFonts w:ascii="Times New Roman" w:hAnsi="Times New Roman" w:cs="Times New Roman"/>
          <w:spacing w:val="-4"/>
        </w:rPr>
        <w:t>.</w:t>
      </w:r>
    </w:p>
    <w:p w14:paraId="33E154F2" w14:textId="77777777" w:rsidR="00254939" w:rsidRPr="00254939" w:rsidRDefault="00254939" w:rsidP="00254939">
      <w:pPr>
        <w:pStyle w:val="ListParagraph"/>
        <w:rPr>
          <w:rFonts w:ascii="Times New Roman" w:hAnsi="Times New Roman" w:cs="Times New Roman"/>
          <w:spacing w:val="-4"/>
        </w:rPr>
      </w:pPr>
    </w:p>
    <w:p w14:paraId="3A3C3C47" w14:textId="0E6070EC" w:rsidR="00254939" w:rsidRDefault="00254939" w:rsidP="00254939">
      <w:pPr>
        <w:pStyle w:val="BodyText"/>
        <w:numPr>
          <w:ilvl w:val="0"/>
          <w:numId w:val="2"/>
        </w:numPr>
        <w:spacing w:line="360" w:lineRule="auto"/>
        <w:ind w:right="1023"/>
      </w:pPr>
      <w:r w:rsidRPr="00903CFF">
        <w:t>Food</w:t>
      </w:r>
      <w:r w:rsidRPr="00903CFF">
        <w:rPr>
          <w:spacing w:val="-4"/>
        </w:rPr>
        <w:t xml:space="preserve"> </w:t>
      </w:r>
      <w:r w:rsidRPr="00903CFF">
        <w:t>and</w:t>
      </w:r>
      <w:r w:rsidRPr="00903CFF">
        <w:rPr>
          <w:spacing w:val="-4"/>
        </w:rPr>
        <w:t xml:space="preserve"> </w:t>
      </w:r>
      <w:r w:rsidRPr="00903CFF">
        <w:t>Agriculture</w:t>
      </w:r>
      <w:r w:rsidRPr="00903CFF">
        <w:rPr>
          <w:spacing w:val="-6"/>
        </w:rPr>
        <w:t xml:space="preserve"> </w:t>
      </w:r>
      <w:r w:rsidRPr="00903CFF">
        <w:t>Organization</w:t>
      </w:r>
      <w:r w:rsidRPr="00903CFF">
        <w:rPr>
          <w:spacing w:val="-4"/>
        </w:rPr>
        <w:t xml:space="preserve"> (</w:t>
      </w:r>
      <w:r w:rsidRPr="00903CFF">
        <w:t xml:space="preserve">FAO). (2016). Methods for estimating comparable prevalence rates of food insecurity experienced by adults throughout the world [Internet]. Rome: Food and Agriculture Organization of the United Nations. Available from: </w:t>
      </w:r>
      <w:hyperlink r:id="rId7" w:history="1">
        <w:r w:rsidRPr="00903CFF">
          <w:rPr>
            <w:rStyle w:val="Hyperlink"/>
          </w:rPr>
          <w:t>http://www.fao.org/3/a-i4830e.pdf</w:t>
        </w:r>
      </w:hyperlink>
      <w:r w:rsidRPr="00903CFF">
        <w:t>.</w:t>
      </w:r>
    </w:p>
    <w:p w14:paraId="3BFA41B0" w14:textId="77777777" w:rsidR="008E2B2B" w:rsidRDefault="008E2B2B" w:rsidP="008E2B2B">
      <w:pPr>
        <w:pStyle w:val="ListParagraph"/>
      </w:pPr>
    </w:p>
    <w:p w14:paraId="6960A72C" w14:textId="77777777" w:rsidR="008E2B2B" w:rsidRPr="00254939" w:rsidRDefault="008E2B2B" w:rsidP="008E2B2B">
      <w:pPr>
        <w:pStyle w:val="BodyText"/>
        <w:spacing w:line="360" w:lineRule="auto"/>
        <w:ind w:left="720" w:right="1023"/>
      </w:pPr>
    </w:p>
    <w:p w14:paraId="03AF5C75" w14:textId="77777777" w:rsidR="00B41708" w:rsidRDefault="00B41708" w:rsidP="00B41708">
      <w:pPr>
        <w:pStyle w:val="BodyText"/>
        <w:numPr>
          <w:ilvl w:val="0"/>
          <w:numId w:val="2"/>
        </w:numPr>
        <w:spacing w:line="360" w:lineRule="auto"/>
        <w:ind w:right="1294"/>
      </w:pPr>
      <w:r w:rsidRPr="00903CFF">
        <w:lastRenderedPageBreak/>
        <w:t>Food</w:t>
      </w:r>
      <w:r w:rsidRPr="00903CFF">
        <w:rPr>
          <w:spacing w:val="-4"/>
        </w:rPr>
        <w:t xml:space="preserve"> </w:t>
      </w:r>
      <w:r w:rsidRPr="00903CFF">
        <w:t>and</w:t>
      </w:r>
      <w:r w:rsidRPr="00903CFF">
        <w:rPr>
          <w:spacing w:val="-4"/>
        </w:rPr>
        <w:t xml:space="preserve"> </w:t>
      </w:r>
      <w:r w:rsidRPr="00903CFF">
        <w:t>Agriculture</w:t>
      </w:r>
      <w:r w:rsidRPr="00903CFF">
        <w:rPr>
          <w:spacing w:val="-6"/>
        </w:rPr>
        <w:t xml:space="preserve"> </w:t>
      </w:r>
      <w:r w:rsidRPr="00903CFF">
        <w:t>Organization</w:t>
      </w:r>
      <w:r w:rsidRPr="00903CFF">
        <w:rPr>
          <w:spacing w:val="-4"/>
        </w:rPr>
        <w:t xml:space="preserve"> </w:t>
      </w:r>
      <w:r w:rsidRPr="00903CFF">
        <w:t>(FAO).</w:t>
      </w:r>
      <w:r w:rsidRPr="00903CFF">
        <w:rPr>
          <w:spacing w:val="-5"/>
        </w:rPr>
        <w:t xml:space="preserve"> </w:t>
      </w:r>
      <w:r w:rsidRPr="00903CFF">
        <w:t>(2017).</w:t>
      </w:r>
      <w:r w:rsidRPr="00903CFF">
        <w:rPr>
          <w:spacing w:val="-5"/>
        </w:rPr>
        <w:t xml:space="preserve"> </w:t>
      </w:r>
      <w:r w:rsidRPr="00903CFF">
        <w:t>The</w:t>
      </w:r>
      <w:r w:rsidRPr="00903CFF">
        <w:rPr>
          <w:spacing w:val="-6"/>
        </w:rPr>
        <w:t xml:space="preserve"> </w:t>
      </w:r>
      <w:r w:rsidRPr="00903CFF">
        <w:t>Food</w:t>
      </w:r>
      <w:r w:rsidRPr="00903CFF">
        <w:rPr>
          <w:spacing w:val="-4"/>
        </w:rPr>
        <w:t xml:space="preserve"> </w:t>
      </w:r>
      <w:r w:rsidRPr="00903CFF">
        <w:t>Insecurity</w:t>
      </w:r>
      <w:r w:rsidRPr="00903CFF">
        <w:rPr>
          <w:spacing w:val="-4"/>
        </w:rPr>
        <w:t xml:space="preserve"> </w:t>
      </w:r>
      <w:r w:rsidRPr="00903CFF">
        <w:t xml:space="preserve">Experience Scale: Measuring food insecurity through people’s experiences. Retrieved from </w:t>
      </w:r>
      <w:hyperlink r:id="rId8">
        <w:r w:rsidRPr="00903CFF">
          <w:rPr>
            <w:spacing w:val="-2"/>
            <w:u w:val="single"/>
          </w:rPr>
          <w:t>https://www.fao.org/publications/card/en/c/2c7ce182-b76d-40bb-9fbe-59ba3c8394fc/</w:t>
        </w:r>
      </w:hyperlink>
      <w:r w:rsidRPr="00903CFF">
        <w:t>.</w:t>
      </w:r>
    </w:p>
    <w:p w14:paraId="243D77C0" w14:textId="77777777" w:rsidR="008E2B2B" w:rsidRPr="00903CFF" w:rsidRDefault="008E2B2B" w:rsidP="008E2B2B">
      <w:pPr>
        <w:pStyle w:val="BodyText"/>
        <w:spacing w:line="360" w:lineRule="auto"/>
        <w:ind w:left="720" w:right="1294"/>
      </w:pPr>
    </w:p>
    <w:p w14:paraId="3BCC79FF" w14:textId="41B380F0" w:rsidR="00B41708" w:rsidRDefault="00B41708" w:rsidP="00B41708">
      <w:pPr>
        <w:pStyle w:val="ListParagraph"/>
        <w:numPr>
          <w:ilvl w:val="0"/>
          <w:numId w:val="2"/>
        </w:numPr>
        <w:spacing w:before="61" w:line="360" w:lineRule="auto"/>
        <w:ind w:right="1150"/>
        <w:rPr>
          <w:rFonts w:ascii="Times New Roman" w:hAnsi="Times New Roman" w:cs="Times New Roman"/>
        </w:rPr>
      </w:pPr>
      <w:r w:rsidRPr="00903CFF">
        <w:rPr>
          <w:rFonts w:ascii="Times New Roman" w:hAnsi="Times New Roman" w:cs="Times New Roman"/>
        </w:rPr>
        <w:t>Gordon</w:t>
      </w:r>
      <w:r>
        <w:rPr>
          <w:rFonts w:ascii="Times New Roman" w:hAnsi="Times New Roman" w:cs="Times New Roman"/>
        </w:rPr>
        <w:t>,</w:t>
      </w:r>
      <w:r w:rsidRPr="00903CFF">
        <w:rPr>
          <w:rFonts w:ascii="Times New Roman" w:hAnsi="Times New Roman" w:cs="Times New Roman"/>
        </w:rPr>
        <w:t xml:space="preserve"> R</w:t>
      </w:r>
      <w:r>
        <w:rPr>
          <w:rFonts w:ascii="Times New Roman" w:hAnsi="Times New Roman" w:cs="Times New Roman"/>
        </w:rPr>
        <w:t>.</w:t>
      </w:r>
      <w:r w:rsidRPr="00903CFF">
        <w:rPr>
          <w:rFonts w:ascii="Times New Roman" w:hAnsi="Times New Roman" w:cs="Times New Roman"/>
        </w:rPr>
        <w:t>A. (2015). Measuring constructs in family science: how can item response theory improve precision and validity? J Marriage Fam 2015;77(1): 147–76.</w:t>
      </w:r>
    </w:p>
    <w:p w14:paraId="18A30B48" w14:textId="00CAEC6C" w:rsidR="00254939" w:rsidRPr="008E2B2B" w:rsidRDefault="00254939" w:rsidP="00254939">
      <w:pPr>
        <w:pStyle w:val="BodyText"/>
        <w:numPr>
          <w:ilvl w:val="0"/>
          <w:numId w:val="2"/>
        </w:numPr>
        <w:spacing w:line="360" w:lineRule="auto"/>
        <w:ind w:right="1023"/>
      </w:pPr>
      <w:r w:rsidRPr="00903CFF">
        <w:rPr>
          <w:spacing w:val="-5"/>
        </w:rPr>
        <w:t>Kilanowski</w:t>
      </w:r>
      <w:r>
        <w:rPr>
          <w:spacing w:val="-5"/>
        </w:rPr>
        <w:t>,</w:t>
      </w:r>
      <w:r w:rsidRPr="00903CFF">
        <w:rPr>
          <w:spacing w:val="-5"/>
        </w:rPr>
        <w:t xml:space="preserve"> J</w:t>
      </w:r>
      <w:r>
        <w:rPr>
          <w:spacing w:val="-5"/>
        </w:rPr>
        <w:t>.</w:t>
      </w:r>
      <w:r w:rsidRPr="00903CFF">
        <w:rPr>
          <w:spacing w:val="-5"/>
        </w:rPr>
        <w:t>F</w:t>
      </w:r>
      <w:r>
        <w:rPr>
          <w:spacing w:val="-5"/>
        </w:rPr>
        <w:t>.</w:t>
      </w:r>
      <w:r w:rsidR="00526958">
        <w:rPr>
          <w:spacing w:val="-5"/>
        </w:rPr>
        <w:t>,</w:t>
      </w:r>
      <w:r>
        <w:rPr>
          <w:spacing w:val="-5"/>
        </w:rPr>
        <w:t xml:space="preserve"> &amp;</w:t>
      </w:r>
      <w:r w:rsidRPr="00903CFF">
        <w:rPr>
          <w:spacing w:val="-5"/>
        </w:rPr>
        <w:t xml:space="preserve"> Lin</w:t>
      </w:r>
      <w:r>
        <w:rPr>
          <w:spacing w:val="-5"/>
        </w:rPr>
        <w:t>,</w:t>
      </w:r>
      <w:r w:rsidRPr="00903CFF">
        <w:rPr>
          <w:spacing w:val="-5"/>
        </w:rPr>
        <w:t xml:space="preserve"> L. (2012). Rasch analysis of US Household Food Security Survey module in Latino migrant farmworkers. </w:t>
      </w:r>
      <w:r w:rsidRPr="00903CFF">
        <w:rPr>
          <w:spacing w:val="-5"/>
          <w:lang w:val="fr-FR"/>
        </w:rPr>
        <w:t xml:space="preserve">J Hunger Environ </w:t>
      </w:r>
      <w:proofErr w:type="spellStart"/>
      <w:r w:rsidRPr="00903CFF">
        <w:rPr>
          <w:spacing w:val="-5"/>
          <w:lang w:val="fr-FR"/>
        </w:rPr>
        <w:t>Nutr</w:t>
      </w:r>
      <w:proofErr w:type="spellEnd"/>
      <w:r w:rsidRPr="00903CFF">
        <w:rPr>
          <w:spacing w:val="-5"/>
          <w:lang w:val="fr-FR"/>
        </w:rPr>
        <w:t xml:space="preserve"> </w:t>
      </w:r>
      <w:proofErr w:type="gramStart"/>
      <w:r w:rsidRPr="00903CFF">
        <w:rPr>
          <w:spacing w:val="-5"/>
          <w:lang w:val="fr-FR"/>
        </w:rPr>
        <w:t>2012;</w:t>
      </w:r>
      <w:proofErr w:type="gramEnd"/>
      <w:r w:rsidRPr="00903CFF">
        <w:rPr>
          <w:spacing w:val="-5"/>
          <w:lang w:val="fr-FR"/>
        </w:rPr>
        <w:t>7(2–3</w:t>
      </w:r>
      <w:proofErr w:type="gramStart"/>
      <w:r w:rsidRPr="00903CFF">
        <w:rPr>
          <w:spacing w:val="-5"/>
          <w:lang w:val="fr-FR"/>
        </w:rPr>
        <w:t>):</w:t>
      </w:r>
      <w:proofErr w:type="gramEnd"/>
      <w:r w:rsidRPr="00903CFF">
        <w:rPr>
          <w:spacing w:val="-5"/>
          <w:lang w:val="fr-FR"/>
        </w:rPr>
        <w:t>178–91.</w:t>
      </w:r>
    </w:p>
    <w:p w14:paraId="421CA581" w14:textId="77777777" w:rsidR="008E2B2B" w:rsidRPr="00254939" w:rsidRDefault="008E2B2B" w:rsidP="008E2B2B">
      <w:pPr>
        <w:pStyle w:val="BodyText"/>
        <w:spacing w:line="360" w:lineRule="auto"/>
        <w:ind w:left="720" w:right="1023"/>
      </w:pPr>
    </w:p>
    <w:p w14:paraId="3AD6A08C" w14:textId="77777777" w:rsidR="00B41708" w:rsidRDefault="00B41708" w:rsidP="00B41708">
      <w:pPr>
        <w:pStyle w:val="BodyText"/>
        <w:numPr>
          <w:ilvl w:val="0"/>
          <w:numId w:val="2"/>
        </w:numPr>
        <w:spacing w:line="360" w:lineRule="auto"/>
        <w:ind w:right="1023"/>
      </w:pPr>
      <w:r w:rsidRPr="00903CFF">
        <w:t>Nord,</w:t>
      </w:r>
      <w:r w:rsidRPr="00903CFF">
        <w:rPr>
          <w:spacing w:val="-4"/>
        </w:rPr>
        <w:t xml:space="preserve"> </w:t>
      </w:r>
      <w:r w:rsidRPr="00903CFF">
        <w:t>M.</w:t>
      </w:r>
      <w:r w:rsidRPr="00903CFF">
        <w:rPr>
          <w:spacing w:val="-4"/>
        </w:rPr>
        <w:t xml:space="preserve"> </w:t>
      </w:r>
      <w:r w:rsidRPr="00903CFF">
        <w:t>(2003).</w:t>
      </w:r>
      <w:r w:rsidRPr="00903CFF">
        <w:rPr>
          <w:spacing w:val="-4"/>
        </w:rPr>
        <w:t xml:space="preserve"> </w:t>
      </w:r>
      <w:r w:rsidRPr="00903CFF">
        <w:t>Measuring</w:t>
      </w:r>
      <w:r w:rsidRPr="00903CFF">
        <w:rPr>
          <w:spacing w:val="-4"/>
        </w:rPr>
        <w:t xml:space="preserve"> </w:t>
      </w:r>
      <w:r w:rsidRPr="00903CFF">
        <w:t>the</w:t>
      </w:r>
      <w:r w:rsidRPr="00903CFF">
        <w:rPr>
          <w:spacing w:val="-6"/>
        </w:rPr>
        <w:t xml:space="preserve"> </w:t>
      </w:r>
      <w:r w:rsidRPr="00903CFF">
        <w:t>food</w:t>
      </w:r>
      <w:r w:rsidRPr="00903CFF">
        <w:rPr>
          <w:spacing w:val="-4"/>
        </w:rPr>
        <w:t xml:space="preserve"> </w:t>
      </w:r>
      <w:r w:rsidRPr="00903CFF">
        <w:t>security</w:t>
      </w:r>
      <w:r w:rsidRPr="00903CFF">
        <w:rPr>
          <w:spacing w:val="-4"/>
        </w:rPr>
        <w:t xml:space="preserve"> </w:t>
      </w:r>
      <w:r w:rsidRPr="00903CFF">
        <w:t>of</w:t>
      </w:r>
      <w:r w:rsidRPr="00903CFF">
        <w:rPr>
          <w:spacing w:val="-4"/>
        </w:rPr>
        <w:t xml:space="preserve"> </w:t>
      </w:r>
      <w:r w:rsidRPr="00903CFF">
        <w:t>elderly</w:t>
      </w:r>
      <w:r w:rsidRPr="00903CFF">
        <w:rPr>
          <w:spacing w:val="-4"/>
        </w:rPr>
        <w:t xml:space="preserve"> </w:t>
      </w:r>
      <w:r w:rsidRPr="00903CFF">
        <w:t>persons. Family</w:t>
      </w:r>
      <w:r w:rsidRPr="00903CFF">
        <w:rPr>
          <w:spacing w:val="-1"/>
        </w:rPr>
        <w:t xml:space="preserve"> </w:t>
      </w:r>
      <w:r w:rsidRPr="00903CFF">
        <w:t>Economics and Nutrition Review, 15(1), 33-46.</w:t>
      </w:r>
    </w:p>
    <w:p w14:paraId="682B94D7" w14:textId="77777777" w:rsidR="008E2B2B" w:rsidRPr="00903CFF" w:rsidRDefault="008E2B2B" w:rsidP="008E2B2B">
      <w:pPr>
        <w:pStyle w:val="BodyText"/>
        <w:spacing w:line="360" w:lineRule="auto"/>
        <w:ind w:right="1023"/>
      </w:pPr>
    </w:p>
    <w:p w14:paraId="56D9E6FC" w14:textId="77777777" w:rsidR="00B41708" w:rsidRDefault="00B41708" w:rsidP="00B41708">
      <w:pPr>
        <w:pStyle w:val="BodyText"/>
        <w:numPr>
          <w:ilvl w:val="0"/>
          <w:numId w:val="2"/>
        </w:numPr>
        <w:spacing w:line="360" w:lineRule="auto"/>
        <w:ind w:right="1023"/>
      </w:pPr>
      <w:r w:rsidRPr="00903CFF">
        <w:t>Nord, M. (2014). Intra-household differences in food security among adults in NHANES.</w:t>
      </w:r>
      <w:r w:rsidRPr="00903CFF">
        <w:rPr>
          <w:spacing w:val="-3"/>
        </w:rPr>
        <w:t xml:space="preserve"> </w:t>
      </w:r>
      <w:r w:rsidRPr="00903CFF">
        <w:t>In</w:t>
      </w:r>
      <w:r w:rsidRPr="00903CFF">
        <w:rPr>
          <w:spacing w:val="-2"/>
        </w:rPr>
        <w:t xml:space="preserve"> </w:t>
      </w:r>
      <w:r w:rsidRPr="00903CFF">
        <w:t>American</w:t>
      </w:r>
      <w:r w:rsidRPr="00903CFF">
        <w:rPr>
          <w:spacing w:val="-3"/>
        </w:rPr>
        <w:t xml:space="preserve"> </w:t>
      </w:r>
      <w:r w:rsidRPr="00903CFF">
        <w:t>Journal</w:t>
      </w:r>
      <w:r w:rsidRPr="00903CFF">
        <w:rPr>
          <w:spacing w:val="-5"/>
        </w:rPr>
        <w:t xml:space="preserve"> </w:t>
      </w:r>
      <w:proofErr w:type="gramStart"/>
      <w:r w:rsidRPr="00903CFF">
        <w:t>Of</w:t>
      </w:r>
      <w:proofErr w:type="gramEnd"/>
      <w:r w:rsidRPr="00903CFF">
        <w:rPr>
          <w:spacing w:val="-5"/>
        </w:rPr>
        <w:t xml:space="preserve"> </w:t>
      </w:r>
      <w:r w:rsidRPr="00903CFF">
        <w:t>Epidemiology</w:t>
      </w:r>
      <w:r w:rsidRPr="00903CFF">
        <w:rPr>
          <w:spacing w:val="-2"/>
        </w:rPr>
        <w:t xml:space="preserve"> </w:t>
      </w:r>
      <w:r w:rsidRPr="00903CFF">
        <w:t>(Vol.</w:t>
      </w:r>
      <w:r w:rsidRPr="00903CFF">
        <w:rPr>
          <w:spacing w:val="-3"/>
        </w:rPr>
        <w:t xml:space="preserve"> </w:t>
      </w:r>
      <w:r w:rsidRPr="00903CFF">
        <w:t>173,</w:t>
      </w:r>
      <w:r w:rsidRPr="00903CFF">
        <w:rPr>
          <w:spacing w:val="-3"/>
        </w:rPr>
        <w:t xml:space="preserve"> </w:t>
      </w:r>
      <w:r w:rsidRPr="00903CFF">
        <w:t>pp.</w:t>
      </w:r>
      <w:r w:rsidRPr="00903CFF">
        <w:rPr>
          <w:spacing w:val="-3"/>
        </w:rPr>
        <w:t xml:space="preserve"> </w:t>
      </w:r>
      <w:r w:rsidRPr="00903CFF">
        <w:t>S326-S326).</w:t>
      </w:r>
      <w:r w:rsidRPr="00903CFF">
        <w:rPr>
          <w:spacing w:val="-3"/>
        </w:rPr>
        <w:t xml:space="preserve"> </w:t>
      </w:r>
      <w:r w:rsidRPr="00903CFF">
        <w:t>Journals</w:t>
      </w:r>
      <w:r w:rsidRPr="00903CFF">
        <w:rPr>
          <w:spacing w:val="-2"/>
        </w:rPr>
        <w:t xml:space="preserve"> </w:t>
      </w:r>
      <w:r w:rsidRPr="00903CFF">
        <w:t>Dept, 2001 Evans Rd, Cary, Nc 27513 Usa: Oxford Univ Press Inc.</w:t>
      </w:r>
    </w:p>
    <w:p w14:paraId="3919A9AE" w14:textId="77777777" w:rsidR="008E2B2B" w:rsidRPr="00903CFF" w:rsidRDefault="008E2B2B" w:rsidP="008E2B2B">
      <w:pPr>
        <w:pStyle w:val="BodyText"/>
        <w:spacing w:line="360" w:lineRule="auto"/>
        <w:ind w:right="1023"/>
      </w:pPr>
    </w:p>
    <w:p w14:paraId="469AC725" w14:textId="0A522721" w:rsidR="00B41708" w:rsidRDefault="00B41708" w:rsidP="00B41708">
      <w:pPr>
        <w:pStyle w:val="BodyText"/>
        <w:numPr>
          <w:ilvl w:val="0"/>
          <w:numId w:val="2"/>
        </w:numPr>
        <w:spacing w:line="360" w:lineRule="auto"/>
        <w:ind w:right="1023"/>
      </w:pPr>
      <w:r w:rsidRPr="00903CFF">
        <w:rPr>
          <w:lang w:val="es-ES"/>
        </w:rPr>
        <w:t xml:space="preserve">Nord, M., Cafiero, C., &amp; Viviani, S. (2016). </w:t>
      </w:r>
      <w:r w:rsidRPr="00903CFF">
        <w:t>Methods for estimating comparable prevalence rates of food insecurity experienced by adults in 147 countries and areas.</w:t>
      </w:r>
      <w:r w:rsidRPr="00903CFF">
        <w:rPr>
          <w:spacing w:val="-3"/>
        </w:rPr>
        <w:t xml:space="preserve"> </w:t>
      </w:r>
      <w:r w:rsidRPr="00903CFF">
        <w:t>In</w:t>
      </w:r>
      <w:r w:rsidRPr="00903CFF">
        <w:rPr>
          <w:spacing w:val="-3"/>
        </w:rPr>
        <w:t xml:space="preserve"> </w:t>
      </w:r>
      <w:r w:rsidRPr="00903CFF">
        <w:t>Journal</w:t>
      </w:r>
      <w:r w:rsidRPr="00903CFF">
        <w:rPr>
          <w:spacing w:val="-5"/>
        </w:rPr>
        <w:t xml:space="preserve"> </w:t>
      </w:r>
      <w:r w:rsidRPr="00903CFF">
        <w:t>of Physics:</w:t>
      </w:r>
      <w:r w:rsidRPr="00903CFF">
        <w:rPr>
          <w:spacing w:val="-4"/>
        </w:rPr>
        <w:t xml:space="preserve"> </w:t>
      </w:r>
      <w:r w:rsidRPr="00903CFF">
        <w:t>Conference</w:t>
      </w:r>
      <w:r w:rsidRPr="00903CFF">
        <w:rPr>
          <w:spacing w:val="-5"/>
        </w:rPr>
        <w:t xml:space="preserve"> </w:t>
      </w:r>
      <w:r w:rsidRPr="00903CFF">
        <w:t>Series (Vol.</w:t>
      </w:r>
      <w:r w:rsidRPr="00903CFF">
        <w:rPr>
          <w:spacing w:val="-3"/>
        </w:rPr>
        <w:t xml:space="preserve"> </w:t>
      </w:r>
      <w:r w:rsidRPr="00903CFF">
        <w:t>772,</w:t>
      </w:r>
      <w:r w:rsidRPr="00903CFF">
        <w:rPr>
          <w:spacing w:val="-3"/>
        </w:rPr>
        <w:t xml:space="preserve"> </w:t>
      </w:r>
      <w:r w:rsidRPr="00903CFF">
        <w:t>No.</w:t>
      </w:r>
      <w:r w:rsidRPr="00903CFF">
        <w:rPr>
          <w:spacing w:val="-3"/>
        </w:rPr>
        <w:t xml:space="preserve"> </w:t>
      </w:r>
      <w:r w:rsidRPr="00903CFF">
        <w:t>1,</w:t>
      </w:r>
      <w:r w:rsidRPr="00903CFF">
        <w:rPr>
          <w:spacing w:val="-3"/>
        </w:rPr>
        <w:t xml:space="preserve"> </w:t>
      </w:r>
      <w:r w:rsidRPr="00903CFF">
        <w:t>p.</w:t>
      </w:r>
      <w:r w:rsidRPr="00903CFF">
        <w:rPr>
          <w:spacing w:val="-3"/>
        </w:rPr>
        <w:t xml:space="preserve"> </w:t>
      </w:r>
      <w:r w:rsidRPr="00903CFF">
        <w:t>012060).</w:t>
      </w:r>
      <w:r w:rsidRPr="00903CFF">
        <w:rPr>
          <w:spacing w:val="-3"/>
        </w:rPr>
        <w:t xml:space="preserve"> </w:t>
      </w:r>
      <w:r w:rsidRPr="00903CFF">
        <w:t>IOP</w:t>
      </w:r>
      <w:r w:rsidRPr="00903CFF">
        <w:rPr>
          <w:spacing w:val="-2"/>
        </w:rPr>
        <w:t xml:space="preserve"> </w:t>
      </w:r>
      <w:r w:rsidRPr="00903CFF">
        <w:t>Publishing.</w:t>
      </w:r>
    </w:p>
    <w:p w14:paraId="7C765B60" w14:textId="77777777" w:rsidR="008E2B2B" w:rsidRDefault="008E2B2B" w:rsidP="008E2B2B">
      <w:pPr>
        <w:pStyle w:val="BodyText"/>
        <w:spacing w:line="360" w:lineRule="auto"/>
        <w:ind w:right="1023"/>
      </w:pPr>
    </w:p>
    <w:p w14:paraId="2EA6DB83" w14:textId="73BBE6F1" w:rsidR="00254939" w:rsidRDefault="00254939" w:rsidP="00254939">
      <w:pPr>
        <w:pStyle w:val="BodyText"/>
        <w:numPr>
          <w:ilvl w:val="0"/>
          <w:numId w:val="2"/>
        </w:numPr>
        <w:spacing w:line="360" w:lineRule="auto"/>
        <w:ind w:right="1023"/>
      </w:pPr>
      <w:r w:rsidRPr="00903CFF">
        <w:t>Sahyoun</w:t>
      </w:r>
      <w:r>
        <w:t>,</w:t>
      </w:r>
      <w:r w:rsidRPr="00903CFF">
        <w:t xml:space="preserve"> N</w:t>
      </w:r>
      <w:r>
        <w:t>.</w:t>
      </w:r>
      <w:r w:rsidRPr="00903CFF">
        <w:t>R</w:t>
      </w:r>
      <w:r>
        <w:t>.</w:t>
      </w:r>
      <w:r w:rsidRPr="00903CFF">
        <w:t>, Nord</w:t>
      </w:r>
      <w:r>
        <w:t>,</w:t>
      </w:r>
      <w:r w:rsidRPr="00903CFF">
        <w:t xml:space="preserve"> M</w:t>
      </w:r>
      <w:r>
        <w:t>.</w:t>
      </w:r>
      <w:r w:rsidRPr="00903CFF">
        <w:t>, Sassine</w:t>
      </w:r>
      <w:r>
        <w:t>,</w:t>
      </w:r>
      <w:r w:rsidRPr="00903CFF">
        <w:t xml:space="preserve"> A</w:t>
      </w:r>
      <w:r>
        <w:t>.</w:t>
      </w:r>
      <w:r w:rsidRPr="00903CFF">
        <w:t>J</w:t>
      </w:r>
      <w:r>
        <w:t>.</w:t>
      </w:r>
      <w:r w:rsidRPr="00903CFF">
        <w:t>, Seyfert</w:t>
      </w:r>
      <w:r>
        <w:t>,</w:t>
      </w:r>
      <w:r w:rsidRPr="00903CFF">
        <w:t xml:space="preserve"> K</w:t>
      </w:r>
      <w:r>
        <w:t>.</w:t>
      </w:r>
      <w:r w:rsidRPr="00903CFF">
        <w:t xml:space="preserve">, </w:t>
      </w:r>
      <w:proofErr w:type="spellStart"/>
      <w:r w:rsidRPr="00903CFF">
        <w:t>Hwalla</w:t>
      </w:r>
      <w:proofErr w:type="spellEnd"/>
      <w:r>
        <w:t>,</w:t>
      </w:r>
      <w:r w:rsidRPr="00903CFF">
        <w:t xml:space="preserve"> N</w:t>
      </w:r>
      <w:r>
        <w:t>.</w:t>
      </w:r>
      <w:r w:rsidRPr="00903CFF">
        <w:t>, Ghattas</w:t>
      </w:r>
      <w:r>
        <w:t>,</w:t>
      </w:r>
      <w:r w:rsidRPr="00903CFF">
        <w:t xml:space="preserve"> H. (2014). Development and validation of an Arab family food security scale. J </w:t>
      </w:r>
      <w:proofErr w:type="spellStart"/>
      <w:r w:rsidRPr="00903CFF">
        <w:t>Nutr</w:t>
      </w:r>
      <w:proofErr w:type="spellEnd"/>
      <w:r w:rsidRPr="00903CFF">
        <w:t xml:space="preserve"> 2014;144(5):751–7.</w:t>
      </w:r>
    </w:p>
    <w:p w14:paraId="655293E3" w14:textId="77777777" w:rsidR="008E2B2B" w:rsidRDefault="008E2B2B" w:rsidP="008E2B2B">
      <w:pPr>
        <w:pStyle w:val="BodyText"/>
        <w:spacing w:line="360" w:lineRule="auto"/>
        <w:ind w:right="1023"/>
      </w:pPr>
    </w:p>
    <w:p w14:paraId="370E2066" w14:textId="58A28E37" w:rsidR="00254939" w:rsidRDefault="00254939" w:rsidP="00254939">
      <w:pPr>
        <w:pStyle w:val="BodyText"/>
        <w:numPr>
          <w:ilvl w:val="0"/>
          <w:numId w:val="2"/>
        </w:numPr>
        <w:spacing w:line="360" w:lineRule="auto"/>
        <w:ind w:right="1023"/>
      </w:pPr>
      <w:r w:rsidRPr="00903CFF">
        <w:t>Schutte</w:t>
      </w:r>
      <w:r>
        <w:t>,</w:t>
      </w:r>
      <w:r w:rsidRPr="00903CFF">
        <w:t xml:space="preserve"> L</w:t>
      </w:r>
      <w:r>
        <w:t>.</w:t>
      </w:r>
      <w:r w:rsidRPr="00903CFF">
        <w:t>, Wissing</w:t>
      </w:r>
      <w:r>
        <w:t>,</w:t>
      </w:r>
      <w:r w:rsidRPr="00903CFF">
        <w:t xml:space="preserve"> M</w:t>
      </w:r>
      <w:r>
        <w:t>.</w:t>
      </w:r>
      <w:r w:rsidRPr="00903CFF">
        <w:t>P</w:t>
      </w:r>
      <w:r>
        <w:t>.</w:t>
      </w:r>
      <w:r w:rsidRPr="00903CFF">
        <w:t>, Ellis</w:t>
      </w:r>
      <w:r>
        <w:t>,</w:t>
      </w:r>
      <w:r w:rsidRPr="00903CFF">
        <w:t xml:space="preserve"> S</w:t>
      </w:r>
      <w:r>
        <w:t>.</w:t>
      </w:r>
      <w:r w:rsidRPr="00903CFF">
        <w:t>M</w:t>
      </w:r>
      <w:r>
        <w:t>.</w:t>
      </w:r>
      <w:r w:rsidRPr="00903CFF">
        <w:t>, Jose</w:t>
      </w:r>
      <w:r>
        <w:t>,</w:t>
      </w:r>
      <w:r w:rsidRPr="00903CFF">
        <w:t xml:space="preserve"> P</w:t>
      </w:r>
      <w:r>
        <w:t>.</w:t>
      </w:r>
      <w:r w:rsidRPr="00903CFF">
        <w:t>E</w:t>
      </w:r>
      <w:r>
        <w:t>.</w:t>
      </w:r>
      <w:r w:rsidRPr="00903CFF">
        <w:t>, Vella-Brodrick</w:t>
      </w:r>
      <w:r>
        <w:t>,</w:t>
      </w:r>
      <w:r w:rsidRPr="00903CFF">
        <w:t xml:space="preserve"> D</w:t>
      </w:r>
      <w:r>
        <w:t>.</w:t>
      </w:r>
      <w:r w:rsidRPr="00903CFF">
        <w:t xml:space="preserve">A. (2016). Rasch analysis of the Meaning in Life Questionnaire among adults from South Africa, Australia, and New Zealand. Health Qual Life Outcomes </w:t>
      </w:r>
      <w:r w:rsidRPr="00903CFF">
        <w:lastRenderedPageBreak/>
        <w:t>2016;14(1):2.</w:t>
      </w:r>
    </w:p>
    <w:p w14:paraId="1528C747" w14:textId="77777777" w:rsidR="008E2B2B" w:rsidRPr="00B41708" w:rsidRDefault="008E2B2B" w:rsidP="008E2B2B">
      <w:pPr>
        <w:pStyle w:val="BodyText"/>
        <w:spacing w:line="360" w:lineRule="auto"/>
        <w:ind w:right="1023"/>
      </w:pPr>
    </w:p>
    <w:p w14:paraId="64937F12" w14:textId="77777777" w:rsidR="00B41708" w:rsidRDefault="00B41708" w:rsidP="00B41708">
      <w:pPr>
        <w:pStyle w:val="ListParagraph"/>
        <w:numPr>
          <w:ilvl w:val="0"/>
          <w:numId w:val="2"/>
        </w:numPr>
        <w:spacing w:before="1" w:line="357" w:lineRule="auto"/>
        <w:ind w:right="1094"/>
        <w:rPr>
          <w:rFonts w:ascii="Times New Roman" w:hAnsi="Times New Roman" w:cs="Times New Roman"/>
        </w:rPr>
      </w:pPr>
      <w:r w:rsidRPr="00903CFF">
        <w:rPr>
          <w:rFonts w:ascii="Times New Roman" w:hAnsi="Times New Roman" w:cs="Times New Roman"/>
        </w:rPr>
        <w:t xml:space="preserve">Smith, M. D., Rabbitt, M. P., &amp; Coleman-Jensen, A. (2017). Who </w:t>
      </w:r>
      <w:proofErr w:type="gramStart"/>
      <w:r w:rsidRPr="00903CFF">
        <w:rPr>
          <w:rFonts w:ascii="Times New Roman" w:hAnsi="Times New Roman" w:cs="Times New Roman"/>
        </w:rPr>
        <w:t>are</w:t>
      </w:r>
      <w:proofErr w:type="gramEnd"/>
      <w:r w:rsidRPr="00903CFF">
        <w:rPr>
          <w:rFonts w:ascii="Times New Roman" w:hAnsi="Times New Roman" w:cs="Times New Roman"/>
        </w:rPr>
        <w:t xml:space="preserve"> the world’s food</w:t>
      </w:r>
      <w:r w:rsidRPr="00903CFF">
        <w:rPr>
          <w:rFonts w:ascii="Times New Roman" w:hAnsi="Times New Roman" w:cs="Times New Roman"/>
          <w:spacing w:val="-5"/>
        </w:rPr>
        <w:t xml:space="preserve"> </w:t>
      </w:r>
      <w:r w:rsidRPr="00903CFF">
        <w:rPr>
          <w:rFonts w:ascii="Times New Roman" w:hAnsi="Times New Roman" w:cs="Times New Roman"/>
        </w:rPr>
        <w:t>insecure?</w:t>
      </w:r>
      <w:r w:rsidRPr="00903CFF">
        <w:rPr>
          <w:rFonts w:ascii="Times New Roman" w:hAnsi="Times New Roman" w:cs="Times New Roman"/>
          <w:spacing w:val="-2"/>
        </w:rPr>
        <w:t xml:space="preserve"> </w:t>
      </w:r>
      <w:r w:rsidRPr="00903CFF">
        <w:rPr>
          <w:rFonts w:ascii="Times New Roman" w:hAnsi="Times New Roman" w:cs="Times New Roman"/>
        </w:rPr>
        <w:t>New</w:t>
      </w:r>
      <w:r w:rsidRPr="00903CFF">
        <w:rPr>
          <w:rFonts w:ascii="Times New Roman" w:hAnsi="Times New Roman" w:cs="Times New Roman"/>
          <w:spacing w:val="-4"/>
        </w:rPr>
        <w:t xml:space="preserve"> </w:t>
      </w:r>
      <w:r w:rsidRPr="00903CFF">
        <w:rPr>
          <w:rFonts w:ascii="Times New Roman" w:hAnsi="Times New Roman" w:cs="Times New Roman"/>
        </w:rPr>
        <w:t>evidence</w:t>
      </w:r>
      <w:r w:rsidRPr="00903CFF">
        <w:rPr>
          <w:rFonts w:ascii="Times New Roman" w:hAnsi="Times New Roman" w:cs="Times New Roman"/>
          <w:spacing w:val="-6"/>
        </w:rPr>
        <w:t xml:space="preserve"> </w:t>
      </w:r>
      <w:r w:rsidRPr="00903CFF">
        <w:rPr>
          <w:rFonts w:ascii="Times New Roman" w:hAnsi="Times New Roman" w:cs="Times New Roman"/>
        </w:rPr>
        <w:t>from</w:t>
      </w:r>
      <w:r w:rsidRPr="00903CFF">
        <w:rPr>
          <w:rFonts w:ascii="Times New Roman" w:hAnsi="Times New Roman" w:cs="Times New Roman"/>
          <w:spacing w:val="-6"/>
        </w:rPr>
        <w:t xml:space="preserve"> </w:t>
      </w:r>
      <w:r w:rsidRPr="00903CFF">
        <w:rPr>
          <w:rFonts w:ascii="Times New Roman" w:hAnsi="Times New Roman" w:cs="Times New Roman"/>
        </w:rPr>
        <w:t>the</w:t>
      </w:r>
      <w:r w:rsidRPr="00903CFF">
        <w:rPr>
          <w:rFonts w:ascii="Times New Roman" w:hAnsi="Times New Roman" w:cs="Times New Roman"/>
          <w:spacing w:val="-2"/>
        </w:rPr>
        <w:t xml:space="preserve"> </w:t>
      </w:r>
      <w:r w:rsidRPr="00903CFF">
        <w:rPr>
          <w:rFonts w:ascii="Times New Roman" w:hAnsi="Times New Roman" w:cs="Times New Roman"/>
        </w:rPr>
        <w:t>Food</w:t>
      </w:r>
      <w:r w:rsidRPr="00903CFF">
        <w:rPr>
          <w:rFonts w:ascii="Times New Roman" w:hAnsi="Times New Roman" w:cs="Times New Roman"/>
          <w:spacing w:val="-5"/>
        </w:rPr>
        <w:t xml:space="preserve"> </w:t>
      </w:r>
      <w:r w:rsidRPr="00903CFF">
        <w:rPr>
          <w:rFonts w:ascii="Times New Roman" w:hAnsi="Times New Roman" w:cs="Times New Roman"/>
        </w:rPr>
        <w:t>and</w:t>
      </w:r>
      <w:r w:rsidRPr="00903CFF">
        <w:rPr>
          <w:rFonts w:ascii="Times New Roman" w:hAnsi="Times New Roman" w:cs="Times New Roman"/>
          <w:spacing w:val="-5"/>
        </w:rPr>
        <w:t xml:space="preserve"> </w:t>
      </w:r>
      <w:r w:rsidRPr="00903CFF">
        <w:rPr>
          <w:rFonts w:ascii="Times New Roman" w:hAnsi="Times New Roman" w:cs="Times New Roman"/>
        </w:rPr>
        <w:t>Agriculture</w:t>
      </w:r>
      <w:r w:rsidRPr="00903CFF">
        <w:rPr>
          <w:rFonts w:ascii="Times New Roman" w:hAnsi="Times New Roman" w:cs="Times New Roman"/>
          <w:spacing w:val="-6"/>
        </w:rPr>
        <w:t xml:space="preserve"> </w:t>
      </w:r>
      <w:r w:rsidRPr="00903CFF">
        <w:rPr>
          <w:rFonts w:ascii="Times New Roman" w:hAnsi="Times New Roman" w:cs="Times New Roman"/>
        </w:rPr>
        <w:t>Organization’s</w:t>
      </w:r>
      <w:r w:rsidRPr="00903CFF">
        <w:rPr>
          <w:rFonts w:ascii="Times New Roman" w:hAnsi="Times New Roman" w:cs="Times New Roman"/>
          <w:spacing w:val="-4"/>
        </w:rPr>
        <w:t xml:space="preserve"> </w:t>
      </w:r>
      <w:r w:rsidRPr="00903CFF">
        <w:rPr>
          <w:rFonts w:ascii="Times New Roman" w:hAnsi="Times New Roman" w:cs="Times New Roman"/>
        </w:rPr>
        <w:t>food</w:t>
      </w:r>
      <w:r w:rsidRPr="00903CFF">
        <w:rPr>
          <w:rFonts w:ascii="Times New Roman" w:hAnsi="Times New Roman" w:cs="Times New Roman"/>
          <w:spacing w:val="-5"/>
        </w:rPr>
        <w:t xml:space="preserve"> </w:t>
      </w:r>
      <w:r w:rsidRPr="00903CFF">
        <w:rPr>
          <w:rFonts w:ascii="Times New Roman" w:hAnsi="Times New Roman" w:cs="Times New Roman"/>
        </w:rPr>
        <w:t>insecurity experience scale. World Development, 93, 402-412.</w:t>
      </w:r>
    </w:p>
    <w:p w14:paraId="108CD6AF" w14:textId="4F3E1995" w:rsidR="00254939" w:rsidRDefault="00254939" w:rsidP="00254939">
      <w:pPr>
        <w:pStyle w:val="BodyText"/>
        <w:numPr>
          <w:ilvl w:val="0"/>
          <w:numId w:val="2"/>
        </w:numPr>
        <w:spacing w:line="360" w:lineRule="auto"/>
        <w:ind w:right="1094"/>
        <w:rPr>
          <w:spacing w:val="-2"/>
        </w:rPr>
      </w:pPr>
      <w:r w:rsidRPr="00B424D1">
        <w:rPr>
          <w:spacing w:val="-2"/>
        </w:rPr>
        <w:t>Tiedje</w:t>
      </w:r>
      <w:r>
        <w:rPr>
          <w:spacing w:val="-2"/>
        </w:rPr>
        <w:t>,</w:t>
      </w:r>
      <w:r w:rsidRPr="00B424D1">
        <w:rPr>
          <w:spacing w:val="-2"/>
        </w:rPr>
        <w:t xml:space="preserve"> K</w:t>
      </w:r>
      <w:r>
        <w:rPr>
          <w:spacing w:val="-2"/>
        </w:rPr>
        <w:t>.</w:t>
      </w:r>
      <w:r w:rsidRPr="00B424D1">
        <w:rPr>
          <w:spacing w:val="-2"/>
        </w:rPr>
        <w:t>, Wieland</w:t>
      </w:r>
      <w:r>
        <w:rPr>
          <w:spacing w:val="-2"/>
        </w:rPr>
        <w:t>,</w:t>
      </w:r>
      <w:r w:rsidRPr="00B424D1">
        <w:rPr>
          <w:spacing w:val="-2"/>
        </w:rPr>
        <w:t xml:space="preserve"> M</w:t>
      </w:r>
      <w:r>
        <w:rPr>
          <w:spacing w:val="-2"/>
        </w:rPr>
        <w:t>.</w:t>
      </w:r>
      <w:r w:rsidRPr="00B424D1">
        <w:rPr>
          <w:spacing w:val="-2"/>
        </w:rPr>
        <w:t>L</w:t>
      </w:r>
      <w:r>
        <w:rPr>
          <w:spacing w:val="-2"/>
        </w:rPr>
        <w:t>.</w:t>
      </w:r>
      <w:r w:rsidRPr="00B424D1">
        <w:rPr>
          <w:spacing w:val="-2"/>
        </w:rPr>
        <w:t>, Meiers</w:t>
      </w:r>
      <w:r>
        <w:rPr>
          <w:spacing w:val="-2"/>
        </w:rPr>
        <w:t>,</w:t>
      </w:r>
      <w:r w:rsidRPr="00B424D1">
        <w:rPr>
          <w:spacing w:val="-2"/>
        </w:rPr>
        <w:t xml:space="preserve"> S</w:t>
      </w:r>
      <w:r>
        <w:rPr>
          <w:spacing w:val="-2"/>
        </w:rPr>
        <w:t>.</w:t>
      </w:r>
      <w:r w:rsidRPr="00B424D1">
        <w:rPr>
          <w:spacing w:val="-2"/>
        </w:rPr>
        <w:t>J</w:t>
      </w:r>
      <w:r>
        <w:rPr>
          <w:spacing w:val="-2"/>
        </w:rPr>
        <w:t>.</w:t>
      </w:r>
      <w:r w:rsidRPr="00B424D1">
        <w:rPr>
          <w:spacing w:val="-2"/>
        </w:rPr>
        <w:t>, Mohamed</w:t>
      </w:r>
      <w:r>
        <w:rPr>
          <w:spacing w:val="-2"/>
        </w:rPr>
        <w:t>,</w:t>
      </w:r>
      <w:r w:rsidRPr="00B424D1">
        <w:rPr>
          <w:spacing w:val="-2"/>
        </w:rPr>
        <w:t xml:space="preserve"> A</w:t>
      </w:r>
      <w:r>
        <w:rPr>
          <w:spacing w:val="-2"/>
        </w:rPr>
        <w:t>.</w:t>
      </w:r>
      <w:r w:rsidRPr="00B424D1">
        <w:rPr>
          <w:spacing w:val="-2"/>
        </w:rPr>
        <w:t>A</w:t>
      </w:r>
      <w:r>
        <w:rPr>
          <w:spacing w:val="-2"/>
        </w:rPr>
        <w:t>.</w:t>
      </w:r>
      <w:r w:rsidRPr="00B424D1">
        <w:rPr>
          <w:spacing w:val="-2"/>
        </w:rPr>
        <w:t xml:space="preserve">, </w:t>
      </w:r>
      <w:proofErr w:type="spellStart"/>
      <w:r w:rsidRPr="00B424D1">
        <w:rPr>
          <w:spacing w:val="-2"/>
        </w:rPr>
        <w:t>Formea</w:t>
      </w:r>
      <w:proofErr w:type="spellEnd"/>
      <w:r>
        <w:rPr>
          <w:spacing w:val="-2"/>
        </w:rPr>
        <w:t>,</w:t>
      </w:r>
      <w:r w:rsidRPr="00B424D1">
        <w:rPr>
          <w:spacing w:val="-2"/>
        </w:rPr>
        <w:t xml:space="preserve"> C</w:t>
      </w:r>
      <w:r>
        <w:rPr>
          <w:spacing w:val="-2"/>
        </w:rPr>
        <w:t>.</w:t>
      </w:r>
      <w:r w:rsidRPr="00B424D1">
        <w:rPr>
          <w:spacing w:val="-2"/>
        </w:rPr>
        <w:t>M</w:t>
      </w:r>
      <w:r>
        <w:rPr>
          <w:spacing w:val="-2"/>
        </w:rPr>
        <w:t>.</w:t>
      </w:r>
      <w:r w:rsidRPr="00B424D1">
        <w:rPr>
          <w:spacing w:val="-2"/>
        </w:rPr>
        <w:t>, Ridgeway</w:t>
      </w:r>
      <w:r>
        <w:rPr>
          <w:spacing w:val="-2"/>
        </w:rPr>
        <w:t>,</w:t>
      </w:r>
      <w:r w:rsidRPr="00B424D1">
        <w:rPr>
          <w:spacing w:val="-2"/>
        </w:rPr>
        <w:t xml:space="preserve"> J</w:t>
      </w:r>
      <w:r>
        <w:rPr>
          <w:spacing w:val="-2"/>
        </w:rPr>
        <w:t>.</w:t>
      </w:r>
      <w:r w:rsidRPr="00B424D1">
        <w:rPr>
          <w:spacing w:val="-2"/>
        </w:rPr>
        <w:t>L</w:t>
      </w:r>
      <w:r>
        <w:rPr>
          <w:spacing w:val="-2"/>
        </w:rPr>
        <w:t>.</w:t>
      </w:r>
      <w:r w:rsidRPr="00B424D1">
        <w:rPr>
          <w:spacing w:val="-2"/>
        </w:rPr>
        <w:t>, Asiedu</w:t>
      </w:r>
      <w:r>
        <w:rPr>
          <w:spacing w:val="-2"/>
        </w:rPr>
        <w:t>,</w:t>
      </w:r>
      <w:r w:rsidRPr="00B424D1">
        <w:rPr>
          <w:spacing w:val="-2"/>
        </w:rPr>
        <w:t xml:space="preserve"> G</w:t>
      </w:r>
      <w:r>
        <w:rPr>
          <w:spacing w:val="-2"/>
        </w:rPr>
        <w:t>.</w:t>
      </w:r>
      <w:r w:rsidRPr="00B424D1">
        <w:rPr>
          <w:spacing w:val="-2"/>
        </w:rPr>
        <w:t>B</w:t>
      </w:r>
      <w:r>
        <w:rPr>
          <w:spacing w:val="-2"/>
        </w:rPr>
        <w:t>.</w:t>
      </w:r>
      <w:r w:rsidRPr="00B424D1">
        <w:rPr>
          <w:spacing w:val="-2"/>
        </w:rPr>
        <w:t>, Boyum</w:t>
      </w:r>
      <w:r>
        <w:rPr>
          <w:spacing w:val="-2"/>
        </w:rPr>
        <w:t>,</w:t>
      </w:r>
      <w:r w:rsidRPr="00B424D1">
        <w:rPr>
          <w:spacing w:val="-2"/>
        </w:rPr>
        <w:t xml:space="preserve"> G</w:t>
      </w:r>
      <w:r>
        <w:rPr>
          <w:spacing w:val="-2"/>
        </w:rPr>
        <w:t>.</w:t>
      </w:r>
      <w:r w:rsidRPr="00B424D1">
        <w:rPr>
          <w:spacing w:val="-2"/>
        </w:rPr>
        <w:t>, Weis</w:t>
      </w:r>
      <w:r>
        <w:rPr>
          <w:spacing w:val="-2"/>
        </w:rPr>
        <w:t>,</w:t>
      </w:r>
      <w:r w:rsidRPr="00B424D1">
        <w:rPr>
          <w:spacing w:val="-2"/>
        </w:rPr>
        <w:t xml:space="preserve"> J</w:t>
      </w:r>
      <w:r>
        <w:rPr>
          <w:spacing w:val="-2"/>
        </w:rPr>
        <w:t>.</w:t>
      </w:r>
      <w:r w:rsidRPr="00B424D1">
        <w:rPr>
          <w:spacing w:val="-2"/>
        </w:rPr>
        <w:t>A</w:t>
      </w:r>
      <w:r>
        <w:rPr>
          <w:spacing w:val="-2"/>
        </w:rPr>
        <w:t>.</w:t>
      </w:r>
      <w:r w:rsidRPr="00B424D1">
        <w:rPr>
          <w:spacing w:val="-2"/>
        </w:rPr>
        <w:t>, Nigon</w:t>
      </w:r>
      <w:r>
        <w:rPr>
          <w:spacing w:val="-2"/>
        </w:rPr>
        <w:t>,</w:t>
      </w:r>
      <w:r w:rsidRPr="00B424D1">
        <w:rPr>
          <w:spacing w:val="-2"/>
        </w:rPr>
        <w:t xml:space="preserve"> J</w:t>
      </w:r>
      <w:r>
        <w:rPr>
          <w:spacing w:val="-2"/>
        </w:rPr>
        <w:t>.</w:t>
      </w:r>
      <w:r w:rsidRPr="00B424D1">
        <w:rPr>
          <w:spacing w:val="-2"/>
        </w:rPr>
        <w:t>A</w:t>
      </w:r>
      <w:r>
        <w:rPr>
          <w:spacing w:val="-2"/>
        </w:rPr>
        <w:t>.</w:t>
      </w:r>
      <w:r w:rsidRPr="00B424D1">
        <w:rPr>
          <w:spacing w:val="-2"/>
        </w:rPr>
        <w:t>, Patten</w:t>
      </w:r>
      <w:r>
        <w:rPr>
          <w:spacing w:val="-2"/>
        </w:rPr>
        <w:t>,</w:t>
      </w:r>
      <w:r w:rsidRPr="00B424D1">
        <w:rPr>
          <w:spacing w:val="-2"/>
        </w:rPr>
        <w:t xml:space="preserve"> C</w:t>
      </w:r>
      <w:r>
        <w:rPr>
          <w:spacing w:val="-2"/>
        </w:rPr>
        <w:t>.</w:t>
      </w:r>
      <w:r w:rsidRPr="00B424D1">
        <w:rPr>
          <w:spacing w:val="-2"/>
        </w:rPr>
        <w:t>A</w:t>
      </w:r>
      <w:r>
        <w:rPr>
          <w:spacing w:val="-2"/>
        </w:rPr>
        <w:t>.</w:t>
      </w:r>
      <w:r w:rsidRPr="00B424D1">
        <w:rPr>
          <w:spacing w:val="-2"/>
        </w:rPr>
        <w:t>, Sia</w:t>
      </w:r>
      <w:r>
        <w:rPr>
          <w:spacing w:val="-2"/>
        </w:rPr>
        <w:t>,</w:t>
      </w:r>
      <w:r w:rsidRPr="00B424D1">
        <w:rPr>
          <w:spacing w:val="-2"/>
        </w:rPr>
        <w:t xml:space="preserve"> I</w:t>
      </w:r>
      <w:r>
        <w:rPr>
          <w:spacing w:val="-2"/>
        </w:rPr>
        <w:t>.</w:t>
      </w:r>
      <w:r w:rsidRPr="00B424D1">
        <w:rPr>
          <w:spacing w:val="-2"/>
        </w:rPr>
        <w:t xml:space="preserve">G. </w:t>
      </w:r>
      <w:r>
        <w:rPr>
          <w:spacing w:val="-2"/>
        </w:rPr>
        <w:t xml:space="preserve">(2014). </w:t>
      </w:r>
      <w:r w:rsidRPr="00B424D1">
        <w:rPr>
          <w:spacing w:val="-2"/>
        </w:rPr>
        <w:t xml:space="preserve">A focus group study of healthy eating knowledge, practices, and barriers among adult and adolescent immigrants and refugees in the United States. Int J </w:t>
      </w:r>
      <w:proofErr w:type="spellStart"/>
      <w:r w:rsidRPr="00B424D1">
        <w:rPr>
          <w:spacing w:val="-2"/>
        </w:rPr>
        <w:t>Behav</w:t>
      </w:r>
      <w:proofErr w:type="spellEnd"/>
      <w:r w:rsidRPr="00B424D1">
        <w:rPr>
          <w:spacing w:val="-2"/>
        </w:rPr>
        <w:t xml:space="preserve"> </w:t>
      </w:r>
      <w:proofErr w:type="spellStart"/>
      <w:r w:rsidRPr="00B424D1">
        <w:rPr>
          <w:spacing w:val="-2"/>
        </w:rPr>
        <w:t>Nutr</w:t>
      </w:r>
      <w:proofErr w:type="spellEnd"/>
      <w:r w:rsidRPr="00B424D1">
        <w:rPr>
          <w:spacing w:val="-2"/>
        </w:rPr>
        <w:t xml:space="preserve"> Phys Act. 2014 May </w:t>
      </w:r>
      <w:proofErr w:type="gramStart"/>
      <w:r w:rsidRPr="00B424D1">
        <w:rPr>
          <w:spacing w:val="-2"/>
        </w:rPr>
        <w:t>16;11:63</w:t>
      </w:r>
      <w:proofErr w:type="gramEnd"/>
      <w:r w:rsidRPr="00B424D1">
        <w:rPr>
          <w:spacing w:val="-2"/>
        </w:rPr>
        <w:t xml:space="preserve">. </w:t>
      </w:r>
      <w:proofErr w:type="spellStart"/>
      <w:r w:rsidRPr="00B424D1">
        <w:rPr>
          <w:spacing w:val="-2"/>
        </w:rPr>
        <w:t>doi</w:t>
      </w:r>
      <w:proofErr w:type="spellEnd"/>
      <w:r w:rsidRPr="00B424D1">
        <w:rPr>
          <w:spacing w:val="-2"/>
        </w:rPr>
        <w:t>: 10.1186/1479-5868-11-63. PMID: 24886062; PMCID: PMC4030459.</w:t>
      </w:r>
    </w:p>
    <w:p w14:paraId="2978EBCC" w14:textId="77777777" w:rsidR="008E2B2B" w:rsidRDefault="008E2B2B" w:rsidP="008E2B2B">
      <w:pPr>
        <w:pStyle w:val="BodyText"/>
        <w:spacing w:line="360" w:lineRule="auto"/>
        <w:ind w:left="360" w:right="1094"/>
        <w:rPr>
          <w:spacing w:val="-2"/>
        </w:rPr>
      </w:pPr>
    </w:p>
    <w:p w14:paraId="4AE2A8D0" w14:textId="03DCA36F" w:rsidR="00254939" w:rsidRDefault="00254939" w:rsidP="00254939">
      <w:pPr>
        <w:pStyle w:val="BodyText"/>
        <w:numPr>
          <w:ilvl w:val="0"/>
          <w:numId w:val="2"/>
        </w:numPr>
        <w:spacing w:line="360" w:lineRule="auto"/>
        <w:ind w:right="1445"/>
        <w:jc w:val="both"/>
      </w:pPr>
      <w:proofErr w:type="spellStart"/>
      <w:r w:rsidRPr="00903CFF">
        <w:t>Vahabi</w:t>
      </w:r>
      <w:proofErr w:type="spellEnd"/>
      <w:r w:rsidRPr="00903CFF">
        <w:t>,</w:t>
      </w:r>
      <w:r w:rsidRPr="00903CFF">
        <w:rPr>
          <w:spacing w:val="-4"/>
        </w:rPr>
        <w:t xml:space="preserve"> </w:t>
      </w:r>
      <w:r w:rsidRPr="00903CFF">
        <w:t>M.</w:t>
      </w:r>
      <w:r w:rsidR="00526958">
        <w:t>,</w:t>
      </w:r>
      <w:r w:rsidR="00B277CD">
        <w:t xml:space="preserve"> &amp;</w:t>
      </w:r>
      <w:r w:rsidRPr="00903CFF">
        <w:rPr>
          <w:spacing w:val="-4"/>
        </w:rPr>
        <w:t xml:space="preserve"> </w:t>
      </w:r>
      <w:r w:rsidRPr="00903CFF">
        <w:t>Damba,</w:t>
      </w:r>
      <w:r w:rsidRPr="00903CFF">
        <w:rPr>
          <w:spacing w:val="-4"/>
        </w:rPr>
        <w:t xml:space="preserve"> </w:t>
      </w:r>
      <w:r w:rsidRPr="00903CFF">
        <w:t>C.</w:t>
      </w:r>
      <w:r w:rsidRPr="00903CFF">
        <w:rPr>
          <w:spacing w:val="-4"/>
        </w:rPr>
        <w:t xml:space="preserve"> </w:t>
      </w:r>
      <w:r w:rsidRPr="00903CFF">
        <w:t>(2013).</w:t>
      </w:r>
      <w:r w:rsidRPr="00903CFF">
        <w:rPr>
          <w:spacing w:val="-4"/>
        </w:rPr>
        <w:t xml:space="preserve"> </w:t>
      </w:r>
      <w:r w:rsidRPr="00903CFF">
        <w:t>Perceived</w:t>
      </w:r>
      <w:r w:rsidRPr="00903CFF">
        <w:rPr>
          <w:spacing w:val="-4"/>
        </w:rPr>
        <w:t xml:space="preserve"> </w:t>
      </w:r>
      <w:r w:rsidRPr="00903CFF">
        <w:t>barriers</w:t>
      </w:r>
      <w:r w:rsidRPr="00903CFF">
        <w:rPr>
          <w:spacing w:val="-3"/>
        </w:rPr>
        <w:t xml:space="preserve"> </w:t>
      </w:r>
      <w:r w:rsidRPr="00903CFF">
        <w:t>in accessing</w:t>
      </w:r>
      <w:r w:rsidRPr="00903CFF">
        <w:rPr>
          <w:spacing w:val="-4"/>
        </w:rPr>
        <w:t xml:space="preserve"> </w:t>
      </w:r>
      <w:r w:rsidRPr="00903CFF">
        <w:t>food</w:t>
      </w:r>
      <w:r w:rsidRPr="00903CFF">
        <w:rPr>
          <w:spacing w:val="-4"/>
        </w:rPr>
        <w:t xml:space="preserve"> </w:t>
      </w:r>
      <w:r w:rsidRPr="00903CFF">
        <w:t>among</w:t>
      </w:r>
      <w:r w:rsidRPr="00903CFF">
        <w:rPr>
          <w:spacing w:val="-4"/>
        </w:rPr>
        <w:t xml:space="preserve"> </w:t>
      </w:r>
      <w:r w:rsidRPr="00903CFF">
        <w:t>recent Latin</w:t>
      </w:r>
      <w:r w:rsidRPr="00903CFF">
        <w:rPr>
          <w:spacing w:val="-4"/>
        </w:rPr>
        <w:t xml:space="preserve"> </w:t>
      </w:r>
      <w:r w:rsidRPr="00903CFF">
        <w:t>American</w:t>
      </w:r>
      <w:r w:rsidRPr="00903CFF">
        <w:rPr>
          <w:spacing w:val="-4"/>
        </w:rPr>
        <w:t xml:space="preserve"> </w:t>
      </w:r>
      <w:r w:rsidRPr="00903CFF">
        <w:t>immigrants</w:t>
      </w:r>
      <w:r w:rsidRPr="00903CFF">
        <w:rPr>
          <w:spacing w:val="-3"/>
        </w:rPr>
        <w:t xml:space="preserve"> </w:t>
      </w:r>
      <w:r w:rsidRPr="00903CFF">
        <w:t>in</w:t>
      </w:r>
      <w:r w:rsidRPr="00903CFF">
        <w:rPr>
          <w:spacing w:val="-4"/>
        </w:rPr>
        <w:t xml:space="preserve"> </w:t>
      </w:r>
      <w:r w:rsidRPr="00903CFF">
        <w:t>Toronto.</w:t>
      </w:r>
      <w:r w:rsidRPr="00903CFF">
        <w:rPr>
          <w:spacing w:val="-4"/>
        </w:rPr>
        <w:t xml:space="preserve"> </w:t>
      </w:r>
      <w:r w:rsidRPr="00903CFF">
        <w:t>International</w:t>
      </w:r>
      <w:r w:rsidRPr="00903CFF">
        <w:rPr>
          <w:spacing w:val="-1"/>
        </w:rPr>
        <w:t xml:space="preserve"> </w:t>
      </w:r>
      <w:r w:rsidRPr="00903CFF">
        <w:t>Journal</w:t>
      </w:r>
      <w:r w:rsidRPr="00903CFF">
        <w:rPr>
          <w:spacing w:val="-6"/>
        </w:rPr>
        <w:t xml:space="preserve"> </w:t>
      </w:r>
      <w:r w:rsidRPr="00903CFF">
        <w:t>for</w:t>
      </w:r>
      <w:r w:rsidRPr="00903CFF">
        <w:rPr>
          <w:spacing w:val="-4"/>
        </w:rPr>
        <w:t xml:space="preserve"> </w:t>
      </w:r>
      <w:r w:rsidRPr="00903CFF">
        <w:t>Equity</w:t>
      </w:r>
      <w:r w:rsidRPr="00903CFF">
        <w:rPr>
          <w:spacing w:val="-1"/>
        </w:rPr>
        <w:t xml:space="preserve"> </w:t>
      </w:r>
      <w:r w:rsidRPr="00903CFF">
        <w:t>in</w:t>
      </w:r>
      <w:r w:rsidRPr="00903CFF">
        <w:rPr>
          <w:spacing w:val="-4"/>
        </w:rPr>
        <w:t xml:space="preserve"> </w:t>
      </w:r>
      <w:r w:rsidRPr="00903CFF">
        <w:t>Health,</w:t>
      </w:r>
      <w:r w:rsidRPr="00903CFF">
        <w:rPr>
          <w:spacing w:val="-4"/>
        </w:rPr>
        <w:t xml:space="preserve"> </w:t>
      </w:r>
      <w:r w:rsidRPr="00903CFF">
        <w:t>12</w:t>
      </w:r>
      <w:r w:rsidRPr="00903CFF">
        <w:rPr>
          <w:spacing w:val="-4"/>
        </w:rPr>
        <w:t xml:space="preserve"> </w:t>
      </w:r>
      <w:r w:rsidRPr="00903CFF">
        <w:t xml:space="preserve">(1). International Journal for Equity in Health: 11 p. </w:t>
      </w:r>
      <w:hyperlink r:id="rId9" w:history="1">
        <w:r w:rsidRPr="00903CFF">
          <w:rPr>
            <w:rStyle w:val="Hyperlink"/>
          </w:rPr>
          <w:t>https://doi.org/10.1186/1475-9276-12-1</w:t>
        </w:r>
      </w:hyperlink>
      <w:r w:rsidRPr="00903CFF">
        <w:t>.</w:t>
      </w:r>
    </w:p>
    <w:p w14:paraId="13DBB9E3" w14:textId="77777777" w:rsidR="008E2B2B" w:rsidRPr="00254939" w:rsidRDefault="008E2B2B" w:rsidP="008E2B2B">
      <w:pPr>
        <w:pStyle w:val="BodyText"/>
        <w:spacing w:line="360" w:lineRule="auto"/>
        <w:ind w:right="1445"/>
        <w:jc w:val="both"/>
      </w:pPr>
    </w:p>
    <w:p w14:paraId="6CD3897A" w14:textId="77777777" w:rsidR="00B41708" w:rsidRPr="00903CFF" w:rsidRDefault="00B41708" w:rsidP="00B41708">
      <w:pPr>
        <w:pStyle w:val="BodyText"/>
        <w:numPr>
          <w:ilvl w:val="0"/>
          <w:numId w:val="2"/>
        </w:numPr>
        <w:spacing w:line="360" w:lineRule="auto"/>
        <w:ind w:right="1023"/>
      </w:pPr>
      <w:proofErr w:type="spellStart"/>
      <w:r w:rsidRPr="00903CFF">
        <w:t>Wambogo</w:t>
      </w:r>
      <w:proofErr w:type="spellEnd"/>
      <w:r w:rsidRPr="00903CFF">
        <w:t>, E. A., Ghattas, H., Leonard, K. L., &amp; Sahyoun, N. R. (2018). Validity of the</w:t>
      </w:r>
      <w:r w:rsidRPr="00903CFF">
        <w:rPr>
          <w:spacing w:val="-5"/>
        </w:rPr>
        <w:t xml:space="preserve"> </w:t>
      </w:r>
      <w:r w:rsidRPr="00903CFF">
        <w:t>food</w:t>
      </w:r>
      <w:r w:rsidRPr="00903CFF">
        <w:rPr>
          <w:spacing w:val="-3"/>
        </w:rPr>
        <w:t xml:space="preserve"> </w:t>
      </w:r>
      <w:r w:rsidRPr="00903CFF">
        <w:t>insecurity</w:t>
      </w:r>
      <w:r w:rsidRPr="00903CFF">
        <w:rPr>
          <w:spacing w:val="-3"/>
        </w:rPr>
        <w:t xml:space="preserve"> </w:t>
      </w:r>
      <w:r w:rsidRPr="00903CFF">
        <w:t>experience</w:t>
      </w:r>
      <w:r w:rsidRPr="00903CFF">
        <w:rPr>
          <w:spacing w:val="-5"/>
        </w:rPr>
        <w:t xml:space="preserve"> </w:t>
      </w:r>
      <w:r w:rsidRPr="00903CFF">
        <w:t>scale</w:t>
      </w:r>
      <w:r w:rsidRPr="00903CFF">
        <w:rPr>
          <w:spacing w:val="-5"/>
        </w:rPr>
        <w:t xml:space="preserve"> </w:t>
      </w:r>
      <w:r w:rsidRPr="00903CFF">
        <w:t>for</w:t>
      </w:r>
      <w:r w:rsidRPr="00903CFF">
        <w:rPr>
          <w:spacing w:val="-3"/>
        </w:rPr>
        <w:t xml:space="preserve"> </w:t>
      </w:r>
      <w:r w:rsidRPr="00903CFF">
        <w:t>use</w:t>
      </w:r>
      <w:r w:rsidRPr="00903CFF">
        <w:rPr>
          <w:spacing w:val="-5"/>
        </w:rPr>
        <w:t xml:space="preserve"> </w:t>
      </w:r>
      <w:r w:rsidRPr="00903CFF">
        <w:t>in</w:t>
      </w:r>
      <w:r w:rsidRPr="00903CFF">
        <w:rPr>
          <w:spacing w:val="-3"/>
        </w:rPr>
        <w:t xml:space="preserve"> </w:t>
      </w:r>
      <w:r w:rsidRPr="00903CFF">
        <w:t>sub-Saharan</w:t>
      </w:r>
      <w:r w:rsidRPr="00903CFF">
        <w:rPr>
          <w:spacing w:val="-3"/>
        </w:rPr>
        <w:t xml:space="preserve"> </w:t>
      </w:r>
      <w:r w:rsidRPr="00903CFF">
        <w:t>Africa and</w:t>
      </w:r>
      <w:r w:rsidRPr="00903CFF">
        <w:rPr>
          <w:spacing w:val="-3"/>
        </w:rPr>
        <w:t xml:space="preserve"> </w:t>
      </w:r>
      <w:r w:rsidRPr="00903CFF">
        <w:t>characteristics</w:t>
      </w:r>
      <w:r w:rsidRPr="00903CFF">
        <w:rPr>
          <w:spacing w:val="-2"/>
        </w:rPr>
        <w:t xml:space="preserve"> </w:t>
      </w:r>
      <w:r w:rsidRPr="00903CFF">
        <w:t>of</w:t>
      </w:r>
      <w:r w:rsidRPr="00903CFF">
        <w:rPr>
          <w:spacing w:val="-3"/>
        </w:rPr>
        <w:t xml:space="preserve"> </w:t>
      </w:r>
      <w:r w:rsidRPr="00903CFF">
        <w:t>food- insecure individuals. Current developments in nutrition, 2(9), nzy062.</w:t>
      </w:r>
    </w:p>
    <w:p w14:paraId="17250EA4" w14:textId="77777777" w:rsidR="00B41708" w:rsidRPr="00254939" w:rsidRDefault="00B41708" w:rsidP="00254939">
      <w:pPr>
        <w:spacing w:before="1" w:line="357" w:lineRule="auto"/>
        <w:ind w:left="360" w:right="1094"/>
        <w:rPr>
          <w:rFonts w:ascii="Times New Roman" w:hAnsi="Times New Roman" w:cs="Times New Roman"/>
        </w:rPr>
      </w:pPr>
    </w:p>
    <w:p w14:paraId="5C7AF950" w14:textId="77777777" w:rsidR="00B41708" w:rsidRDefault="00B41708"/>
    <w:sectPr w:rsidR="00B4170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674DE" w14:textId="77777777" w:rsidR="00621816" w:rsidRDefault="00621816" w:rsidP="00F8679A">
      <w:pPr>
        <w:spacing w:after="0" w:line="240" w:lineRule="auto"/>
      </w:pPr>
      <w:r>
        <w:separator/>
      </w:r>
    </w:p>
  </w:endnote>
  <w:endnote w:type="continuationSeparator" w:id="0">
    <w:p w14:paraId="04564D0A" w14:textId="77777777" w:rsidR="00621816" w:rsidRDefault="00621816" w:rsidP="00F86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6AE64" w14:textId="77777777" w:rsidR="00621816" w:rsidRDefault="00621816" w:rsidP="00F8679A">
      <w:pPr>
        <w:spacing w:after="0" w:line="240" w:lineRule="auto"/>
      </w:pPr>
      <w:r>
        <w:separator/>
      </w:r>
    </w:p>
  </w:footnote>
  <w:footnote w:type="continuationSeparator" w:id="0">
    <w:p w14:paraId="2D21B0E2" w14:textId="77777777" w:rsidR="00621816" w:rsidRDefault="00621816" w:rsidP="00F8679A">
      <w:pPr>
        <w:spacing w:after="0" w:line="240" w:lineRule="auto"/>
      </w:pPr>
      <w:r>
        <w:continuationSeparator/>
      </w:r>
    </w:p>
  </w:footnote>
  <w:footnote w:id="1">
    <w:p w14:paraId="210BCF5C" w14:textId="77777777" w:rsidR="00F8679A" w:rsidRPr="00664565" w:rsidRDefault="00F8679A" w:rsidP="00F8679A">
      <w:pPr>
        <w:pStyle w:val="BodyText"/>
        <w:spacing w:line="360" w:lineRule="auto"/>
        <w:ind w:left="920" w:right="1018"/>
        <w:jc w:val="both"/>
        <w:rPr>
          <w:sz w:val="20"/>
          <w:szCs w:val="20"/>
        </w:rPr>
      </w:pPr>
      <w:r w:rsidRPr="00664565">
        <w:rPr>
          <w:rStyle w:val="FootnoteReference"/>
          <w:sz w:val="20"/>
          <w:szCs w:val="20"/>
        </w:rPr>
        <w:footnoteRef/>
      </w:r>
      <w:r w:rsidRPr="00664565">
        <w:rPr>
          <w:sz w:val="20"/>
          <w:szCs w:val="20"/>
        </w:rPr>
        <w:t xml:space="preserve"> The</w:t>
      </w:r>
      <w:r w:rsidRPr="00664565">
        <w:rPr>
          <w:spacing w:val="-15"/>
          <w:sz w:val="20"/>
          <w:szCs w:val="20"/>
        </w:rPr>
        <w:t xml:space="preserve"> </w:t>
      </w:r>
      <w:r w:rsidRPr="00664565">
        <w:rPr>
          <w:sz w:val="20"/>
          <w:szCs w:val="20"/>
        </w:rPr>
        <w:t>Food</w:t>
      </w:r>
      <w:r w:rsidRPr="00664565">
        <w:rPr>
          <w:spacing w:val="-14"/>
          <w:sz w:val="20"/>
          <w:szCs w:val="20"/>
        </w:rPr>
        <w:t xml:space="preserve"> </w:t>
      </w:r>
      <w:r w:rsidRPr="00664565">
        <w:rPr>
          <w:sz w:val="20"/>
          <w:szCs w:val="20"/>
        </w:rPr>
        <w:t>Insecurity</w:t>
      </w:r>
      <w:r w:rsidRPr="00664565">
        <w:rPr>
          <w:spacing w:val="-9"/>
          <w:sz w:val="20"/>
          <w:szCs w:val="20"/>
        </w:rPr>
        <w:t xml:space="preserve"> </w:t>
      </w:r>
      <w:r w:rsidRPr="00664565">
        <w:rPr>
          <w:sz w:val="20"/>
          <w:szCs w:val="20"/>
        </w:rPr>
        <w:t>Experience</w:t>
      </w:r>
      <w:r w:rsidRPr="00664565">
        <w:rPr>
          <w:spacing w:val="-15"/>
          <w:sz w:val="20"/>
          <w:szCs w:val="20"/>
        </w:rPr>
        <w:t xml:space="preserve"> </w:t>
      </w:r>
      <w:r w:rsidRPr="00664565">
        <w:rPr>
          <w:sz w:val="20"/>
          <w:szCs w:val="20"/>
        </w:rPr>
        <w:t>Scale,</w:t>
      </w:r>
      <w:r w:rsidRPr="00664565">
        <w:rPr>
          <w:spacing w:val="-9"/>
          <w:sz w:val="20"/>
          <w:szCs w:val="20"/>
        </w:rPr>
        <w:t xml:space="preserve"> </w:t>
      </w:r>
      <w:r w:rsidRPr="00664565">
        <w:rPr>
          <w:sz w:val="20"/>
          <w:szCs w:val="20"/>
        </w:rPr>
        <w:t>established</w:t>
      </w:r>
      <w:r w:rsidRPr="00664565">
        <w:rPr>
          <w:spacing w:val="-14"/>
          <w:sz w:val="20"/>
          <w:szCs w:val="20"/>
        </w:rPr>
        <w:t xml:space="preserve"> </w:t>
      </w:r>
      <w:r w:rsidRPr="00664565">
        <w:rPr>
          <w:sz w:val="20"/>
          <w:szCs w:val="20"/>
        </w:rPr>
        <w:t>by</w:t>
      </w:r>
      <w:r w:rsidRPr="00664565">
        <w:rPr>
          <w:spacing w:val="-4"/>
          <w:sz w:val="20"/>
          <w:szCs w:val="20"/>
        </w:rPr>
        <w:t xml:space="preserve"> </w:t>
      </w:r>
      <w:r w:rsidRPr="00664565">
        <w:rPr>
          <w:sz w:val="20"/>
          <w:szCs w:val="20"/>
        </w:rPr>
        <w:t>the</w:t>
      </w:r>
      <w:r w:rsidRPr="00664565">
        <w:rPr>
          <w:spacing w:val="-15"/>
          <w:sz w:val="20"/>
          <w:szCs w:val="20"/>
        </w:rPr>
        <w:t xml:space="preserve"> </w:t>
      </w:r>
      <w:r w:rsidRPr="00664565">
        <w:rPr>
          <w:sz w:val="20"/>
          <w:szCs w:val="20"/>
        </w:rPr>
        <w:t>FAO’s</w:t>
      </w:r>
      <w:r w:rsidRPr="00664565">
        <w:rPr>
          <w:spacing w:val="-11"/>
          <w:sz w:val="20"/>
          <w:szCs w:val="20"/>
        </w:rPr>
        <w:t xml:space="preserve"> </w:t>
      </w:r>
      <w:r w:rsidRPr="00664565">
        <w:rPr>
          <w:sz w:val="20"/>
          <w:szCs w:val="20"/>
        </w:rPr>
        <w:t>Voices</w:t>
      </w:r>
      <w:r w:rsidRPr="00664565">
        <w:rPr>
          <w:spacing w:val="-12"/>
          <w:sz w:val="20"/>
          <w:szCs w:val="20"/>
        </w:rPr>
        <w:t xml:space="preserve"> </w:t>
      </w:r>
      <w:r w:rsidRPr="00664565">
        <w:rPr>
          <w:sz w:val="20"/>
          <w:szCs w:val="20"/>
        </w:rPr>
        <w:t>of</w:t>
      </w:r>
      <w:r w:rsidRPr="00664565">
        <w:rPr>
          <w:spacing w:val="-13"/>
          <w:sz w:val="20"/>
          <w:szCs w:val="20"/>
        </w:rPr>
        <w:t xml:space="preserve"> </w:t>
      </w:r>
      <w:r w:rsidRPr="00664565">
        <w:rPr>
          <w:sz w:val="20"/>
          <w:szCs w:val="20"/>
        </w:rPr>
        <w:t>the</w:t>
      </w:r>
      <w:r w:rsidRPr="00664565">
        <w:rPr>
          <w:spacing w:val="-15"/>
          <w:sz w:val="20"/>
          <w:szCs w:val="20"/>
        </w:rPr>
        <w:t xml:space="preserve"> </w:t>
      </w:r>
      <w:r w:rsidRPr="00664565">
        <w:rPr>
          <w:sz w:val="20"/>
          <w:szCs w:val="20"/>
        </w:rPr>
        <w:t>Hungry</w:t>
      </w:r>
      <w:r w:rsidRPr="00664565">
        <w:rPr>
          <w:spacing w:val="-13"/>
          <w:sz w:val="20"/>
          <w:szCs w:val="20"/>
        </w:rPr>
        <w:t xml:space="preserve"> </w:t>
      </w:r>
      <w:r w:rsidRPr="00664565">
        <w:rPr>
          <w:sz w:val="20"/>
          <w:szCs w:val="20"/>
        </w:rPr>
        <w:t>Project, is a crucial instrument and gauge of hunger aimed at guiding policy to achieve food security</w:t>
      </w:r>
      <w:r>
        <w:rPr>
          <w:sz w:val="20"/>
          <w:szCs w:val="20"/>
        </w:rPr>
        <w:t>, and</w:t>
      </w:r>
      <w:r w:rsidRPr="00664565">
        <w:rPr>
          <w:sz w:val="20"/>
          <w:szCs w:val="20"/>
        </w:rPr>
        <w:t xml:space="preserve"> with</w:t>
      </w:r>
      <w:r w:rsidRPr="00664565">
        <w:rPr>
          <w:spacing w:val="-13"/>
          <w:sz w:val="20"/>
          <w:szCs w:val="20"/>
        </w:rPr>
        <w:t xml:space="preserve"> </w:t>
      </w:r>
      <w:r w:rsidRPr="00664565">
        <w:rPr>
          <w:sz w:val="20"/>
          <w:szCs w:val="20"/>
        </w:rPr>
        <w:t>the</w:t>
      </w:r>
      <w:r w:rsidRPr="00664565">
        <w:rPr>
          <w:spacing w:val="-14"/>
          <w:sz w:val="20"/>
          <w:szCs w:val="20"/>
        </w:rPr>
        <w:t xml:space="preserve"> </w:t>
      </w:r>
      <w:r w:rsidRPr="00664565">
        <w:rPr>
          <w:sz w:val="20"/>
          <w:szCs w:val="20"/>
        </w:rPr>
        <w:t>use</w:t>
      </w:r>
      <w:r w:rsidRPr="00664565">
        <w:rPr>
          <w:spacing w:val="-14"/>
          <w:sz w:val="20"/>
          <w:szCs w:val="20"/>
        </w:rPr>
        <w:t xml:space="preserve"> </w:t>
      </w:r>
      <w:r w:rsidRPr="00664565">
        <w:rPr>
          <w:sz w:val="20"/>
          <w:szCs w:val="20"/>
        </w:rPr>
        <w:t>of</w:t>
      </w:r>
      <w:r w:rsidRPr="00664565">
        <w:rPr>
          <w:spacing w:val="-12"/>
          <w:sz w:val="20"/>
          <w:szCs w:val="20"/>
        </w:rPr>
        <w:t xml:space="preserve"> </w:t>
      </w:r>
      <w:r w:rsidRPr="00664565">
        <w:rPr>
          <w:sz w:val="20"/>
          <w:szCs w:val="20"/>
        </w:rPr>
        <w:t>data</w:t>
      </w:r>
      <w:r w:rsidRPr="00664565">
        <w:rPr>
          <w:spacing w:val="-14"/>
          <w:sz w:val="20"/>
          <w:szCs w:val="20"/>
        </w:rPr>
        <w:t xml:space="preserve"> </w:t>
      </w:r>
      <w:r w:rsidRPr="00664565">
        <w:rPr>
          <w:sz w:val="20"/>
          <w:szCs w:val="20"/>
        </w:rPr>
        <w:t>from</w:t>
      </w:r>
      <w:r w:rsidRPr="00664565">
        <w:rPr>
          <w:spacing w:val="-14"/>
          <w:sz w:val="20"/>
          <w:szCs w:val="20"/>
        </w:rPr>
        <w:t xml:space="preserve"> </w:t>
      </w:r>
      <w:r w:rsidRPr="00664565">
        <w:rPr>
          <w:sz w:val="20"/>
          <w:szCs w:val="20"/>
        </w:rPr>
        <w:t>the</w:t>
      </w:r>
      <w:r w:rsidRPr="00664565">
        <w:rPr>
          <w:spacing w:val="-14"/>
          <w:sz w:val="20"/>
          <w:szCs w:val="20"/>
        </w:rPr>
        <w:t xml:space="preserve"> </w:t>
      </w:r>
      <w:r w:rsidRPr="00664565">
        <w:rPr>
          <w:sz w:val="20"/>
          <w:szCs w:val="20"/>
        </w:rPr>
        <w:t>2014</w:t>
      </w:r>
      <w:r w:rsidRPr="00664565">
        <w:rPr>
          <w:spacing w:val="-13"/>
          <w:sz w:val="20"/>
          <w:szCs w:val="20"/>
        </w:rPr>
        <w:t xml:space="preserve"> </w:t>
      </w:r>
      <w:r w:rsidRPr="00664565">
        <w:rPr>
          <w:sz w:val="20"/>
          <w:szCs w:val="20"/>
        </w:rPr>
        <w:t>Gallup</w:t>
      </w:r>
      <w:r w:rsidRPr="00664565">
        <w:rPr>
          <w:spacing w:val="-13"/>
          <w:sz w:val="20"/>
          <w:szCs w:val="20"/>
        </w:rPr>
        <w:t xml:space="preserve"> </w:t>
      </w:r>
      <w:r w:rsidRPr="00664565">
        <w:rPr>
          <w:sz w:val="20"/>
          <w:szCs w:val="20"/>
        </w:rPr>
        <w:t>World Poll, has been validated in 151 countries by FAO-VoH, including T</w:t>
      </w:r>
      <w:r>
        <w:rPr>
          <w:sz w:val="20"/>
          <w:szCs w:val="20"/>
        </w:rPr>
        <w:t>urkey</w:t>
      </w:r>
      <w:r w:rsidRPr="00664565">
        <w:rPr>
          <w:sz w:val="20"/>
          <w:szCs w:val="20"/>
        </w:rPr>
        <w:t xml:space="preserve"> (</w:t>
      </w:r>
      <w:r w:rsidRPr="00731C41">
        <w:rPr>
          <w:sz w:val="20"/>
          <w:szCs w:val="20"/>
        </w:rPr>
        <w:t>Food and Agriculture Organization (FAO)</w:t>
      </w:r>
      <w:r w:rsidRPr="00664565">
        <w:rPr>
          <w:sz w:val="20"/>
          <w:szCs w:val="20"/>
        </w:rPr>
        <w:t>, 2017). The scale is focused on peoples’ self-reported experiences and, unlike other measures, is markedly psychological, measuring unobservable traits including but not limited to “aptitude/intelligence, personality, and a broad range of social, psychological, and health- related conditions” (</w:t>
      </w:r>
      <w:r w:rsidRPr="00731C41">
        <w:rPr>
          <w:sz w:val="20"/>
          <w:szCs w:val="20"/>
        </w:rPr>
        <w:t>Food and Agriculture Organization (FAO)</w:t>
      </w:r>
      <w:r w:rsidRPr="00664565">
        <w:rPr>
          <w:sz w:val="20"/>
          <w:szCs w:val="20"/>
        </w:rPr>
        <w:t xml:space="preserve">, 2017).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73A5"/>
    <w:multiLevelType w:val="multilevel"/>
    <w:tmpl w:val="8090911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86A5278"/>
    <w:multiLevelType w:val="hybridMultilevel"/>
    <w:tmpl w:val="FF588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7151282">
    <w:abstractNumId w:val="0"/>
  </w:num>
  <w:num w:numId="2" w16cid:durableId="2074697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79A"/>
    <w:rsid w:val="00075C4B"/>
    <w:rsid w:val="000A06BC"/>
    <w:rsid w:val="000E0CD2"/>
    <w:rsid w:val="00147D4C"/>
    <w:rsid w:val="00173C91"/>
    <w:rsid w:val="001A2C3D"/>
    <w:rsid w:val="001D3F56"/>
    <w:rsid w:val="001F5C06"/>
    <w:rsid w:val="00254939"/>
    <w:rsid w:val="002A43BE"/>
    <w:rsid w:val="002A7E26"/>
    <w:rsid w:val="002C7FB2"/>
    <w:rsid w:val="003046C1"/>
    <w:rsid w:val="00395FD7"/>
    <w:rsid w:val="004950F7"/>
    <w:rsid w:val="004D0EA3"/>
    <w:rsid w:val="00520EED"/>
    <w:rsid w:val="00526958"/>
    <w:rsid w:val="00534895"/>
    <w:rsid w:val="005358C1"/>
    <w:rsid w:val="00562DA8"/>
    <w:rsid w:val="005C0BC1"/>
    <w:rsid w:val="005C6063"/>
    <w:rsid w:val="00614CF8"/>
    <w:rsid w:val="00621816"/>
    <w:rsid w:val="0069491A"/>
    <w:rsid w:val="006D7727"/>
    <w:rsid w:val="00743D46"/>
    <w:rsid w:val="0078711F"/>
    <w:rsid w:val="00816228"/>
    <w:rsid w:val="008B22E2"/>
    <w:rsid w:val="008E2B2B"/>
    <w:rsid w:val="008E67E6"/>
    <w:rsid w:val="009D7BF3"/>
    <w:rsid w:val="00A32B54"/>
    <w:rsid w:val="00A46159"/>
    <w:rsid w:val="00A80577"/>
    <w:rsid w:val="00B17CC3"/>
    <w:rsid w:val="00B277CD"/>
    <w:rsid w:val="00B41422"/>
    <w:rsid w:val="00B41708"/>
    <w:rsid w:val="00B4751F"/>
    <w:rsid w:val="00B76FE0"/>
    <w:rsid w:val="00BA01BC"/>
    <w:rsid w:val="00BC1964"/>
    <w:rsid w:val="00CF5965"/>
    <w:rsid w:val="00D077E5"/>
    <w:rsid w:val="00D72889"/>
    <w:rsid w:val="00E01324"/>
    <w:rsid w:val="00E91DF4"/>
    <w:rsid w:val="00F1751F"/>
    <w:rsid w:val="00F74F66"/>
    <w:rsid w:val="00F86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754AB"/>
  <w15:chartTrackingRefBased/>
  <w15:docId w15:val="{98031731-3F39-457B-A0DC-BB790928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79A"/>
  </w:style>
  <w:style w:type="paragraph" w:styleId="Heading1">
    <w:name w:val="heading 1"/>
    <w:basedOn w:val="Normal"/>
    <w:next w:val="Normal"/>
    <w:link w:val="Heading1Char"/>
    <w:uiPriority w:val="9"/>
    <w:qFormat/>
    <w:rsid w:val="00F867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867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867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67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67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6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6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6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6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7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867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867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67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67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6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6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6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679A"/>
    <w:rPr>
      <w:rFonts w:eastAsiaTheme="majorEastAsia" w:cstheme="majorBidi"/>
      <w:color w:val="272727" w:themeColor="text1" w:themeTint="D8"/>
    </w:rPr>
  </w:style>
  <w:style w:type="paragraph" w:styleId="Title">
    <w:name w:val="Title"/>
    <w:basedOn w:val="Normal"/>
    <w:next w:val="Normal"/>
    <w:link w:val="TitleChar"/>
    <w:uiPriority w:val="10"/>
    <w:qFormat/>
    <w:rsid w:val="00F86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7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67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67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679A"/>
    <w:pPr>
      <w:spacing w:before="160"/>
      <w:jc w:val="center"/>
    </w:pPr>
    <w:rPr>
      <w:i/>
      <w:iCs/>
      <w:color w:val="404040" w:themeColor="text1" w:themeTint="BF"/>
    </w:rPr>
  </w:style>
  <w:style w:type="character" w:customStyle="1" w:styleId="QuoteChar">
    <w:name w:val="Quote Char"/>
    <w:basedOn w:val="DefaultParagraphFont"/>
    <w:link w:val="Quote"/>
    <w:uiPriority w:val="29"/>
    <w:rsid w:val="00F8679A"/>
    <w:rPr>
      <w:i/>
      <w:iCs/>
      <w:color w:val="404040" w:themeColor="text1" w:themeTint="BF"/>
    </w:rPr>
  </w:style>
  <w:style w:type="paragraph" w:styleId="ListParagraph">
    <w:name w:val="List Paragraph"/>
    <w:basedOn w:val="Normal"/>
    <w:uiPriority w:val="34"/>
    <w:qFormat/>
    <w:rsid w:val="00F8679A"/>
    <w:pPr>
      <w:ind w:left="720"/>
      <w:contextualSpacing/>
    </w:pPr>
  </w:style>
  <w:style w:type="character" w:styleId="IntenseEmphasis">
    <w:name w:val="Intense Emphasis"/>
    <w:basedOn w:val="DefaultParagraphFont"/>
    <w:uiPriority w:val="21"/>
    <w:qFormat/>
    <w:rsid w:val="00F8679A"/>
    <w:rPr>
      <w:i/>
      <w:iCs/>
      <w:color w:val="2F5496" w:themeColor="accent1" w:themeShade="BF"/>
    </w:rPr>
  </w:style>
  <w:style w:type="paragraph" w:styleId="IntenseQuote">
    <w:name w:val="Intense Quote"/>
    <w:basedOn w:val="Normal"/>
    <w:next w:val="Normal"/>
    <w:link w:val="IntenseQuoteChar"/>
    <w:uiPriority w:val="30"/>
    <w:qFormat/>
    <w:rsid w:val="00F867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679A"/>
    <w:rPr>
      <w:i/>
      <w:iCs/>
      <w:color w:val="2F5496" w:themeColor="accent1" w:themeShade="BF"/>
    </w:rPr>
  </w:style>
  <w:style w:type="character" w:styleId="IntenseReference">
    <w:name w:val="Intense Reference"/>
    <w:basedOn w:val="DefaultParagraphFont"/>
    <w:uiPriority w:val="32"/>
    <w:qFormat/>
    <w:rsid w:val="00F8679A"/>
    <w:rPr>
      <w:b/>
      <w:bCs/>
      <w:smallCaps/>
      <w:color w:val="2F5496" w:themeColor="accent1" w:themeShade="BF"/>
      <w:spacing w:val="5"/>
    </w:rPr>
  </w:style>
  <w:style w:type="character" w:styleId="FootnoteReference">
    <w:name w:val="footnote reference"/>
    <w:basedOn w:val="DefaultParagraphFont"/>
    <w:uiPriority w:val="99"/>
    <w:semiHidden/>
    <w:unhideWhenUsed/>
    <w:rsid w:val="00F8679A"/>
    <w:rPr>
      <w:vertAlign w:val="superscript"/>
    </w:rPr>
  </w:style>
  <w:style w:type="paragraph" w:styleId="BodyText">
    <w:name w:val="Body Text"/>
    <w:basedOn w:val="Normal"/>
    <w:link w:val="BodyTextChar"/>
    <w:uiPriority w:val="1"/>
    <w:qFormat/>
    <w:rsid w:val="00F8679A"/>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1"/>
    <w:rsid w:val="00F8679A"/>
    <w:rPr>
      <w:rFonts w:ascii="Times New Roman" w:eastAsia="Times New Roman" w:hAnsi="Times New Roman" w:cs="Times New Roman"/>
      <w:kern w:val="0"/>
      <w14:ligatures w14:val="none"/>
    </w:rPr>
  </w:style>
  <w:style w:type="paragraph" w:customStyle="1" w:styleId="TableParagraph">
    <w:name w:val="Table Paragraph"/>
    <w:basedOn w:val="Normal"/>
    <w:uiPriority w:val="1"/>
    <w:qFormat/>
    <w:rsid w:val="00F8679A"/>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character" w:styleId="Hyperlink">
    <w:name w:val="Hyperlink"/>
    <w:basedOn w:val="DefaultParagraphFont"/>
    <w:uiPriority w:val="99"/>
    <w:unhideWhenUsed/>
    <w:rsid w:val="00B417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o.org/publications/card/en/c/2c7ce182-b76d-40bb-9fbe-59ba3c8394fc/" TargetMode="External"/><Relationship Id="rId3" Type="http://schemas.openxmlformats.org/officeDocument/2006/relationships/settings" Target="settings.xml"/><Relationship Id="rId7" Type="http://schemas.openxmlformats.org/officeDocument/2006/relationships/hyperlink" Target="http://www.fao.org/3/a-i4830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86/1475-9276-1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3130</Words>
  <Characters>17845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 Tuncay Alpanda</dc:creator>
  <cp:keywords/>
  <dc:description/>
  <cp:lastModifiedBy>Berna Tuncay Alpanda</cp:lastModifiedBy>
  <cp:revision>2</cp:revision>
  <dcterms:created xsi:type="dcterms:W3CDTF">2026-03-13T21:57:00Z</dcterms:created>
  <dcterms:modified xsi:type="dcterms:W3CDTF">2026-03-13T21:57:00Z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a80770ec-e5ec-486e-874f-752cee132d35</vt:lpwstr>
  </property>
</Properties>
</file>