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44AE1" w14:textId="6902B825" w:rsidR="001A0C21" w:rsidRPr="001A0C21" w:rsidRDefault="001A0C21" w:rsidP="00E30516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 w:hint="eastAsia"/>
          <w:b/>
          <w:bCs/>
          <w:szCs w:val="22"/>
        </w:rPr>
        <w:t>1</w:t>
      </w:r>
      <w:r w:rsidRPr="001A0C21">
        <w:rPr>
          <w:rFonts w:ascii="Times New Roman" w:hAnsi="Times New Roman" w:cs="Times New Roman" w:hint="eastAsia"/>
          <w:b/>
          <w:bCs/>
          <w:szCs w:val="22"/>
        </w:rPr>
        <w:t xml:space="preserve"> Supplementary Table S1. </w:t>
      </w:r>
      <w:r w:rsidRPr="001A0C21">
        <w:rPr>
          <w:rFonts w:ascii="Times New Roman" w:hAnsi="Times New Roman" w:cs="Times New Roman" w:hint="eastAsia"/>
          <w:szCs w:val="22"/>
        </w:rPr>
        <w:t>Absolute sample sizes for subgroup analyses (total n = 23,635)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7"/>
        <w:gridCol w:w="1903"/>
        <w:gridCol w:w="2473"/>
      </w:tblGrid>
      <w:tr w:rsidR="001A0C21" w:rsidRPr="001A0C21" w14:paraId="1349194D" w14:textId="77777777" w:rsidTr="001A0C2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3991D9" w14:textId="77777777" w:rsidR="001A0C21" w:rsidRPr="001A0C21" w:rsidRDefault="001A0C21" w:rsidP="001A0C2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A0C21">
              <w:rPr>
                <w:rFonts w:ascii="Times New Roman" w:hAnsi="Times New Roman" w:cs="Times New Roman"/>
                <w:b/>
                <w:bCs/>
                <w:szCs w:val="22"/>
              </w:rPr>
              <w:t>Subgroup Variable</w:t>
            </w:r>
          </w:p>
        </w:tc>
        <w:tc>
          <w:tcPr>
            <w:tcW w:w="0" w:type="auto"/>
            <w:vAlign w:val="center"/>
            <w:hideMark/>
          </w:tcPr>
          <w:p w14:paraId="1F9D1244" w14:textId="77777777" w:rsidR="001A0C21" w:rsidRPr="001A0C21" w:rsidRDefault="001A0C21" w:rsidP="001A0C2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A0C21">
              <w:rPr>
                <w:rFonts w:ascii="Times New Roman" w:hAnsi="Times New Roman" w:cs="Times New Roman"/>
                <w:b/>
                <w:bCs/>
                <w:szCs w:val="22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67D28BC6" w14:textId="77777777" w:rsidR="001A0C21" w:rsidRPr="001A0C21" w:rsidRDefault="001A0C21" w:rsidP="001A0C2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A0C21">
              <w:rPr>
                <w:rFonts w:ascii="Times New Roman" w:hAnsi="Times New Roman" w:cs="Times New Roman"/>
                <w:b/>
                <w:bCs/>
                <w:szCs w:val="22"/>
              </w:rPr>
              <w:t>Absolute Sample Size (N)</w:t>
            </w:r>
          </w:p>
        </w:tc>
      </w:tr>
      <w:tr w:rsidR="001A0C21" w:rsidRPr="001A0C21" w14:paraId="4B25D981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5C67CD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Age (years)</w:t>
            </w:r>
          </w:p>
        </w:tc>
        <w:tc>
          <w:tcPr>
            <w:tcW w:w="0" w:type="auto"/>
            <w:vAlign w:val="center"/>
            <w:hideMark/>
          </w:tcPr>
          <w:p w14:paraId="52071297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&lt; 40</w:t>
            </w:r>
          </w:p>
        </w:tc>
        <w:tc>
          <w:tcPr>
            <w:tcW w:w="0" w:type="auto"/>
            <w:vAlign w:val="center"/>
            <w:hideMark/>
          </w:tcPr>
          <w:p w14:paraId="74611314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7,223</w:t>
            </w:r>
          </w:p>
        </w:tc>
      </w:tr>
      <w:tr w:rsidR="001A0C21" w:rsidRPr="001A0C21" w14:paraId="10E6D43D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611CB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7B549C1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40–60</w:t>
            </w:r>
          </w:p>
        </w:tc>
        <w:tc>
          <w:tcPr>
            <w:tcW w:w="0" w:type="auto"/>
            <w:vAlign w:val="center"/>
            <w:hideMark/>
          </w:tcPr>
          <w:p w14:paraId="20DB1CA6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7,521</w:t>
            </w:r>
          </w:p>
        </w:tc>
      </w:tr>
      <w:tr w:rsidR="001A0C21" w:rsidRPr="001A0C21" w14:paraId="72661BB7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68EA07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DE6B50F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&gt; 60</w:t>
            </w:r>
          </w:p>
        </w:tc>
        <w:tc>
          <w:tcPr>
            <w:tcW w:w="0" w:type="auto"/>
            <w:vAlign w:val="center"/>
            <w:hideMark/>
          </w:tcPr>
          <w:p w14:paraId="66BCC1DD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8,891</w:t>
            </w:r>
          </w:p>
        </w:tc>
      </w:tr>
      <w:tr w:rsidR="001A0C21" w:rsidRPr="001A0C21" w14:paraId="70024A13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4232EA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Gender</w:t>
            </w:r>
          </w:p>
        </w:tc>
        <w:tc>
          <w:tcPr>
            <w:tcW w:w="0" w:type="auto"/>
            <w:vAlign w:val="center"/>
            <w:hideMark/>
          </w:tcPr>
          <w:p w14:paraId="50A82987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Male</w:t>
            </w:r>
          </w:p>
        </w:tc>
        <w:tc>
          <w:tcPr>
            <w:tcW w:w="0" w:type="auto"/>
            <w:vAlign w:val="center"/>
            <w:hideMark/>
          </w:tcPr>
          <w:p w14:paraId="5E4DF6CF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11,500</w:t>
            </w:r>
          </w:p>
        </w:tc>
      </w:tr>
      <w:tr w:rsidR="001A0C21" w:rsidRPr="001A0C21" w14:paraId="10498C12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E0A3CE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EF8D4B4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Female</w:t>
            </w:r>
          </w:p>
        </w:tc>
        <w:tc>
          <w:tcPr>
            <w:tcW w:w="0" w:type="auto"/>
            <w:vAlign w:val="center"/>
            <w:hideMark/>
          </w:tcPr>
          <w:p w14:paraId="4B04C014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12,135</w:t>
            </w:r>
          </w:p>
        </w:tc>
      </w:tr>
      <w:tr w:rsidR="001A0C21" w:rsidRPr="001A0C21" w14:paraId="4094A868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F48FB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BMI (kg/m²)</w:t>
            </w:r>
          </w:p>
        </w:tc>
        <w:tc>
          <w:tcPr>
            <w:tcW w:w="0" w:type="auto"/>
            <w:vAlign w:val="center"/>
            <w:hideMark/>
          </w:tcPr>
          <w:p w14:paraId="43EFB919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&lt; 25</w:t>
            </w:r>
          </w:p>
        </w:tc>
        <w:tc>
          <w:tcPr>
            <w:tcW w:w="0" w:type="auto"/>
            <w:vAlign w:val="center"/>
            <w:hideMark/>
          </w:tcPr>
          <w:p w14:paraId="5E9CCDEB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6,526</w:t>
            </w:r>
          </w:p>
        </w:tc>
      </w:tr>
      <w:tr w:rsidR="001A0C21" w:rsidRPr="001A0C21" w14:paraId="7E27E88F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0D772C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9A1A135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25–30</w:t>
            </w:r>
          </w:p>
        </w:tc>
        <w:tc>
          <w:tcPr>
            <w:tcW w:w="0" w:type="auto"/>
            <w:vAlign w:val="center"/>
            <w:hideMark/>
          </w:tcPr>
          <w:p w14:paraId="48B2605F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7,679</w:t>
            </w:r>
          </w:p>
        </w:tc>
      </w:tr>
      <w:tr w:rsidR="001A0C21" w:rsidRPr="001A0C21" w14:paraId="3444AC10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11C429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09F4FCF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&gt; 30</w:t>
            </w:r>
          </w:p>
        </w:tc>
        <w:tc>
          <w:tcPr>
            <w:tcW w:w="0" w:type="auto"/>
            <w:vAlign w:val="center"/>
            <w:hideMark/>
          </w:tcPr>
          <w:p w14:paraId="6AC575CA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9,430</w:t>
            </w:r>
          </w:p>
        </w:tc>
      </w:tr>
      <w:tr w:rsidR="001A0C21" w:rsidRPr="001A0C21" w14:paraId="7F0348BC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89A805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Race/Ethnicity</w:t>
            </w:r>
          </w:p>
        </w:tc>
        <w:tc>
          <w:tcPr>
            <w:tcW w:w="0" w:type="auto"/>
            <w:vAlign w:val="center"/>
            <w:hideMark/>
          </w:tcPr>
          <w:p w14:paraId="40FFA939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Mexican American</w:t>
            </w:r>
          </w:p>
        </w:tc>
        <w:tc>
          <w:tcPr>
            <w:tcW w:w="0" w:type="auto"/>
            <w:vAlign w:val="center"/>
            <w:hideMark/>
          </w:tcPr>
          <w:p w14:paraId="2B0BCEA5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3,111</w:t>
            </w:r>
          </w:p>
        </w:tc>
      </w:tr>
      <w:tr w:rsidR="001A0C21" w:rsidRPr="001A0C21" w14:paraId="11E08B25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0A485D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186D932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Other Hispanic</w:t>
            </w:r>
          </w:p>
        </w:tc>
        <w:tc>
          <w:tcPr>
            <w:tcW w:w="0" w:type="auto"/>
            <w:vAlign w:val="center"/>
            <w:hideMark/>
          </w:tcPr>
          <w:p w14:paraId="5D4742F5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2,311</w:t>
            </w:r>
          </w:p>
        </w:tc>
      </w:tr>
      <w:tr w:rsidR="001A0C21" w:rsidRPr="001A0C21" w14:paraId="3208CE64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6D19F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DE4B008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Non-Hispanic White</w:t>
            </w:r>
          </w:p>
        </w:tc>
        <w:tc>
          <w:tcPr>
            <w:tcW w:w="0" w:type="auto"/>
            <w:vAlign w:val="center"/>
            <w:hideMark/>
          </w:tcPr>
          <w:p w14:paraId="3941F2B5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10,275</w:t>
            </w:r>
          </w:p>
        </w:tc>
      </w:tr>
      <w:tr w:rsidR="001A0C21" w:rsidRPr="001A0C21" w14:paraId="385A305E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E2947E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D67682A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Non-Hispanic Black</w:t>
            </w:r>
          </w:p>
        </w:tc>
        <w:tc>
          <w:tcPr>
            <w:tcW w:w="0" w:type="auto"/>
            <w:vAlign w:val="center"/>
            <w:hideMark/>
          </w:tcPr>
          <w:p w14:paraId="5313C42F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5,057</w:t>
            </w:r>
          </w:p>
        </w:tc>
      </w:tr>
      <w:tr w:rsidR="001A0C21" w:rsidRPr="001A0C21" w14:paraId="7ED5DDF8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E5233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5A45662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Other Race</w:t>
            </w:r>
          </w:p>
        </w:tc>
        <w:tc>
          <w:tcPr>
            <w:tcW w:w="0" w:type="auto"/>
            <w:vAlign w:val="center"/>
            <w:hideMark/>
          </w:tcPr>
          <w:p w14:paraId="5C9297C9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2,881</w:t>
            </w:r>
          </w:p>
        </w:tc>
      </w:tr>
      <w:tr w:rsidR="001A0C21" w:rsidRPr="001A0C21" w14:paraId="2BBEA5E2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B17F22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Poverty-to-income ratio (PIR)</w:t>
            </w:r>
          </w:p>
        </w:tc>
        <w:tc>
          <w:tcPr>
            <w:tcW w:w="0" w:type="auto"/>
            <w:vAlign w:val="center"/>
            <w:hideMark/>
          </w:tcPr>
          <w:p w14:paraId="4D6727EC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≤ 1.3</w:t>
            </w:r>
          </w:p>
        </w:tc>
        <w:tc>
          <w:tcPr>
            <w:tcW w:w="0" w:type="auto"/>
            <w:vAlign w:val="center"/>
            <w:hideMark/>
          </w:tcPr>
          <w:p w14:paraId="09736A38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7,170</w:t>
            </w:r>
          </w:p>
        </w:tc>
      </w:tr>
      <w:tr w:rsidR="001A0C21" w:rsidRPr="001A0C21" w14:paraId="053AD38E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EAA24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E01F528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1.3–3.5</w:t>
            </w:r>
          </w:p>
        </w:tc>
        <w:tc>
          <w:tcPr>
            <w:tcW w:w="0" w:type="auto"/>
            <w:vAlign w:val="center"/>
            <w:hideMark/>
          </w:tcPr>
          <w:p w14:paraId="4C26BD59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8,928</w:t>
            </w:r>
          </w:p>
        </w:tc>
      </w:tr>
      <w:tr w:rsidR="001A0C21" w:rsidRPr="001A0C21" w14:paraId="7D213704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D2A85B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891869E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&gt; 3.5</w:t>
            </w:r>
          </w:p>
        </w:tc>
        <w:tc>
          <w:tcPr>
            <w:tcW w:w="0" w:type="auto"/>
            <w:vAlign w:val="center"/>
            <w:hideMark/>
          </w:tcPr>
          <w:p w14:paraId="01E65A42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7,537</w:t>
            </w:r>
          </w:p>
        </w:tc>
      </w:tr>
      <w:tr w:rsidR="001A0C21" w:rsidRPr="001A0C21" w14:paraId="43BA43D3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4898A0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Smoking status</w:t>
            </w:r>
          </w:p>
        </w:tc>
        <w:tc>
          <w:tcPr>
            <w:tcW w:w="0" w:type="auto"/>
            <w:vAlign w:val="center"/>
            <w:hideMark/>
          </w:tcPr>
          <w:p w14:paraId="421432ED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1BF2913B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10,483</w:t>
            </w:r>
          </w:p>
        </w:tc>
      </w:tr>
      <w:tr w:rsidR="001A0C21" w:rsidRPr="001A0C21" w14:paraId="3F607697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C8C2C1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FE43C6E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31EF2B64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13,152</w:t>
            </w:r>
          </w:p>
        </w:tc>
      </w:tr>
      <w:tr w:rsidR="001A0C21" w:rsidRPr="001A0C21" w14:paraId="6E083FD0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261D5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Alcohol consumption</w:t>
            </w:r>
          </w:p>
        </w:tc>
        <w:tc>
          <w:tcPr>
            <w:tcW w:w="0" w:type="auto"/>
            <w:vAlign w:val="center"/>
            <w:hideMark/>
          </w:tcPr>
          <w:p w14:paraId="4060268F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43B4114B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17,688</w:t>
            </w:r>
          </w:p>
        </w:tc>
      </w:tr>
      <w:tr w:rsidR="001A0C21" w:rsidRPr="001A0C21" w14:paraId="5AAF3484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84F909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152AC75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5BAEC457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5,947</w:t>
            </w:r>
          </w:p>
        </w:tc>
      </w:tr>
      <w:tr w:rsidR="001A0C21" w:rsidRPr="001A0C21" w14:paraId="7757AAF5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7E9B60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Hyperlipidemia</w:t>
            </w:r>
          </w:p>
        </w:tc>
        <w:tc>
          <w:tcPr>
            <w:tcW w:w="0" w:type="auto"/>
            <w:vAlign w:val="center"/>
            <w:hideMark/>
          </w:tcPr>
          <w:p w14:paraId="2A1B692C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789E98C5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8,903</w:t>
            </w:r>
          </w:p>
        </w:tc>
      </w:tr>
      <w:tr w:rsidR="001A0C21" w:rsidRPr="001A0C21" w14:paraId="5E069FAC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4680B2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0C42B12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20B51580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14,732</w:t>
            </w:r>
          </w:p>
        </w:tc>
      </w:tr>
    </w:tbl>
    <w:p w14:paraId="7B274F00" w14:textId="77777777" w:rsidR="00250155" w:rsidRDefault="00250155" w:rsidP="00E30516">
      <w:pPr>
        <w:rPr>
          <w:rFonts w:ascii="Times New Roman" w:hAnsi="Times New Roman" w:cs="Times New Roman"/>
          <w:b/>
          <w:bCs/>
          <w:szCs w:val="22"/>
        </w:rPr>
      </w:pPr>
    </w:p>
    <w:p w14:paraId="120B93D7" w14:textId="3878537A" w:rsidR="001A0C21" w:rsidRDefault="001A0C21" w:rsidP="00E30516">
      <w:pPr>
        <w:rPr>
          <w:rFonts w:ascii="Times New Roman" w:hAnsi="Times New Roman" w:cs="Times New Roman"/>
          <w:szCs w:val="22"/>
        </w:rPr>
      </w:pPr>
      <w:r w:rsidRPr="001A0C21">
        <w:rPr>
          <w:rFonts w:ascii="Times New Roman" w:hAnsi="Times New Roman" w:cs="Times New Roman" w:hint="eastAsia"/>
          <w:b/>
          <w:bCs/>
          <w:szCs w:val="22"/>
        </w:rPr>
        <w:t>2 Supplementary Table S2.</w:t>
      </w:r>
      <w:r w:rsidRPr="001A0C21">
        <w:rPr>
          <w:rFonts w:ascii="Times New Roman" w:hAnsi="Times New Roman" w:cs="Times New Roman" w:hint="eastAsia"/>
          <w:szCs w:val="22"/>
        </w:rPr>
        <w:t xml:space="preserve"> Calibration metrics of logistic regression and Gradient Boosting Classifier (GBC) on the independent test set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3"/>
        <w:gridCol w:w="1154"/>
        <w:gridCol w:w="1752"/>
      </w:tblGrid>
      <w:tr w:rsidR="001A0C21" w:rsidRPr="001A0C21" w14:paraId="1DD3569D" w14:textId="77777777" w:rsidTr="001A0C2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CADE75" w14:textId="77777777" w:rsidR="001A0C21" w:rsidRPr="001A0C21" w:rsidRDefault="001A0C21" w:rsidP="001A0C2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A0C21">
              <w:rPr>
                <w:rFonts w:ascii="Times New Roman" w:hAnsi="Times New Roman" w:cs="Times New Roman"/>
                <w:b/>
                <w:bCs/>
                <w:szCs w:val="22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61C50C03" w14:textId="77777777" w:rsidR="001A0C21" w:rsidRPr="001A0C21" w:rsidRDefault="001A0C21" w:rsidP="001A0C2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A0C21">
              <w:rPr>
                <w:rFonts w:ascii="Times New Roman" w:hAnsi="Times New Roman" w:cs="Times New Roman"/>
                <w:b/>
                <w:bCs/>
                <w:szCs w:val="22"/>
              </w:rPr>
              <w:t>Brier Score</w:t>
            </w:r>
          </w:p>
        </w:tc>
        <w:tc>
          <w:tcPr>
            <w:tcW w:w="0" w:type="auto"/>
            <w:vAlign w:val="center"/>
            <w:hideMark/>
          </w:tcPr>
          <w:p w14:paraId="5F6AC34D" w14:textId="77777777" w:rsidR="001A0C21" w:rsidRPr="001A0C21" w:rsidRDefault="001A0C21" w:rsidP="001A0C2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A0C21">
              <w:rPr>
                <w:rFonts w:ascii="Times New Roman" w:hAnsi="Times New Roman" w:cs="Times New Roman"/>
                <w:b/>
                <w:bCs/>
                <w:szCs w:val="22"/>
              </w:rPr>
              <w:t>Calibration Slope</w:t>
            </w:r>
          </w:p>
        </w:tc>
      </w:tr>
      <w:tr w:rsidR="001A0C21" w:rsidRPr="001A0C21" w14:paraId="5389207B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AE7F41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Logistic Regression</w:t>
            </w:r>
          </w:p>
        </w:tc>
        <w:tc>
          <w:tcPr>
            <w:tcW w:w="0" w:type="auto"/>
            <w:vAlign w:val="center"/>
            <w:hideMark/>
          </w:tcPr>
          <w:p w14:paraId="7454BF9F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0.139</w:t>
            </w:r>
          </w:p>
        </w:tc>
        <w:tc>
          <w:tcPr>
            <w:tcW w:w="0" w:type="auto"/>
            <w:vAlign w:val="center"/>
            <w:hideMark/>
          </w:tcPr>
          <w:p w14:paraId="72481CE3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0.88</w:t>
            </w:r>
          </w:p>
        </w:tc>
      </w:tr>
      <w:tr w:rsidR="001A0C21" w:rsidRPr="001A0C21" w14:paraId="64606FCD" w14:textId="77777777" w:rsidTr="001A0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AFFDCD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Gradient Boosting Classifier</w:t>
            </w:r>
          </w:p>
        </w:tc>
        <w:tc>
          <w:tcPr>
            <w:tcW w:w="0" w:type="auto"/>
            <w:vAlign w:val="center"/>
            <w:hideMark/>
          </w:tcPr>
          <w:p w14:paraId="50A8899F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0.116</w:t>
            </w:r>
          </w:p>
        </w:tc>
        <w:tc>
          <w:tcPr>
            <w:tcW w:w="0" w:type="auto"/>
            <w:vAlign w:val="center"/>
            <w:hideMark/>
          </w:tcPr>
          <w:p w14:paraId="6CB48508" w14:textId="77777777" w:rsidR="001A0C21" w:rsidRPr="001A0C21" w:rsidRDefault="001A0C21" w:rsidP="001A0C21">
            <w:pPr>
              <w:rPr>
                <w:rFonts w:ascii="Times New Roman" w:hAnsi="Times New Roman" w:cs="Times New Roman"/>
                <w:szCs w:val="22"/>
              </w:rPr>
            </w:pPr>
            <w:r w:rsidRPr="001A0C21">
              <w:rPr>
                <w:rFonts w:ascii="Times New Roman" w:hAnsi="Times New Roman" w:cs="Times New Roman"/>
                <w:szCs w:val="22"/>
              </w:rPr>
              <w:t>0.961</w:t>
            </w:r>
          </w:p>
        </w:tc>
      </w:tr>
    </w:tbl>
    <w:p w14:paraId="60C31E90" w14:textId="77777777" w:rsidR="00250155" w:rsidRDefault="00250155" w:rsidP="00E30516">
      <w:pPr>
        <w:rPr>
          <w:rFonts w:ascii="Times New Roman" w:hAnsi="Times New Roman" w:cs="Times New Roman"/>
          <w:b/>
          <w:bCs/>
          <w:szCs w:val="22"/>
        </w:rPr>
      </w:pPr>
    </w:p>
    <w:p w14:paraId="43A3EB25" w14:textId="26A29494" w:rsidR="003E4912" w:rsidRDefault="003E4912" w:rsidP="00E30516">
      <w:pPr>
        <w:rPr>
          <w:rFonts w:ascii="Times New Roman" w:hAnsi="Times New Roman" w:cs="Times New Roman" w:hint="eastAsia"/>
          <w:b/>
          <w:bCs/>
          <w:szCs w:val="22"/>
        </w:rPr>
      </w:pPr>
      <w:r>
        <w:rPr>
          <w:rFonts w:ascii="Times New Roman" w:hAnsi="Times New Roman" w:cs="Times New Roman"/>
          <w:b/>
          <w:bCs/>
          <w:noProof/>
          <w:szCs w:val="22"/>
        </w:rPr>
        <w:drawing>
          <wp:inline distT="0" distB="0" distL="0" distR="0" wp14:anchorId="0FEA30AC" wp14:editId="02A5BD62">
            <wp:extent cx="4216400" cy="4262065"/>
            <wp:effectExtent l="0" t="0" r="0" b="5715"/>
            <wp:docPr id="6512114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902" cy="426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BD6F9" w14:textId="2EBE9767" w:rsidR="001A0C21" w:rsidRDefault="00250155" w:rsidP="00E30516">
      <w:pPr>
        <w:rPr>
          <w:rFonts w:ascii="Times New Roman" w:hAnsi="Times New Roman" w:cs="Times New Roman"/>
          <w:szCs w:val="22"/>
        </w:rPr>
      </w:pPr>
      <w:r w:rsidRPr="00250155">
        <w:rPr>
          <w:rFonts w:ascii="Times New Roman" w:hAnsi="Times New Roman" w:cs="Times New Roman" w:hint="eastAsia"/>
          <w:b/>
          <w:bCs/>
          <w:szCs w:val="22"/>
        </w:rPr>
        <w:t xml:space="preserve">3 </w:t>
      </w:r>
      <w:r w:rsidRPr="00250155">
        <w:rPr>
          <w:rFonts w:ascii="Times New Roman" w:hAnsi="Times New Roman" w:cs="Times New Roman" w:hint="eastAsia"/>
          <w:b/>
          <w:bCs/>
          <w:szCs w:val="22"/>
        </w:rPr>
        <w:t>Supplementary Methods:</w:t>
      </w:r>
      <w:r w:rsidRPr="00250155">
        <w:rPr>
          <w:rFonts w:ascii="Times New Roman" w:hAnsi="Times New Roman" w:cs="Times New Roman" w:hint="eastAsia"/>
          <w:szCs w:val="22"/>
        </w:rPr>
        <w:t xml:space="preserve"> Additional details on quartile derivation</w:t>
      </w:r>
    </w:p>
    <w:p w14:paraId="04BB868A" w14:textId="7F7C1A6B" w:rsidR="00250155" w:rsidRPr="000F3994" w:rsidRDefault="00250155" w:rsidP="00E30516">
      <w:pPr>
        <w:rPr>
          <w:rFonts w:ascii="Times New Roman" w:hAnsi="Times New Roman" w:cs="Times New Roman" w:hint="eastAsia"/>
          <w:szCs w:val="22"/>
        </w:rPr>
      </w:pPr>
      <w:r w:rsidRPr="00250155">
        <w:rPr>
          <w:rFonts w:ascii="Times New Roman" w:hAnsi="Times New Roman" w:cs="Times New Roman" w:hint="eastAsia"/>
          <w:szCs w:val="22"/>
        </w:rPr>
        <w:t xml:space="preserve">Quartiles for total physical activity (TMET) and sitting time were calculated on the full analytic sample (n = 23,635) prior to the train/test split to ensure consistent epidemiological thresholds across all analyses. Sensitivity analyses were performed by recalculating quartiles </w:t>
      </w:r>
      <w:r w:rsidRPr="00250155">
        <w:rPr>
          <w:rFonts w:ascii="Times New Roman" w:hAnsi="Times New Roman" w:cs="Times New Roman" w:hint="eastAsia"/>
          <w:szCs w:val="22"/>
        </w:rPr>
        <w:lastRenderedPageBreak/>
        <w:t>using only the training set (n = 16,544); the resulting cut-points and model performance were nearly identical to those derived from the full sample, indicating negligible risk of data leakage.</w:t>
      </w:r>
    </w:p>
    <w:p w14:paraId="78DF24EE" w14:textId="77777777" w:rsidR="00694426" w:rsidRPr="00006C43" w:rsidRDefault="00694426">
      <w:pPr>
        <w:rPr>
          <w:rFonts w:hint="eastAsia"/>
        </w:rPr>
      </w:pPr>
    </w:p>
    <w:sectPr w:rsidR="00694426" w:rsidRPr="00006C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26"/>
    <w:rsid w:val="00006C43"/>
    <w:rsid w:val="00056F64"/>
    <w:rsid w:val="001A0C21"/>
    <w:rsid w:val="00250155"/>
    <w:rsid w:val="003E4912"/>
    <w:rsid w:val="00694426"/>
    <w:rsid w:val="00B674E5"/>
    <w:rsid w:val="00E3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CB840"/>
  <w15:chartTrackingRefBased/>
  <w15:docId w15:val="{00E6D8A1-DDD6-43D3-9BC0-3DD732BC1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C4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44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44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442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442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42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442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442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442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442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944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944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9442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9442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9442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9442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9442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9442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9442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94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44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944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4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944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44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9442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944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9442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944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Zhenxiang Guo</dc:creator>
  <cp:keywords/>
  <dc:description/>
  <cp:lastModifiedBy>Zhenxiang Guo</cp:lastModifiedBy>
  <cp:revision>7</cp:revision>
  <dcterms:created xsi:type="dcterms:W3CDTF">2026-02-25T16:05:00Z</dcterms:created>
  <dcterms:modified xsi:type="dcterms:W3CDTF">2026-02-26T08:57:00Z</dcterms:modified>
</cp:coreProperties>
</file>