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5EBE9" w14:textId="77777777" w:rsidR="000E55EB" w:rsidRPr="000E55EB" w:rsidRDefault="000E55EB" w:rsidP="000E55EB">
      <w:pPr>
        <w:jc w:val="center"/>
        <w:rPr>
          <w:b/>
          <w:bCs/>
          <w:sz w:val="40"/>
          <w:szCs w:val="44"/>
        </w:rPr>
      </w:pPr>
      <w:r w:rsidRPr="000E55EB">
        <w:rPr>
          <w:b/>
          <w:bCs/>
          <w:sz w:val="40"/>
          <w:szCs w:val="44"/>
        </w:rPr>
        <w:t>Supplementary Materials</w:t>
      </w:r>
    </w:p>
    <w:p w14:paraId="5DABE62E" w14:textId="77777777" w:rsidR="000E55EB" w:rsidRDefault="000E55EB" w:rsidP="000E55EB">
      <w:pPr>
        <w:rPr>
          <w:b/>
          <w:bCs/>
        </w:rPr>
      </w:pPr>
    </w:p>
    <w:p w14:paraId="42C83E02" w14:textId="03A7F698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Supplementary Material S1: Mathematical Formulations for Statistical Procedures</w:t>
      </w:r>
    </w:p>
    <w:p w14:paraId="16FFB004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S1.1 Effect Size Calculation</w:t>
      </w:r>
    </w:p>
    <w:p w14:paraId="6A104265" w14:textId="77777777" w:rsidR="000E55EB" w:rsidRPr="000E55EB" w:rsidRDefault="000E55EB" w:rsidP="000E55EB">
      <w:r w:rsidRPr="000E55EB">
        <w:t>For continuous outcomes such as psychological stress scores, the standardized mean difference (SMD) served as the primary effect size measure. We used Hedges' g, which corrects for small-sample bias, computed as:</w:t>
      </w:r>
    </w:p>
    <w:p w14:paraId="0CD01EB2" w14:textId="77777777" w:rsidR="000E55EB" w:rsidRPr="000E55EB" w:rsidRDefault="000E55EB" w:rsidP="000E55EB">
      <w:r w:rsidRPr="000E55EB">
        <w:t>g = (X</w:t>
      </w:r>
      <w:r w:rsidRPr="000E55EB">
        <w:rPr>
          <w:rFonts w:ascii="Times New Roman" w:hAnsi="Times New Roman" w:cs="Times New Roman"/>
        </w:rPr>
        <w:t>̄₁</w:t>
      </w:r>
      <w:r w:rsidRPr="000E55EB">
        <w:t xml:space="preserve"> </w:t>
      </w:r>
      <w:r w:rsidRPr="000E55EB">
        <w:rPr>
          <w:rFonts w:ascii="Cambria Math" w:hAnsi="Cambria Math" w:cs="Cambria Math"/>
        </w:rPr>
        <w:t>−</w:t>
      </w:r>
      <w:r w:rsidRPr="000E55EB">
        <w:t xml:space="preserve"> X</w:t>
      </w:r>
      <w:r w:rsidRPr="000E55EB">
        <w:rPr>
          <w:rFonts w:ascii="Times New Roman" w:hAnsi="Times New Roman" w:cs="Times New Roman"/>
        </w:rPr>
        <w:t>̄₂</w:t>
      </w:r>
      <w:r w:rsidRPr="000E55EB">
        <w:t xml:space="preserve">) / </w:t>
      </w:r>
      <w:proofErr w:type="spellStart"/>
      <w:r w:rsidRPr="000E55EB">
        <w:t>S_pooled</w:t>
      </w:r>
      <w:proofErr w:type="spellEnd"/>
      <w:r w:rsidRPr="000E55EB">
        <w:t xml:space="preserve"> </w:t>
      </w:r>
      <w:r w:rsidRPr="000E55EB">
        <w:rPr>
          <w:rFonts w:ascii="等线" w:eastAsia="等线" w:hAnsi="等线" w:cs="等线" w:hint="eastAsia"/>
        </w:rPr>
        <w:t>×</w:t>
      </w:r>
      <w:r w:rsidRPr="000E55EB">
        <w:t xml:space="preserve"> J</w:t>
      </w:r>
    </w:p>
    <w:p w14:paraId="27364BC3" w14:textId="77777777" w:rsidR="000E55EB" w:rsidRPr="000E55EB" w:rsidRDefault="000E55EB" w:rsidP="000E55EB">
      <w:r w:rsidRPr="000E55EB">
        <w:t>where X</w:t>
      </w:r>
      <w:r w:rsidRPr="000E55EB">
        <w:rPr>
          <w:rFonts w:ascii="Times New Roman" w:hAnsi="Times New Roman" w:cs="Times New Roman"/>
        </w:rPr>
        <w:t>̄₁</w:t>
      </w:r>
      <w:r w:rsidRPr="000E55EB">
        <w:t xml:space="preserve"> and X</w:t>
      </w:r>
      <w:r w:rsidRPr="000E55EB">
        <w:rPr>
          <w:rFonts w:ascii="Times New Roman" w:hAnsi="Times New Roman" w:cs="Times New Roman"/>
        </w:rPr>
        <w:t>̄₂</w:t>
      </w:r>
      <w:r w:rsidRPr="000E55EB">
        <w:t xml:space="preserve"> represent the group means for forest therapy and control conditions, respectively, </w:t>
      </w:r>
      <w:proofErr w:type="spellStart"/>
      <w:r w:rsidRPr="000E55EB">
        <w:t>S_pooled</w:t>
      </w:r>
      <w:proofErr w:type="spellEnd"/>
      <w:r w:rsidRPr="000E55EB">
        <w:t xml:space="preserve"> denotes the pooled standard deviation, and J is the small-sample correction factor [19].</w:t>
      </w:r>
    </w:p>
    <w:p w14:paraId="69053B0C" w14:textId="77777777" w:rsidR="000E55EB" w:rsidRPr="000E55EB" w:rsidRDefault="000E55EB" w:rsidP="000E55EB">
      <w:r w:rsidRPr="000E55EB">
        <w:t>The pooled standard deviation was derived from individual group variances:</w:t>
      </w:r>
    </w:p>
    <w:p w14:paraId="08B738F1" w14:textId="77777777" w:rsidR="000E55EB" w:rsidRPr="000E55EB" w:rsidRDefault="000E55EB" w:rsidP="000E55EB">
      <w:proofErr w:type="spellStart"/>
      <w:r w:rsidRPr="000E55EB">
        <w:t>S_pooled</w:t>
      </w:r>
      <w:proofErr w:type="spellEnd"/>
      <w:r w:rsidRPr="000E55EB">
        <w:t xml:space="preserve"> = √[((n</w:t>
      </w:r>
      <w:r w:rsidRPr="000E55EB">
        <w:rPr>
          <w:rFonts w:ascii="Cambria Math" w:hAnsi="Cambria Math" w:cs="Cambria Math"/>
        </w:rPr>
        <w:t>₁</w:t>
      </w:r>
      <w:r w:rsidRPr="000E55EB">
        <w:t xml:space="preserve"> </w:t>
      </w:r>
      <w:r w:rsidRPr="000E55EB">
        <w:rPr>
          <w:rFonts w:ascii="Cambria Math" w:hAnsi="Cambria Math" w:cs="Cambria Math"/>
        </w:rPr>
        <w:t>−</w:t>
      </w:r>
      <w:r w:rsidRPr="000E55EB">
        <w:t xml:space="preserve"> 1)S</w:t>
      </w:r>
      <w:r w:rsidRPr="000E55EB">
        <w:rPr>
          <w:rFonts w:ascii="Cambria Math" w:hAnsi="Cambria Math" w:cs="Cambria Math"/>
        </w:rPr>
        <w:t>₁</w:t>
      </w:r>
      <w:r w:rsidRPr="000E55EB">
        <w:rPr>
          <w:rFonts w:ascii="等线" w:eastAsia="等线" w:hAnsi="等线" w:cs="等线" w:hint="eastAsia"/>
        </w:rPr>
        <w:t>²</w:t>
      </w:r>
      <w:r w:rsidRPr="000E55EB">
        <w:t xml:space="preserve"> + (n</w:t>
      </w:r>
      <w:r w:rsidRPr="000E55EB">
        <w:rPr>
          <w:rFonts w:ascii="Cambria Math" w:hAnsi="Cambria Math" w:cs="Cambria Math"/>
        </w:rPr>
        <w:t>₂</w:t>
      </w:r>
      <w:r w:rsidRPr="000E55EB">
        <w:t xml:space="preserve"> </w:t>
      </w:r>
      <w:r w:rsidRPr="000E55EB">
        <w:rPr>
          <w:rFonts w:ascii="Cambria Math" w:hAnsi="Cambria Math" w:cs="Cambria Math"/>
        </w:rPr>
        <w:t>−</w:t>
      </w:r>
      <w:r w:rsidRPr="000E55EB">
        <w:t xml:space="preserve"> 1)S</w:t>
      </w:r>
      <w:r w:rsidRPr="000E55EB">
        <w:rPr>
          <w:rFonts w:ascii="Cambria Math" w:hAnsi="Cambria Math" w:cs="Cambria Math"/>
        </w:rPr>
        <w:t>₂</w:t>
      </w:r>
      <w:r w:rsidRPr="000E55EB">
        <w:rPr>
          <w:rFonts w:ascii="等线" w:eastAsia="等线" w:hAnsi="等线" w:cs="等线" w:hint="eastAsia"/>
        </w:rPr>
        <w:t>²</w:t>
      </w:r>
      <w:r w:rsidRPr="000E55EB">
        <w:t>) / (n</w:t>
      </w:r>
      <w:r w:rsidRPr="000E55EB">
        <w:rPr>
          <w:rFonts w:ascii="Cambria Math" w:hAnsi="Cambria Math" w:cs="Cambria Math"/>
        </w:rPr>
        <w:t>₁</w:t>
      </w:r>
      <w:r w:rsidRPr="000E55EB">
        <w:t xml:space="preserve"> + n</w:t>
      </w:r>
      <w:r w:rsidRPr="000E55EB">
        <w:rPr>
          <w:rFonts w:ascii="Cambria Math" w:hAnsi="Cambria Math" w:cs="Cambria Math"/>
        </w:rPr>
        <w:t>₂</w:t>
      </w:r>
      <w:r w:rsidRPr="000E55EB">
        <w:t xml:space="preserve"> </w:t>
      </w:r>
      <w:r w:rsidRPr="000E55EB">
        <w:rPr>
          <w:rFonts w:ascii="Cambria Math" w:hAnsi="Cambria Math" w:cs="Cambria Math"/>
        </w:rPr>
        <w:t>−</w:t>
      </w:r>
      <w:r w:rsidRPr="000E55EB">
        <w:t xml:space="preserve"> 2)]</w:t>
      </w:r>
    </w:p>
    <w:p w14:paraId="78103982" w14:textId="77777777" w:rsidR="000E55EB" w:rsidRPr="000E55EB" w:rsidRDefault="000E55EB" w:rsidP="000E55EB">
      <w:r w:rsidRPr="000E55EB">
        <w:t>where n</w:t>
      </w:r>
      <w:r w:rsidRPr="000E55EB">
        <w:rPr>
          <w:rFonts w:ascii="Cambria Math" w:hAnsi="Cambria Math" w:cs="Cambria Math"/>
        </w:rPr>
        <w:t>₁</w:t>
      </w:r>
      <w:r w:rsidRPr="000E55EB">
        <w:t xml:space="preserve"> and n</w:t>
      </w:r>
      <w:r w:rsidRPr="000E55EB">
        <w:rPr>
          <w:rFonts w:ascii="Cambria Math" w:hAnsi="Cambria Math" w:cs="Cambria Math"/>
        </w:rPr>
        <w:t>₂</w:t>
      </w:r>
      <w:r w:rsidRPr="000E55EB">
        <w:t xml:space="preserve"> are the sample sizes of the two groups, and S</w:t>
      </w:r>
      <w:r w:rsidRPr="000E55EB">
        <w:rPr>
          <w:rFonts w:ascii="Cambria Math" w:hAnsi="Cambria Math" w:cs="Cambria Math"/>
        </w:rPr>
        <w:t>₁</w:t>
      </w:r>
      <w:r w:rsidRPr="000E55EB">
        <w:rPr>
          <w:rFonts w:ascii="等线" w:eastAsia="等线" w:hAnsi="等线" w:cs="等线" w:hint="eastAsia"/>
        </w:rPr>
        <w:t>²</w:t>
      </w:r>
      <w:r w:rsidRPr="000E55EB">
        <w:t xml:space="preserve"> and S</w:t>
      </w:r>
      <w:r w:rsidRPr="000E55EB">
        <w:rPr>
          <w:rFonts w:ascii="Cambria Math" w:hAnsi="Cambria Math" w:cs="Cambria Math"/>
        </w:rPr>
        <w:t>₂</w:t>
      </w:r>
      <w:r w:rsidRPr="000E55EB">
        <w:rPr>
          <w:rFonts w:ascii="等线" w:eastAsia="等线" w:hAnsi="等线" w:cs="等线" w:hint="eastAsia"/>
        </w:rPr>
        <w:t>²</w:t>
      </w:r>
      <w:r w:rsidRPr="000E55EB">
        <w:t xml:space="preserve"> are their respective variances.</w:t>
      </w:r>
    </w:p>
    <w:p w14:paraId="217B26C4" w14:textId="77777777" w:rsidR="000E55EB" w:rsidRPr="000E55EB" w:rsidRDefault="000E55EB" w:rsidP="000E55EB">
      <w:r w:rsidRPr="000E55EB">
        <w:t>The small-sample correction factor J was calculated as:</w:t>
      </w:r>
    </w:p>
    <w:p w14:paraId="0C8AEE78" w14:textId="77777777" w:rsidR="000E55EB" w:rsidRPr="000E55EB" w:rsidRDefault="000E55EB" w:rsidP="000E55EB">
      <w:r w:rsidRPr="000E55EB">
        <w:t xml:space="preserve">J = 1 </w:t>
      </w:r>
      <w:r w:rsidRPr="000E55EB">
        <w:rPr>
          <w:rFonts w:ascii="Cambria Math" w:hAnsi="Cambria Math" w:cs="Cambria Math"/>
        </w:rPr>
        <w:t>−</w:t>
      </w:r>
      <w:r w:rsidRPr="000E55EB">
        <w:t xml:space="preserve"> 3 / (4(n</w:t>
      </w:r>
      <w:r w:rsidRPr="000E55EB">
        <w:rPr>
          <w:rFonts w:ascii="Cambria Math" w:hAnsi="Cambria Math" w:cs="Cambria Math"/>
        </w:rPr>
        <w:t>₁</w:t>
      </w:r>
      <w:r w:rsidRPr="000E55EB">
        <w:t xml:space="preserve"> + n</w:t>
      </w:r>
      <w:r w:rsidRPr="000E55EB">
        <w:rPr>
          <w:rFonts w:ascii="Cambria Math" w:hAnsi="Cambria Math" w:cs="Cambria Math"/>
        </w:rPr>
        <w:t>₂</w:t>
      </w:r>
      <w:r w:rsidRPr="000E55EB">
        <w:t xml:space="preserve"> </w:t>
      </w:r>
      <w:r w:rsidRPr="000E55EB">
        <w:rPr>
          <w:rFonts w:ascii="Cambria Math" w:hAnsi="Cambria Math" w:cs="Cambria Math"/>
        </w:rPr>
        <w:t>−</w:t>
      </w:r>
      <w:r w:rsidRPr="000E55EB">
        <w:t xml:space="preserve"> 2) </w:t>
      </w:r>
      <w:r w:rsidRPr="000E55EB">
        <w:rPr>
          <w:rFonts w:ascii="Cambria Math" w:hAnsi="Cambria Math" w:cs="Cambria Math"/>
        </w:rPr>
        <w:t>−</w:t>
      </w:r>
      <w:r w:rsidRPr="000E55EB">
        <w:t xml:space="preserve"> 1)</w:t>
      </w:r>
    </w:p>
    <w:p w14:paraId="48EB2D16" w14:textId="77777777" w:rsidR="000E55EB" w:rsidRPr="000E55EB" w:rsidRDefault="000E55EB" w:rsidP="000E55EB">
      <w:r w:rsidRPr="000E55EB">
        <w:t>This correction reduces the upward bias in effect size estimates that arises in studies with small samples [19, 20].</w:t>
      </w:r>
    </w:p>
    <w:p w14:paraId="012D8761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S1.2 Fixed-Effects and Random-Effects Pooling Models</w:t>
      </w:r>
    </w:p>
    <w:p w14:paraId="4AAF344F" w14:textId="77777777" w:rsidR="000E55EB" w:rsidRPr="000E55EB" w:rsidRDefault="000E55EB" w:rsidP="000E55EB">
      <w:r w:rsidRPr="000E55EB">
        <w:t>Under the fixed-effects model, which assumes a common true effect across studies, the pooled effect estimate is obtained by weighting each study inversely by its variance [20]:</w:t>
      </w:r>
    </w:p>
    <w:p w14:paraId="3E768AA6" w14:textId="77777777" w:rsidR="000E55EB" w:rsidRPr="000E55EB" w:rsidRDefault="000E55EB" w:rsidP="000E55EB">
      <w:proofErr w:type="spellStart"/>
      <w:r w:rsidRPr="000E55EB">
        <w:t>θ</w:t>
      </w:r>
      <w:r w:rsidRPr="000E55EB">
        <w:rPr>
          <w:rFonts w:ascii="Times New Roman" w:hAnsi="Times New Roman" w:cs="Times New Roman"/>
        </w:rPr>
        <w:t>̄</w:t>
      </w:r>
      <w:r w:rsidRPr="000E55EB">
        <w:t>_F</w:t>
      </w:r>
      <w:proofErr w:type="spellEnd"/>
      <w:r w:rsidRPr="000E55EB">
        <w:t xml:space="preserve"> = </w:t>
      </w:r>
      <w:r w:rsidRPr="000E55EB">
        <w:rPr>
          <w:rFonts w:ascii="等线" w:eastAsia="等线" w:hAnsi="等线" w:cs="等线" w:hint="eastAsia"/>
        </w:rPr>
        <w:t>Σ</w:t>
      </w:r>
      <w:r w:rsidRPr="000E55EB">
        <w:rPr>
          <w:rFonts w:ascii="Times New Roman" w:hAnsi="Times New Roman" w:cs="Times New Roman"/>
        </w:rPr>
        <w:t>ᵢ</w:t>
      </w:r>
      <w:r w:rsidRPr="000E55EB">
        <w:rPr>
          <w:rFonts w:ascii="Cambria Math" w:hAnsi="Cambria Math" w:cs="Cambria Math"/>
        </w:rPr>
        <w:t>₌₁</w:t>
      </w:r>
      <w:r w:rsidRPr="000E55EB">
        <w:rPr>
          <w:rFonts w:ascii="Times New Roman" w:hAnsi="Times New Roman" w:cs="Times New Roman"/>
        </w:rPr>
        <w:t>ᵏ</w:t>
      </w:r>
      <w:r w:rsidRPr="000E55EB">
        <w:t xml:space="preserve"> (</w:t>
      </w:r>
      <w:proofErr w:type="spellStart"/>
      <w:r w:rsidRPr="000E55EB">
        <w:t>w</w:t>
      </w:r>
      <w:r w:rsidRPr="000E55EB">
        <w:rPr>
          <w:rFonts w:ascii="Times New Roman" w:hAnsi="Times New Roman" w:cs="Times New Roman"/>
        </w:rPr>
        <w:t>ᵢ</w:t>
      </w:r>
      <w:r w:rsidRPr="000E55EB">
        <w:t>θ</w:t>
      </w:r>
      <w:proofErr w:type="spellEnd"/>
      <w:r w:rsidRPr="000E55EB">
        <w:rPr>
          <w:rFonts w:ascii="Times New Roman" w:hAnsi="Times New Roman" w:cs="Times New Roman"/>
        </w:rPr>
        <w:t>ᵢ</w:t>
      </w:r>
      <w:r w:rsidRPr="000E55EB">
        <w:t>) / Σ</w:t>
      </w:r>
      <w:r w:rsidRPr="000E55EB">
        <w:rPr>
          <w:rFonts w:ascii="Times New Roman" w:hAnsi="Times New Roman" w:cs="Times New Roman"/>
        </w:rPr>
        <w:t>ᵢ</w:t>
      </w:r>
      <w:r w:rsidRPr="000E55EB">
        <w:rPr>
          <w:rFonts w:ascii="Cambria Math" w:hAnsi="Cambria Math" w:cs="Cambria Math"/>
        </w:rPr>
        <w:t>₌₁</w:t>
      </w:r>
      <w:r w:rsidRPr="000E55EB">
        <w:rPr>
          <w:rFonts w:ascii="Times New Roman" w:hAnsi="Times New Roman" w:cs="Times New Roman"/>
        </w:rPr>
        <w:t>ᵏ</w:t>
      </w:r>
      <w:r w:rsidRPr="000E55EB">
        <w:t xml:space="preserve"> w</w:t>
      </w:r>
      <w:r w:rsidRPr="000E55EB">
        <w:rPr>
          <w:rFonts w:ascii="Times New Roman" w:hAnsi="Times New Roman" w:cs="Times New Roman"/>
        </w:rPr>
        <w:t>ᵢ</w:t>
      </w:r>
    </w:p>
    <w:p w14:paraId="64B1E056" w14:textId="77777777" w:rsidR="000E55EB" w:rsidRPr="000E55EB" w:rsidRDefault="000E55EB" w:rsidP="000E55EB">
      <w:r w:rsidRPr="000E55EB">
        <w:t>where w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= 1/v</w:t>
      </w:r>
      <w:r w:rsidRPr="000E55EB">
        <w:rPr>
          <w:rFonts w:ascii="Times New Roman" w:hAnsi="Times New Roman" w:cs="Times New Roman"/>
        </w:rPr>
        <w:t>ᵢ</w:t>
      </w:r>
      <w:r w:rsidRPr="000E55EB">
        <w:t>, θ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is the effect size of study </w:t>
      </w:r>
      <w:proofErr w:type="spellStart"/>
      <w:r w:rsidRPr="000E55EB">
        <w:t>i</w:t>
      </w:r>
      <w:proofErr w:type="spellEnd"/>
      <w:r w:rsidRPr="000E55EB">
        <w:t>, v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is its sampling variance, and k is the total number of studies.</w:t>
      </w:r>
    </w:p>
    <w:p w14:paraId="16F841E0" w14:textId="77777777" w:rsidR="000E55EB" w:rsidRPr="000E55EB" w:rsidRDefault="000E55EB" w:rsidP="000E55EB">
      <w:r w:rsidRPr="000E55EB">
        <w:t>Given the anticipated clinical and methodological diversity across included studies, we adopted the random-effects model, which incorporates between-study variance τ² into the weighting scheme:</w:t>
      </w:r>
    </w:p>
    <w:p w14:paraId="4D03E0CD" w14:textId="77777777" w:rsidR="000E55EB" w:rsidRPr="000E55EB" w:rsidRDefault="000E55EB" w:rsidP="000E55EB">
      <w:r w:rsidRPr="000E55EB">
        <w:t>w</w:t>
      </w:r>
      <w:r w:rsidRPr="000E55EB">
        <w:rPr>
          <w:rFonts w:ascii="Times New Roman" w:hAnsi="Times New Roman" w:cs="Times New Roman"/>
        </w:rPr>
        <w:t>ᵢ</w:t>
      </w:r>
      <w:r w:rsidRPr="000E55EB">
        <w:t>* = 1 / (v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+ τ²)</w:t>
      </w:r>
    </w:p>
    <w:p w14:paraId="28D3FBAE" w14:textId="77777777" w:rsidR="000E55EB" w:rsidRPr="000E55EB" w:rsidRDefault="000E55EB" w:rsidP="000E55EB">
      <w:r w:rsidRPr="000E55EB">
        <w:t xml:space="preserve">where τ² represents the between-study variance estimated using the </w:t>
      </w:r>
      <w:proofErr w:type="spellStart"/>
      <w:r w:rsidRPr="000E55EB">
        <w:t>DerSimonian</w:t>
      </w:r>
      <w:proofErr w:type="spellEnd"/>
      <w:r w:rsidRPr="000E55EB">
        <w:t>-Laird method [20]:</w:t>
      </w:r>
    </w:p>
    <w:p w14:paraId="676B0891" w14:textId="77777777" w:rsidR="000E55EB" w:rsidRPr="000E55EB" w:rsidRDefault="000E55EB" w:rsidP="000E55EB">
      <w:r w:rsidRPr="000E55EB">
        <w:t xml:space="preserve">τ² = (Q </w:t>
      </w:r>
      <w:r w:rsidRPr="000E55EB">
        <w:rPr>
          <w:rFonts w:ascii="Cambria Math" w:hAnsi="Cambria Math" w:cs="Cambria Math"/>
        </w:rPr>
        <w:t>−</w:t>
      </w:r>
      <w:r w:rsidRPr="000E55EB">
        <w:t xml:space="preserve"> (k </w:t>
      </w:r>
      <w:r w:rsidRPr="000E55EB">
        <w:rPr>
          <w:rFonts w:ascii="Cambria Math" w:hAnsi="Cambria Math" w:cs="Cambria Math"/>
        </w:rPr>
        <w:t>−</w:t>
      </w:r>
      <w:r w:rsidRPr="000E55EB">
        <w:t xml:space="preserve"> 1)) / (</w:t>
      </w:r>
      <w:r w:rsidRPr="000E55EB">
        <w:rPr>
          <w:rFonts w:ascii="等线" w:eastAsia="等线" w:hAnsi="等线" w:cs="等线" w:hint="eastAsia"/>
        </w:rPr>
        <w:t>Σ</w:t>
      </w:r>
      <w:r w:rsidRPr="000E55EB">
        <w:t>w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</w:t>
      </w:r>
      <w:r w:rsidRPr="000E55EB">
        <w:rPr>
          <w:rFonts w:ascii="Cambria Math" w:hAnsi="Cambria Math" w:cs="Cambria Math"/>
        </w:rPr>
        <w:t>−</w:t>
      </w:r>
      <w:r w:rsidRPr="000E55EB">
        <w:t xml:space="preserve"> </w:t>
      </w:r>
      <w:r w:rsidRPr="000E55EB">
        <w:rPr>
          <w:rFonts w:ascii="等线" w:eastAsia="等线" w:hAnsi="等线" w:cs="等线" w:hint="eastAsia"/>
        </w:rPr>
        <w:t>Σ</w:t>
      </w:r>
      <w:r w:rsidRPr="000E55EB">
        <w:t>w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² / </w:t>
      </w:r>
      <w:proofErr w:type="spellStart"/>
      <w:r w:rsidRPr="000E55EB">
        <w:t>Σw</w:t>
      </w:r>
      <w:proofErr w:type="spellEnd"/>
      <w:r w:rsidRPr="000E55EB">
        <w:rPr>
          <w:rFonts w:ascii="Times New Roman" w:hAnsi="Times New Roman" w:cs="Times New Roman"/>
        </w:rPr>
        <w:t>ᵢ</w:t>
      </w:r>
      <w:r w:rsidRPr="000E55EB">
        <w:t>)</w:t>
      </w:r>
    </w:p>
    <w:p w14:paraId="10349206" w14:textId="77777777" w:rsidR="000E55EB" w:rsidRPr="000E55EB" w:rsidRDefault="000E55EB" w:rsidP="000E55EB">
      <w:r w:rsidRPr="000E55EB">
        <w:t>This approach assigns relatively more equal weight to studies of different sizes compared to the fixed-effects model, reflecting the assumption that each study estimates a different but related true effect [52].</w:t>
      </w:r>
    </w:p>
    <w:p w14:paraId="4BD2A082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S1.3 Heterogeneity Assessment</w:t>
      </w:r>
    </w:p>
    <w:p w14:paraId="6A647B22" w14:textId="77777777" w:rsidR="000E55EB" w:rsidRPr="000E55EB" w:rsidRDefault="000E55EB" w:rsidP="000E55EB">
      <w:r w:rsidRPr="000E55EB">
        <w:t>Cochran's Q statistic tests whether observed variation exceeds what would be expected from sampling error alone [21]:</w:t>
      </w:r>
    </w:p>
    <w:p w14:paraId="2BD4B460" w14:textId="77777777" w:rsidR="000E55EB" w:rsidRPr="000E55EB" w:rsidRDefault="000E55EB" w:rsidP="000E55EB">
      <w:r w:rsidRPr="000E55EB">
        <w:t>Q = Σ</w:t>
      </w:r>
      <w:r w:rsidRPr="000E55EB">
        <w:rPr>
          <w:rFonts w:ascii="Times New Roman" w:hAnsi="Times New Roman" w:cs="Times New Roman"/>
        </w:rPr>
        <w:t>ᵢ</w:t>
      </w:r>
      <w:r w:rsidRPr="000E55EB">
        <w:rPr>
          <w:rFonts w:ascii="Cambria Math" w:hAnsi="Cambria Math" w:cs="Cambria Math"/>
        </w:rPr>
        <w:t>₌₁</w:t>
      </w:r>
      <w:r w:rsidRPr="000E55EB">
        <w:rPr>
          <w:rFonts w:ascii="Times New Roman" w:hAnsi="Times New Roman" w:cs="Times New Roman"/>
        </w:rPr>
        <w:t>ᵏ</w:t>
      </w:r>
      <w:r w:rsidRPr="000E55EB">
        <w:t xml:space="preserve"> w</w:t>
      </w:r>
      <w:r w:rsidRPr="000E55EB">
        <w:rPr>
          <w:rFonts w:ascii="Times New Roman" w:hAnsi="Times New Roman" w:cs="Times New Roman"/>
        </w:rPr>
        <w:t>ᵢ</w:t>
      </w:r>
      <w:r w:rsidRPr="000E55EB">
        <w:t>(θ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</w:t>
      </w:r>
      <w:r w:rsidRPr="000E55EB">
        <w:rPr>
          <w:rFonts w:ascii="Cambria Math" w:hAnsi="Cambria Math" w:cs="Cambria Math"/>
        </w:rPr>
        <w:t>−</w:t>
      </w:r>
      <w:r w:rsidRPr="000E55EB">
        <w:t xml:space="preserve"> </w:t>
      </w:r>
      <w:r w:rsidRPr="000E55EB">
        <w:rPr>
          <w:rFonts w:ascii="等线" w:eastAsia="等线" w:hAnsi="等线" w:cs="等线" w:hint="eastAsia"/>
        </w:rPr>
        <w:t>θ</w:t>
      </w:r>
      <w:r w:rsidRPr="000E55EB">
        <w:rPr>
          <w:rFonts w:ascii="Times New Roman" w:hAnsi="Times New Roman" w:cs="Times New Roman"/>
        </w:rPr>
        <w:t>̄</w:t>
      </w:r>
      <w:r w:rsidRPr="000E55EB">
        <w:t>_F)</w:t>
      </w:r>
      <w:r w:rsidRPr="000E55EB">
        <w:rPr>
          <w:rFonts w:ascii="等线" w:eastAsia="等线" w:hAnsi="等线" w:cs="等线" w:hint="eastAsia"/>
        </w:rPr>
        <w:t>²</w:t>
      </w:r>
    </w:p>
    <w:p w14:paraId="1A18855E" w14:textId="77777777" w:rsidR="000E55EB" w:rsidRPr="000E55EB" w:rsidRDefault="000E55EB" w:rsidP="000E55EB">
      <w:r w:rsidRPr="000E55EB">
        <w:t xml:space="preserve">This statistic follows a chi-squared distribution with k </w:t>
      </w:r>
      <w:r w:rsidRPr="000E55EB">
        <w:rPr>
          <w:rFonts w:ascii="Cambria Math" w:hAnsi="Cambria Math" w:cs="Cambria Math"/>
        </w:rPr>
        <w:t>−</w:t>
      </w:r>
      <w:r w:rsidRPr="000E55EB">
        <w:t xml:space="preserve"> 1 degrees of freedom. However, Q has limited power when the number of studies is small. The I</w:t>
      </w:r>
      <w:r w:rsidRPr="000E55EB">
        <w:rPr>
          <w:rFonts w:ascii="等线" w:eastAsia="等线" w:hAnsi="等线" w:cs="等线" w:hint="eastAsia"/>
        </w:rPr>
        <w:t>²</w:t>
      </w:r>
      <w:r w:rsidRPr="000E55EB">
        <w:t xml:space="preserve"> statistic provides a more interpretable complement by expressing heterogeneity as a proportion of total variability [22]:</w:t>
      </w:r>
    </w:p>
    <w:p w14:paraId="39C12D5B" w14:textId="77777777" w:rsidR="000E55EB" w:rsidRPr="000E55EB" w:rsidRDefault="000E55EB" w:rsidP="000E55EB">
      <w:r w:rsidRPr="000E55EB">
        <w:t xml:space="preserve">I² = ((Q </w:t>
      </w:r>
      <w:r w:rsidRPr="000E55EB">
        <w:rPr>
          <w:rFonts w:ascii="Cambria Math" w:hAnsi="Cambria Math" w:cs="Cambria Math"/>
        </w:rPr>
        <w:t>−</w:t>
      </w:r>
      <w:r w:rsidRPr="000E55EB">
        <w:t xml:space="preserve"> (k </w:t>
      </w:r>
      <w:r w:rsidRPr="000E55EB">
        <w:rPr>
          <w:rFonts w:ascii="Cambria Math" w:hAnsi="Cambria Math" w:cs="Cambria Math"/>
        </w:rPr>
        <w:t>−</w:t>
      </w:r>
      <w:r w:rsidRPr="000E55EB">
        <w:t xml:space="preserve"> 1)) / Q) </w:t>
      </w:r>
      <w:r w:rsidRPr="000E55EB">
        <w:rPr>
          <w:rFonts w:ascii="等线" w:eastAsia="等线" w:hAnsi="等线" w:cs="等线" w:hint="eastAsia"/>
        </w:rPr>
        <w:t>×</w:t>
      </w:r>
      <w:r w:rsidRPr="000E55EB">
        <w:t xml:space="preserve"> 100%</w:t>
      </w:r>
    </w:p>
    <w:p w14:paraId="42F5DD77" w14:textId="77777777" w:rsidR="000E55EB" w:rsidRPr="000E55EB" w:rsidRDefault="000E55EB" w:rsidP="000E55EB">
      <w:r w:rsidRPr="000E55EB">
        <w:lastRenderedPageBreak/>
        <w:t>Values of 25%, 50%, and 75% are conventionally interpreted as low, moderate, and high heterogeneity, respectively.</w:t>
      </w:r>
    </w:p>
    <w:p w14:paraId="6D3DFD2A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S1.4 Subgroup Analysis</w:t>
      </w:r>
    </w:p>
    <w:p w14:paraId="7E26136A" w14:textId="77777777" w:rsidR="000E55EB" w:rsidRPr="000E55EB" w:rsidRDefault="000E55EB" w:rsidP="000E55EB">
      <w:r w:rsidRPr="000E55EB">
        <w:t>When substantial heterogeneity was present, subgroup analysis partitioned studies according to categorical moderators to examine whether effect sizes differed systematically across categories [23]. The between-subgroup difference was tested using:</w:t>
      </w:r>
    </w:p>
    <w:p w14:paraId="15C3BDB9" w14:textId="77777777" w:rsidR="000E55EB" w:rsidRPr="000E55EB" w:rsidRDefault="000E55EB" w:rsidP="000E55EB">
      <w:proofErr w:type="spellStart"/>
      <w:r w:rsidRPr="000E55EB">
        <w:t>Q_b</w:t>
      </w:r>
      <w:proofErr w:type="spellEnd"/>
      <w:r w:rsidRPr="000E55EB">
        <w:t xml:space="preserve"> = Σ</w:t>
      </w:r>
      <w:r w:rsidRPr="000E55EB">
        <w:rPr>
          <w:rFonts w:ascii="Times New Roman" w:hAnsi="Times New Roman" w:cs="Times New Roman"/>
        </w:rPr>
        <w:t>ⱼ₌₁ᵖ</w:t>
      </w:r>
      <w:r w:rsidRPr="000E55EB">
        <w:t xml:space="preserve"> w</w:t>
      </w:r>
      <w:r w:rsidRPr="000E55EB">
        <w:rPr>
          <w:rFonts w:ascii="Times New Roman" w:hAnsi="Times New Roman" w:cs="Times New Roman"/>
        </w:rPr>
        <w:t>ⱼ</w:t>
      </w:r>
      <w:r w:rsidRPr="000E55EB">
        <w:t>(</w:t>
      </w:r>
      <w:r w:rsidRPr="000E55EB">
        <w:rPr>
          <w:rFonts w:ascii="等线" w:eastAsia="等线" w:hAnsi="等线" w:cs="等线" w:hint="eastAsia"/>
        </w:rPr>
        <w:t>θ</w:t>
      </w:r>
      <w:r w:rsidRPr="000E55EB">
        <w:rPr>
          <w:rFonts w:ascii="Times New Roman" w:hAnsi="Times New Roman" w:cs="Times New Roman"/>
        </w:rPr>
        <w:t>̄ⱼ</w:t>
      </w:r>
      <w:r w:rsidRPr="000E55EB">
        <w:t xml:space="preserve"> </w:t>
      </w:r>
      <w:r w:rsidRPr="000E55EB">
        <w:rPr>
          <w:rFonts w:ascii="Cambria Math" w:hAnsi="Cambria Math" w:cs="Cambria Math"/>
        </w:rPr>
        <w:t>−</w:t>
      </w:r>
      <w:r w:rsidRPr="000E55EB">
        <w:t xml:space="preserve"> </w:t>
      </w:r>
      <w:r w:rsidRPr="000E55EB">
        <w:rPr>
          <w:rFonts w:ascii="等线" w:eastAsia="等线" w:hAnsi="等线" w:cs="等线" w:hint="eastAsia"/>
        </w:rPr>
        <w:t>θ</w:t>
      </w:r>
      <w:r w:rsidRPr="000E55EB">
        <w:rPr>
          <w:rFonts w:ascii="Times New Roman" w:hAnsi="Times New Roman" w:cs="Times New Roman"/>
        </w:rPr>
        <w:t>̄</w:t>
      </w:r>
      <w:r w:rsidRPr="000E55EB">
        <w:t>)</w:t>
      </w:r>
      <w:r w:rsidRPr="000E55EB">
        <w:rPr>
          <w:rFonts w:ascii="等线" w:eastAsia="等线" w:hAnsi="等线" w:cs="等线" w:hint="eastAsia"/>
        </w:rPr>
        <w:t>²</w:t>
      </w:r>
    </w:p>
    <w:p w14:paraId="1152318F" w14:textId="77777777" w:rsidR="000E55EB" w:rsidRPr="000E55EB" w:rsidRDefault="000E55EB" w:rsidP="000E55EB">
      <w:r w:rsidRPr="000E55EB">
        <w:t>where p is the number of subgroups, θ</w:t>
      </w:r>
      <w:r w:rsidRPr="000E55EB">
        <w:rPr>
          <w:rFonts w:ascii="Times New Roman" w:hAnsi="Times New Roman" w:cs="Times New Roman"/>
        </w:rPr>
        <w:t>̄ⱼ</w:t>
      </w:r>
      <w:r w:rsidRPr="000E55EB">
        <w:t xml:space="preserve"> is the pooled effect within subgroup j, and </w:t>
      </w:r>
      <w:r w:rsidRPr="000E55EB">
        <w:rPr>
          <w:rFonts w:ascii="等线" w:eastAsia="等线" w:hAnsi="等线" w:cs="等线" w:hint="eastAsia"/>
        </w:rPr>
        <w:t>θ</w:t>
      </w:r>
      <w:r w:rsidRPr="000E55EB">
        <w:rPr>
          <w:rFonts w:ascii="Times New Roman" w:hAnsi="Times New Roman" w:cs="Times New Roman"/>
        </w:rPr>
        <w:t>̄</w:t>
      </w:r>
      <w:r w:rsidRPr="000E55EB">
        <w:t xml:space="preserve"> is the overall pooled effect.</w:t>
      </w:r>
    </w:p>
    <w:p w14:paraId="1943FC24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S1.5 Meta-Regression</w:t>
      </w:r>
    </w:p>
    <w:p w14:paraId="602CA59A" w14:textId="77777777" w:rsidR="000E55EB" w:rsidRPr="000E55EB" w:rsidRDefault="000E55EB" w:rsidP="000E55EB">
      <w:r w:rsidRPr="000E55EB">
        <w:t>Meta-regression extends the logic of subgroup analysis to continuous moderators, modeling the effect size as a function of study-level covariates [24, 53]:</w:t>
      </w:r>
    </w:p>
    <w:p w14:paraId="2BD9EB73" w14:textId="77777777" w:rsidR="000E55EB" w:rsidRPr="000E55EB" w:rsidRDefault="000E55EB" w:rsidP="000E55EB">
      <w:r w:rsidRPr="000E55EB">
        <w:t>θ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= β</w:t>
      </w:r>
      <w:r w:rsidRPr="000E55EB">
        <w:rPr>
          <w:rFonts w:ascii="Cambria Math" w:hAnsi="Cambria Math" w:cs="Cambria Math"/>
        </w:rPr>
        <w:t>₀</w:t>
      </w:r>
      <w:r w:rsidRPr="000E55EB">
        <w:t xml:space="preserve"> + </w:t>
      </w:r>
      <w:r w:rsidRPr="000E55EB">
        <w:rPr>
          <w:rFonts w:ascii="等线" w:eastAsia="等线" w:hAnsi="等线" w:cs="等线" w:hint="eastAsia"/>
        </w:rPr>
        <w:t>β</w:t>
      </w:r>
      <w:r w:rsidRPr="000E55EB">
        <w:rPr>
          <w:rFonts w:ascii="Cambria Math" w:hAnsi="Cambria Math" w:cs="Cambria Math"/>
        </w:rPr>
        <w:t>₁</w:t>
      </w:r>
      <w:r w:rsidRPr="000E55EB">
        <w:t>X</w:t>
      </w:r>
      <w:r w:rsidRPr="000E55EB">
        <w:rPr>
          <w:rFonts w:ascii="Cambria Math" w:hAnsi="Cambria Math" w:cs="Cambria Math"/>
        </w:rPr>
        <w:t>₁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+ β</w:t>
      </w:r>
      <w:r w:rsidRPr="000E55EB">
        <w:rPr>
          <w:rFonts w:ascii="Cambria Math" w:hAnsi="Cambria Math" w:cs="Cambria Math"/>
        </w:rPr>
        <w:t>₂</w:t>
      </w:r>
      <w:r w:rsidRPr="000E55EB">
        <w:t>X</w:t>
      </w:r>
      <w:r w:rsidRPr="000E55EB">
        <w:rPr>
          <w:rFonts w:ascii="Cambria Math" w:hAnsi="Cambria Math" w:cs="Cambria Math"/>
        </w:rPr>
        <w:t>₂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+ </w:t>
      </w:r>
      <w:r w:rsidRPr="000E55EB">
        <w:rPr>
          <w:rFonts w:ascii="Cambria Math" w:hAnsi="Cambria Math" w:cs="Cambria Math"/>
        </w:rPr>
        <w:t>⋯</w:t>
      </w:r>
      <w:r w:rsidRPr="000E55EB">
        <w:t xml:space="preserve"> + </w:t>
      </w:r>
      <w:r w:rsidRPr="000E55EB">
        <w:rPr>
          <w:rFonts w:ascii="等线" w:eastAsia="等线" w:hAnsi="等线" w:cs="等线" w:hint="eastAsia"/>
        </w:rPr>
        <w:t>ε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+ ζ</w:t>
      </w:r>
      <w:r w:rsidRPr="000E55EB">
        <w:rPr>
          <w:rFonts w:ascii="Times New Roman" w:hAnsi="Times New Roman" w:cs="Times New Roman"/>
        </w:rPr>
        <w:t>ᵢ</w:t>
      </w:r>
    </w:p>
    <w:p w14:paraId="622A60D5" w14:textId="77777777" w:rsidR="000E55EB" w:rsidRPr="000E55EB" w:rsidRDefault="000E55EB" w:rsidP="000E55EB">
      <w:r w:rsidRPr="000E55EB">
        <w:t>where β</w:t>
      </w:r>
      <w:r w:rsidRPr="000E55EB">
        <w:rPr>
          <w:rFonts w:ascii="Cambria Math" w:hAnsi="Cambria Math" w:cs="Cambria Math"/>
        </w:rPr>
        <w:t>₀</w:t>
      </w:r>
      <w:r w:rsidRPr="000E55EB">
        <w:t xml:space="preserve"> is the intercept, </w:t>
      </w:r>
      <w:r w:rsidRPr="000E55EB">
        <w:rPr>
          <w:rFonts w:ascii="等线" w:eastAsia="等线" w:hAnsi="等线" w:cs="等线" w:hint="eastAsia"/>
        </w:rPr>
        <w:t>β</w:t>
      </w:r>
      <w:r w:rsidRPr="000E55EB">
        <w:rPr>
          <w:rFonts w:ascii="Cambria Math" w:hAnsi="Cambria Math" w:cs="Cambria Math"/>
        </w:rPr>
        <w:t>₁</w:t>
      </w:r>
      <w:r w:rsidRPr="000E55EB">
        <w:t xml:space="preserve">, </w:t>
      </w:r>
      <w:r w:rsidRPr="000E55EB">
        <w:rPr>
          <w:rFonts w:ascii="等线" w:eastAsia="等线" w:hAnsi="等线" w:cs="等线" w:hint="eastAsia"/>
        </w:rPr>
        <w:t>β</w:t>
      </w:r>
      <w:r w:rsidRPr="000E55EB">
        <w:rPr>
          <w:rFonts w:ascii="Cambria Math" w:hAnsi="Cambria Math" w:cs="Cambria Math"/>
        </w:rPr>
        <w:t>₂</w:t>
      </w:r>
      <w:r w:rsidRPr="000E55EB">
        <w:t xml:space="preserve">, </w:t>
      </w:r>
      <w:r w:rsidRPr="000E55EB">
        <w:rPr>
          <w:rFonts w:ascii="等线" w:eastAsia="等线" w:hAnsi="等线" w:cs="等线" w:hint="eastAsia"/>
        </w:rPr>
        <w:t>…</w:t>
      </w:r>
      <w:r w:rsidRPr="000E55EB">
        <w:t xml:space="preserve"> are regression coefficients quantifying the association between each moderator and effect size magnitude, </w:t>
      </w:r>
      <w:r w:rsidRPr="000E55EB">
        <w:rPr>
          <w:rFonts w:ascii="等线" w:eastAsia="等线" w:hAnsi="等线" w:cs="等线" w:hint="eastAsia"/>
        </w:rPr>
        <w:t>ε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represents within-study sampling error, and ζ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captures residual between-study variance. Statistical significance of individual predictors was evaluated through Wald-type z-tests:</w:t>
      </w:r>
    </w:p>
    <w:p w14:paraId="0ED1C537" w14:textId="77777777" w:rsidR="000E55EB" w:rsidRPr="000E55EB" w:rsidRDefault="000E55EB" w:rsidP="000E55EB">
      <w:r w:rsidRPr="000E55EB">
        <w:t>z = β</w:t>
      </w:r>
      <w:r w:rsidRPr="000E55EB">
        <w:rPr>
          <w:rFonts w:ascii="Times New Roman" w:hAnsi="Times New Roman" w:cs="Times New Roman"/>
        </w:rPr>
        <w:t>̂</w:t>
      </w:r>
      <w:r w:rsidRPr="000E55EB">
        <w:t xml:space="preserve"> / SE(</w:t>
      </w:r>
      <w:r w:rsidRPr="000E55EB">
        <w:rPr>
          <w:rFonts w:ascii="等线" w:eastAsia="等线" w:hAnsi="等线" w:cs="等线" w:hint="eastAsia"/>
        </w:rPr>
        <w:t>β</w:t>
      </w:r>
      <w:r w:rsidRPr="000E55EB">
        <w:rPr>
          <w:rFonts w:ascii="Times New Roman" w:hAnsi="Times New Roman" w:cs="Times New Roman"/>
        </w:rPr>
        <w:t>̂</w:t>
      </w:r>
      <w:r w:rsidRPr="000E55EB">
        <w:t>)</w:t>
      </w:r>
    </w:p>
    <w:p w14:paraId="20878FCC" w14:textId="77777777" w:rsidR="000E55EB" w:rsidRPr="000E55EB" w:rsidRDefault="000E55EB" w:rsidP="000E55EB">
      <w:r w:rsidRPr="000E55EB">
        <w:t>The proportion of heterogeneity explained by the model was quantified as [52]:</w:t>
      </w:r>
    </w:p>
    <w:p w14:paraId="0BA43D29" w14:textId="77777777" w:rsidR="000E55EB" w:rsidRPr="000E55EB" w:rsidRDefault="000E55EB" w:rsidP="000E55EB">
      <w:r w:rsidRPr="000E55EB">
        <w:t xml:space="preserve">R² = (τ²_unadjusted </w:t>
      </w:r>
      <w:r w:rsidRPr="000E55EB">
        <w:rPr>
          <w:rFonts w:ascii="Cambria Math" w:hAnsi="Cambria Math" w:cs="Cambria Math"/>
        </w:rPr>
        <w:t>−</w:t>
      </w:r>
      <w:r w:rsidRPr="000E55EB">
        <w:t xml:space="preserve"> </w:t>
      </w:r>
      <w:r w:rsidRPr="000E55EB">
        <w:rPr>
          <w:rFonts w:ascii="等线" w:eastAsia="等线" w:hAnsi="等线" w:cs="等线" w:hint="eastAsia"/>
        </w:rPr>
        <w:t>τ²</w:t>
      </w:r>
      <w:r w:rsidRPr="000E55EB">
        <w:t xml:space="preserve">_adjusted) / </w:t>
      </w:r>
      <w:r w:rsidRPr="000E55EB">
        <w:rPr>
          <w:rFonts w:ascii="等线" w:eastAsia="等线" w:hAnsi="等线" w:cs="等线" w:hint="eastAsia"/>
        </w:rPr>
        <w:t>τ²</w:t>
      </w:r>
      <w:r w:rsidRPr="000E55EB">
        <w:t>_unadjusted</w:t>
      </w:r>
    </w:p>
    <w:p w14:paraId="36CAFC47" w14:textId="77777777" w:rsidR="000E55EB" w:rsidRPr="000E55EB" w:rsidRDefault="000E55EB" w:rsidP="000E55EB">
      <w:r w:rsidRPr="000E55EB">
        <w:t>where τ²_unadjusted is the between-study variance from the model without moderators, and τ²_adjusted is the residual between-study variance after including moderators.</w:t>
      </w:r>
    </w:p>
    <w:p w14:paraId="243CF3FB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S1.6 Publication Bias Detection Methods</w:t>
      </w:r>
    </w:p>
    <w:p w14:paraId="5168A2E6" w14:textId="77777777" w:rsidR="000E55EB" w:rsidRPr="000E55EB" w:rsidRDefault="000E55EB" w:rsidP="000E55EB">
      <w:r w:rsidRPr="000E55EB">
        <w:rPr>
          <w:b/>
          <w:bCs/>
        </w:rPr>
        <w:t>Egger's regression test.</w:t>
      </w:r>
      <w:r w:rsidRPr="000E55EB">
        <w:t xml:space="preserve"> This method regresses the standardized effect (effect size divided by its standard error) against precision [46]:</w:t>
      </w:r>
    </w:p>
    <w:p w14:paraId="363E2CAB" w14:textId="77777777" w:rsidR="000E55EB" w:rsidRPr="000E55EB" w:rsidRDefault="000E55EB" w:rsidP="000E55EB">
      <w:r w:rsidRPr="000E55EB">
        <w:t>θ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/ SE</w:t>
      </w:r>
      <w:r w:rsidRPr="000E55EB">
        <w:rPr>
          <w:rFonts w:ascii="Times New Roman" w:hAnsi="Times New Roman" w:cs="Times New Roman"/>
        </w:rPr>
        <w:t>ᵢ</w:t>
      </w:r>
      <w:r w:rsidRPr="000E55EB">
        <w:t xml:space="preserve"> = β</w:t>
      </w:r>
      <w:r w:rsidRPr="000E55EB">
        <w:rPr>
          <w:rFonts w:ascii="Cambria Math" w:hAnsi="Cambria Math" w:cs="Cambria Math"/>
        </w:rPr>
        <w:t>₀</w:t>
      </w:r>
      <w:r w:rsidRPr="000E55EB">
        <w:t xml:space="preserve"> + </w:t>
      </w:r>
      <w:r w:rsidRPr="000E55EB">
        <w:rPr>
          <w:rFonts w:ascii="等线" w:eastAsia="等线" w:hAnsi="等线" w:cs="等线" w:hint="eastAsia"/>
        </w:rPr>
        <w:t>β</w:t>
      </w:r>
      <w:r w:rsidRPr="000E55EB">
        <w:rPr>
          <w:rFonts w:ascii="Cambria Math" w:hAnsi="Cambria Math" w:cs="Cambria Math"/>
        </w:rPr>
        <w:t>₁</w:t>
      </w:r>
      <w:r w:rsidRPr="000E55EB">
        <w:t xml:space="preserve"> </w:t>
      </w:r>
      <w:r w:rsidRPr="000E55EB">
        <w:rPr>
          <w:rFonts w:ascii="等线" w:eastAsia="等线" w:hAnsi="等线" w:cs="等线" w:hint="eastAsia"/>
        </w:rPr>
        <w:t>×</w:t>
      </w:r>
      <w:r w:rsidRPr="000E55EB">
        <w:t xml:space="preserve"> (1 / SE</w:t>
      </w:r>
      <w:r w:rsidRPr="000E55EB">
        <w:rPr>
          <w:rFonts w:ascii="Times New Roman" w:hAnsi="Times New Roman" w:cs="Times New Roman"/>
        </w:rPr>
        <w:t>ᵢ</w:t>
      </w:r>
      <w:r w:rsidRPr="000E55EB">
        <w:t>) + ε</w:t>
      </w:r>
      <w:r w:rsidRPr="000E55EB">
        <w:rPr>
          <w:rFonts w:ascii="Times New Roman" w:hAnsi="Times New Roman" w:cs="Times New Roman"/>
        </w:rPr>
        <w:t>ᵢ</w:t>
      </w:r>
    </w:p>
    <w:p w14:paraId="0A44712B" w14:textId="77777777" w:rsidR="000E55EB" w:rsidRPr="000E55EB" w:rsidRDefault="000E55EB" w:rsidP="000E55EB">
      <w:r w:rsidRPr="000E55EB">
        <w:t>A statistically significant intercept β</w:t>
      </w:r>
      <w:r w:rsidRPr="000E55EB">
        <w:rPr>
          <w:rFonts w:ascii="Cambria Math" w:hAnsi="Cambria Math" w:cs="Cambria Math"/>
        </w:rPr>
        <w:t>₀</w:t>
      </w:r>
      <w:r w:rsidRPr="000E55EB">
        <w:t xml:space="preserve"> suggests funnel plot asymmetry indicative of potential publication bias.</w:t>
      </w:r>
    </w:p>
    <w:p w14:paraId="7EB63850" w14:textId="77777777" w:rsidR="000E55EB" w:rsidRPr="000E55EB" w:rsidRDefault="000E55EB" w:rsidP="000E55EB">
      <w:r w:rsidRPr="000E55EB">
        <w:rPr>
          <w:b/>
          <w:bCs/>
        </w:rPr>
        <w:t>Begg's rank correlation test.</w:t>
      </w:r>
      <w:r w:rsidRPr="000E55EB">
        <w:t xml:space="preserve"> This nonparametric approach calculates Kendall's tau between effect sizes and their variances [27]:</w:t>
      </w:r>
    </w:p>
    <w:p w14:paraId="2F9B5005" w14:textId="77777777" w:rsidR="000E55EB" w:rsidRPr="000E55EB" w:rsidRDefault="000E55EB" w:rsidP="000E55EB">
      <w:r w:rsidRPr="000E55EB">
        <w:t>τ = (</w:t>
      </w:r>
      <w:proofErr w:type="spellStart"/>
      <w:r w:rsidRPr="000E55EB">
        <w:t>n_c</w:t>
      </w:r>
      <w:proofErr w:type="spellEnd"/>
      <w:r w:rsidRPr="000E55EB">
        <w:t xml:space="preserve"> </w:t>
      </w:r>
      <w:r w:rsidRPr="000E55EB">
        <w:rPr>
          <w:rFonts w:ascii="Cambria Math" w:hAnsi="Cambria Math" w:cs="Cambria Math"/>
        </w:rPr>
        <w:t>−</w:t>
      </w:r>
      <w:r w:rsidRPr="000E55EB">
        <w:t xml:space="preserve"> </w:t>
      </w:r>
      <w:proofErr w:type="spellStart"/>
      <w:r w:rsidRPr="000E55EB">
        <w:t>n_d</w:t>
      </w:r>
      <w:proofErr w:type="spellEnd"/>
      <w:r w:rsidRPr="000E55EB">
        <w:t>) / (</w:t>
      </w:r>
      <w:r w:rsidRPr="000E55EB">
        <w:rPr>
          <w:rFonts w:ascii="等线" w:eastAsia="等线" w:hAnsi="等线" w:cs="等线" w:hint="eastAsia"/>
        </w:rPr>
        <w:t>½</w:t>
      </w:r>
      <w:r w:rsidRPr="000E55EB">
        <w:t xml:space="preserve">k(k </w:t>
      </w:r>
      <w:r w:rsidRPr="000E55EB">
        <w:rPr>
          <w:rFonts w:ascii="Cambria Math" w:hAnsi="Cambria Math" w:cs="Cambria Math"/>
        </w:rPr>
        <w:t>−</w:t>
      </w:r>
      <w:r w:rsidRPr="000E55EB">
        <w:t xml:space="preserve"> 1))</w:t>
      </w:r>
    </w:p>
    <w:p w14:paraId="7459AC80" w14:textId="77777777" w:rsidR="000E55EB" w:rsidRPr="000E55EB" w:rsidRDefault="000E55EB" w:rsidP="000E55EB">
      <w:r w:rsidRPr="000E55EB">
        <w:t xml:space="preserve">where </w:t>
      </w:r>
      <w:proofErr w:type="spellStart"/>
      <w:r w:rsidRPr="000E55EB">
        <w:t>n_c</w:t>
      </w:r>
      <w:proofErr w:type="spellEnd"/>
      <w:r w:rsidRPr="000E55EB">
        <w:t xml:space="preserve"> and </w:t>
      </w:r>
      <w:proofErr w:type="spellStart"/>
      <w:r w:rsidRPr="000E55EB">
        <w:t>n_d</w:t>
      </w:r>
      <w:proofErr w:type="spellEnd"/>
      <w:r w:rsidRPr="000E55EB">
        <w:t xml:space="preserve"> represent the number of concordant and discordant pairs, respectively.</w:t>
      </w:r>
    </w:p>
    <w:p w14:paraId="2F3B9ECA" w14:textId="77777777" w:rsidR="000E55EB" w:rsidRPr="000E55EB" w:rsidRDefault="000E55EB" w:rsidP="000E55EB">
      <w:r w:rsidRPr="000E55EB">
        <w:rPr>
          <w:b/>
          <w:bCs/>
        </w:rPr>
        <w:t>Trim-and-fill algorithm.</w:t>
      </w:r>
      <w:r w:rsidRPr="000E55EB">
        <w:t xml:space="preserve"> When asymmetry was detected, the Duval and Tweedie trim-and-fill procedure estimated the number of hypothetically missing studies (k</w:t>
      </w:r>
      <w:r w:rsidRPr="000E55EB">
        <w:rPr>
          <w:rFonts w:ascii="Cambria Math" w:hAnsi="Cambria Math" w:cs="Cambria Math"/>
        </w:rPr>
        <w:t>₀</w:t>
      </w:r>
      <w:r w:rsidRPr="000E55EB">
        <w:t>) and imputed their effect sizes to restore funnel plot symmetry. The adjusted pooled estimate was then computed as [28]:</w:t>
      </w:r>
    </w:p>
    <w:p w14:paraId="1D4781A1" w14:textId="77777777" w:rsidR="000E55EB" w:rsidRPr="000E55EB" w:rsidRDefault="000E55EB" w:rsidP="000E55EB">
      <w:proofErr w:type="spellStart"/>
      <w:r w:rsidRPr="000E55EB">
        <w:t>θ</w:t>
      </w:r>
      <w:r w:rsidRPr="000E55EB">
        <w:rPr>
          <w:rFonts w:ascii="Times New Roman" w:hAnsi="Times New Roman" w:cs="Times New Roman"/>
        </w:rPr>
        <w:t>̄</w:t>
      </w:r>
      <w:r w:rsidRPr="000E55EB">
        <w:t>_adjusted</w:t>
      </w:r>
      <w:proofErr w:type="spellEnd"/>
      <w:r w:rsidRPr="000E55EB">
        <w:t xml:space="preserve"> = </w:t>
      </w:r>
      <w:r w:rsidRPr="000E55EB">
        <w:rPr>
          <w:rFonts w:ascii="等线" w:eastAsia="等线" w:hAnsi="等线" w:cs="等线" w:hint="eastAsia"/>
        </w:rPr>
        <w:t>Σ</w:t>
      </w:r>
      <w:r w:rsidRPr="000E55EB">
        <w:rPr>
          <w:rFonts w:ascii="Times New Roman" w:hAnsi="Times New Roman" w:cs="Times New Roman"/>
        </w:rPr>
        <w:t>ᵢ</w:t>
      </w:r>
      <w:r w:rsidRPr="000E55EB">
        <w:rPr>
          <w:rFonts w:ascii="Cambria Math" w:hAnsi="Cambria Math" w:cs="Cambria Math"/>
        </w:rPr>
        <w:t>₌₁</w:t>
      </w:r>
      <w:r w:rsidRPr="000E55EB">
        <w:rPr>
          <w:rFonts w:ascii="Times New Roman" w:hAnsi="Times New Roman" w:cs="Times New Roman"/>
        </w:rPr>
        <w:t>ᵏ</w:t>
      </w:r>
      <w:r w:rsidRPr="000E55EB">
        <w:rPr>
          <w:rFonts w:ascii="Cambria Math" w:hAnsi="Cambria Math" w:cs="Cambria Math"/>
        </w:rPr>
        <w:t>⁺</w:t>
      </w:r>
      <w:r w:rsidRPr="000E55EB">
        <w:rPr>
          <w:rFonts w:ascii="Times New Roman" w:hAnsi="Times New Roman" w:cs="Times New Roman"/>
        </w:rPr>
        <w:t>ᵏ</w:t>
      </w:r>
      <w:r w:rsidRPr="000E55EB">
        <w:rPr>
          <w:rFonts w:ascii="Cambria Math" w:hAnsi="Cambria Math" w:cs="Cambria Math"/>
        </w:rPr>
        <w:t>⁰</w:t>
      </w:r>
      <w:r w:rsidRPr="000E55EB">
        <w:t xml:space="preserve"> (</w:t>
      </w:r>
      <w:proofErr w:type="spellStart"/>
      <w:r w:rsidRPr="000E55EB">
        <w:t>w</w:t>
      </w:r>
      <w:r w:rsidRPr="000E55EB">
        <w:rPr>
          <w:rFonts w:ascii="Times New Roman" w:hAnsi="Times New Roman" w:cs="Times New Roman"/>
        </w:rPr>
        <w:t>ᵢ</w:t>
      </w:r>
      <w:r w:rsidRPr="000E55EB">
        <w:rPr>
          <w:i/>
          <w:iCs/>
        </w:rPr>
        <w:t>θ</w:t>
      </w:r>
      <w:proofErr w:type="spellEnd"/>
      <w:r w:rsidRPr="000E55EB">
        <w:rPr>
          <w:rFonts w:ascii="Times New Roman" w:hAnsi="Times New Roman" w:cs="Times New Roman"/>
          <w:i/>
          <w:iCs/>
        </w:rPr>
        <w:t>ᵢ</w:t>
      </w:r>
      <w:r w:rsidRPr="000E55EB">
        <w:rPr>
          <w:i/>
          <w:iCs/>
        </w:rPr>
        <w:t>) / Σ</w:t>
      </w:r>
      <w:r w:rsidRPr="000E55EB">
        <w:rPr>
          <w:rFonts w:ascii="Times New Roman" w:hAnsi="Times New Roman" w:cs="Times New Roman"/>
          <w:i/>
          <w:iCs/>
        </w:rPr>
        <w:t>ᵢ</w:t>
      </w:r>
      <w:r w:rsidRPr="000E55EB">
        <w:rPr>
          <w:rFonts w:ascii="Cambria Math" w:hAnsi="Cambria Math" w:cs="Cambria Math"/>
          <w:i/>
          <w:iCs/>
        </w:rPr>
        <w:t>₌₁</w:t>
      </w:r>
      <w:r w:rsidRPr="000E55EB">
        <w:rPr>
          <w:rFonts w:ascii="Times New Roman" w:hAnsi="Times New Roman" w:cs="Times New Roman"/>
          <w:i/>
          <w:iCs/>
        </w:rPr>
        <w:t>ᵏ</w:t>
      </w:r>
      <w:r w:rsidRPr="000E55EB">
        <w:rPr>
          <w:rFonts w:ascii="Cambria Math" w:hAnsi="Cambria Math" w:cs="Cambria Math"/>
          <w:i/>
          <w:iCs/>
        </w:rPr>
        <w:t>⁺</w:t>
      </w:r>
      <w:r w:rsidRPr="000E55EB">
        <w:rPr>
          <w:rFonts w:ascii="Times New Roman" w:hAnsi="Times New Roman" w:cs="Times New Roman"/>
          <w:i/>
          <w:iCs/>
        </w:rPr>
        <w:t>ᵏ</w:t>
      </w:r>
      <w:r w:rsidRPr="000E55EB">
        <w:rPr>
          <w:rFonts w:ascii="Cambria Math" w:hAnsi="Cambria Math" w:cs="Cambria Math"/>
          <w:i/>
          <w:iCs/>
        </w:rPr>
        <w:t>⁰</w:t>
      </w:r>
      <w:r w:rsidRPr="000E55EB">
        <w:rPr>
          <w:i/>
          <w:iCs/>
        </w:rPr>
        <w:t xml:space="preserve"> w</w:t>
      </w:r>
      <w:r w:rsidRPr="000E55EB">
        <w:rPr>
          <w:rFonts w:ascii="Times New Roman" w:hAnsi="Times New Roman" w:cs="Times New Roman"/>
          <w:i/>
          <w:iCs/>
        </w:rPr>
        <w:t>ᵢ</w:t>
      </w:r>
    </w:p>
    <w:p w14:paraId="5B44B396" w14:textId="77777777" w:rsidR="000E55EB" w:rsidRPr="000E55EB" w:rsidRDefault="000E55EB" w:rsidP="000E55EB">
      <w:r w:rsidRPr="000E55EB">
        <w:t>The iterative trimming process identifies asymmetric studies through:</w:t>
      </w:r>
    </w:p>
    <w:p w14:paraId="75AA60DF" w14:textId="77777777" w:rsidR="000E55EB" w:rsidRPr="000E55EB" w:rsidRDefault="000E55EB" w:rsidP="000E55EB">
      <w:r w:rsidRPr="000E55EB">
        <w:t>R</w:t>
      </w:r>
      <w:r w:rsidRPr="000E55EB">
        <w:rPr>
          <w:rFonts w:ascii="Cambria Math" w:hAnsi="Cambria Math" w:cs="Cambria Math"/>
        </w:rPr>
        <w:t>₀</w:t>
      </w:r>
      <w:r w:rsidRPr="000E55EB">
        <w:t xml:space="preserve"> = k </w:t>
      </w:r>
      <w:r w:rsidRPr="000E55EB">
        <w:rPr>
          <w:rFonts w:ascii="Cambria Math" w:hAnsi="Cambria Math" w:cs="Cambria Math"/>
        </w:rPr>
        <w:t>−</w:t>
      </w:r>
      <w:r w:rsidRPr="000E55EB">
        <w:t xml:space="preserve"> 1 </w:t>
      </w:r>
      <w:r w:rsidRPr="000E55EB">
        <w:rPr>
          <w:rFonts w:ascii="Cambria Math" w:hAnsi="Cambria Math" w:cs="Cambria Math"/>
        </w:rPr>
        <w:t>−</w:t>
      </w:r>
      <w:r w:rsidRPr="000E55EB">
        <w:t xml:space="preserve"> rank(</w:t>
      </w:r>
      <w:r w:rsidRPr="000E55EB">
        <w:rPr>
          <w:rFonts w:ascii="等线" w:eastAsia="等线" w:hAnsi="等线" w:cs="等线" w:hint="eastAsia"/>
        </w:rPr>
        <w:t>θ</w:t>
      </w:r>
      <w:r w:rsidRPr="000E55EB">
        <w:t>_max)</w:t>
      </w:r>
    </w:p>
    <w:p w14:paraId="245353FC" w14:textId="77777777" w:rsidR="000E55EB" w:rsidRPr="000E55EB" w:rsidRDefault="000E55EB" w:rsidP="000E55EB">
      <w:r w:rsidRPr="000E55EB">
        <w:t>This correction enables comparison of adjusted and unadjusted pooled effect estimates as a form of sensitivity analysis.</w:t>
      </w:r>
    </w:p>
    <w:p w14:paraId="2BC99F86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S1.7 Prediction Interval</w:t>
      </w:r>
    </w:p>
    <w:p w14:paraId="70F99B43" w14:textId="77777777" w:rsidR="000E55EB" w:rsidRPr="000E55EB" w:rsidRDefault="000E55EB" w:rsidP="000E55EB">
      <w:r w:rsidRPr="000E55EB">
        <w:t>To characterize the expected range of true effects in future studies, we calculated the 95% prediction interval [51]:</w:t>
      </w:r>
    </w:p>
    <w:p w14:paraId="32C65366" w14:textId="77777777" w:rsidR="000E55EB" w:rsidRPr="000E55EB" w:rsidRDefault="000E55EB" w:rsidP="000E55EB">
      <w:r w:rsidRPr="000E55EB">
        <w:lastRenderedPageBreak/>
        <w:t>PI</w:t>
      </w:r>
      <w:r w:rsidRPr="000E55EB">
        <w:rPr>
          <w:rFonts w:ascii="Cambria Math" w:hAnsi="Cambria Math" w:cs="Cambria Math"/>
        </w:rPr>
        <w:t>₉₅</w:t>
      </w:r>
      <w:r w:rsidRPr="000E55EB">
        <w:t xml:space="preserve">% = </w:t>
      </w:r>
      <w:r w:rsidRPr="000E55EB">
        <w:rPr>
          <w:rFonts w:ascii="等线" w:eastAsia="等线" w:hAnsi="等线" w:cs="等线" w:hint="eastAsia"/>
        </w:rPr>
        <w:t>θ</w:t>
      </w:r>
      <w:r w:rsidRPr="000E55EB">
        <w:rPr>
          <w:rFonts w:ascii="Times New Roman" w:hAnsi="Times New Roman" w:cs="Times New Roman"/>
        </w:rPr>
        <w:t>̄</w:t>
      </w:r>
      <w:r w:rsidRPr="000E55EB">
        <w:t xml:space="preserve"> </w:t>
      </w:r>
      <w:r w:rsidRPr="000E55EB">
        <w:rPr>
          <w:rFonts w:ascii="等线" w:eastAsia="等线" w:hAnsi="等线" w:cs="等线" w:hint="eastAsia"/>
        </w:rPr>
        <w:t>±</w:t>
      </w:r>
      <w:r w:rsidRPr="000E55EB">
        <w:t xml:space="preserve"> t</w:t>
      </w:r>
      <w:r w:rsidRPr="000E55EB">
        <w:rPr>
          <w:rFonts w:ascii="Cambria Math" w:hAnsi="Cambria Math" w:cs="Cambria Math"/>
        </w:rPr>
        <w:t>₀</w:t>
      </w:r>
      <w:r w:rsidRPr="000E55EB">
        <w:t>.</w:t>
      </w:r>
      <w:r w:rsidRPr="000E55EB">
        <w:rPr>
          <w:rFonts w:ascii="Cambria Math" w:hAnsi="Cambria Math" w:cs="Cambria Math"/>
        </w:rPr>
        <w:t>₉₇₅</w:t>
      </w:r>
      <w:r w:rsidRPr="000E55EB">
        <w:t>,</w:t>
      </w:r>
      <w:r w:rsidRPr="000E55EB">
        <w:rPr>
          <w:rFonts w:ascii="Cambria Math" w:hAnsi="Cambria Math" w:cs="Cambria Math"/>
        </w:rPr>
        <w:t>ₖ₋₂</w:t>
      </w:r>
      <w:r w:rsidRPr="000E55EB">
        <w:t xml:space="preserve"> </w:t>
      </w:r>
      <w:r w:rsidRPr="000E55EB">
        <w:rPr>
          <w:rFonts w:ascii="等线" w:eastAsia="等线" w:hAnsi="等线" w:cs="等线" w:hint="eastAsia"/>
        </w:rPr>
        <w:t>×</w:t>
      </w:r>
      <w:r w:rsidRPr="000E55EB">
        <w:t xml:space="preserve"> </w:t>
      </w:r>
      <w:r w:rsidRPr="000E55EB">
        <w:rPr>
          <w:rFonts w:ascii="等线" w:eastAsia="等线" w:hAnsi="等线" w:cs="等线" w:hint="eastAsia"/>
        </w:rPr>
        <w:t>√</w:t>
      </w:r>
      <w:r w:rsidRPr="000E55EB">
        <w:t>(</w:t>
      </w:r>
      <w:r w:rsidRPr="000E55EB">
        <w:rPr>
          <w:rFonts w:ascii="等线" w:eastAsia="等线" w:hAnsi="等线" w:cs="等线" w:hint="eastAsia"/>
        </w:rPr>
        <w:t>τ²</w:t>
      </w:r>
      <w:r w:rsidRPr="000E55EB">
        <w:t xml:space="preserve"> + SE</w:t>
      </w:r>
      <w:r w:rsidRPr="000E55EB">
        <w:rPr>
          <w:rFonts w:ascii="等线" w:eastAsia="等线" w:hAnsi="等线" w:cs="等线" w:hint="eastAsia"/>
        </w:rPr>
        <w:t>²</w:t>
      </w:r>
      <w:r w:rsidRPr="000E55EB">
        <w:t>_</w:t>
      </w:r>
      <w:r w:rsidRPr="000E55EB">
        <w:rPr>
          <w:rFonts w:ascii="等线" w:eastAsia="等线" w:hAnsi="等线" w:cs="等线" w:hint="eastAsia"/>
        </w:rPr>
        <w:t>θ</w:t>
      </w:r>
      <w:r w:rsidRPr="000E55EB">
        <w:rPr>
          <w:rFonts w:ascii="Times New Roman" w:hAnsi="Times New Roman" w:cs="Times New Roman"/>
        </w:rPr>
        <w:t>̄</w:t>
      </w:r>
      <w:r w:rsidRPr="000E55EB">
        <w:t>)</w:t>
      </w:r>
    </w:p>
    <w:p w14:paraId="7D7A45D8" w14:textId="77777777" w:rsidR="000E55EB" w:rsidRPr="000E55EB" w:rsidRDefault="000E55EB" w:rsidP="000E55EB">
      <w:r w:rsidRPr="000E55EB">
        <w:t>where t</w:t>
      </w:r>
      <w:proofErr w:type="gramStart"/>
      <w:r w:rsidRPr="000E55EB">
        <w:rPr>
          <w:rFonts w:ascii="Cambria Math" w:hAnsi="Cambria Math" w:cs="Cambria Math"/>
        </w:rPr>
        <w:t>₀</w:t>
      </w:r>
      <w:r w:rsidRPr="000E55EB">
        <w:t>.</w:t>
      </w:r>
      <w:r w:rsidRPr="000E55EB">
        <w:rPr>
          <w:rFonts w:ascii="Cambria Math" w:hAnsi="Cambria Math" w:cs="Cambria Math"/>
        </w:rPr>
        <w:t>₉</w:t>
      </w:r>
      <w:proofErr w:type="gramEnd"/>
      <w:r w:rsidRPr="000E55EB">
        <w:rPr>
          <w:rFonts w:ascii="Cambria Math" w:hAnsi="Cambria Math" w:cs="Cambria Math"/>
        </w:rPr>
        <w:t>₇</w:t>
      </w:r>
      <w:proofErr w:type="gramStart"/>
      <w:r w:rsidRPr="000E55EB">
        <w:rPr>
          <w:rFonts w:ascii="Cambria Math" w:hAnsi="Cambria Math" w:cs="Cambria Math"/>
        </w:rPr>
        <w:t>₅</w:t>
      </w:r>
      <w:r w:rsidRPr="000E55EB">
        <w:t>,</w:t>
      </w:r>
      <w:r w:rsidRPr="000E55EB">
        <w:rPr>
          <w:rFonts w:ascii="Cambria Math" w:hAnsi="Cambria Math" w:cs="Cambria Math"/>
        </w:rPr>
        <w:t>ₖ₋</w:t>
      </w:r>
      <w:proofErr w:type="gramEnd"/>
      <w:r w:rsidRPr="000E55EB">
        <w:rPr>
          <w:rFonts w:ascii="Cambria Math" w:hAnsi="Cambria Math" w:cs="Cambria Math"/>
        </w:rPr>
        <w:t>₂</w:t>
      </w:r>
      <w:r w:rsidRPr="000E55EB">
        <w:t xml:space="preserve"> is the critical value from the t-distribution with k </w:t>
      </w:r>
      <w:r w:rsidRPr="000E55EB">
        <w:rPr>
          <w:rFonts w:ascii="Cambria Math" w:hAnsi="Cambria Math" w:cs="Cambria Math"/>
        </w:rPr>
        <w:t>−</w:t>
      </w:r>
      <w:r w:rsidRPr="000E55EB">
        <w:t xml:space="preserve"> 2 degrees of freedom.</w:t>
      </w:r>
    </w:p>
    <w:p w14:paraId="56D66ED9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S1.8 Optimal Information Size</w:t>
      </w:r>
    </w:p>
    <w:p w14:paraId="7B674C93" w14:textId="77777777" w:rsidR="000E55EB" w:rsidRPr="000E55EB" w:rsidRDefault="000E55EB" w:rsidP="000E55EB">
      <w:r w:rsidRPr="000E55EB">
        <w:t>Under the GRADE framework, imprecision was evaluated through the optimal information size (OIS) criterion [60]:</w:t>
      </w:r>
    </w:p>
    <w:p w14:paraId="44F1AA20" w14:textId="77777777" w:rsidR="000E55EB" w:rsidRPr="000E55EB" w:rsidRDefault="000E55EB" w:rsidP="000E55EB">
      <w:r w:rsidRPr="000E55EB">
        <w:t>OIS = 4(z_α + z_</w:t>
      </w:r>
      <w:proofErr w:type="gramStart"/>
      <w:r w:rsidRPr="000E55EB">
        <w:t>β)²</w:t>
      </w:r>
      <w:proofErr w:type="gramEnd"/>
      <w:r w:rsidRPr="000E55EB">
        <w:t xml:space="preserve"> / δ²</w:t>
      </w:r>
    </w:p>
    <w:p w14:paraId="061857E2" w14:textId="77777777" w:rsidR="000E55EB" w:rsidRPr="000E55EB" w:rsidRDefault="000E55EB" w:rsidP="000E55EB">
      <w:r w:rsidRPr="000E55EB">
        <w:t>where z_α and z_β are the critical values corresponding to the desired type I error rate and statistical power, respectively, and δ is the minimally important effect size.</w:t>
      </w:r>
    </w:p>
    <w:p w14:paraId="6EF02CCD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S1.9 Inter-Rater Reliability</w:t>
      </w:r>
    </w:p>
    <w:p w14:paraId="0EF39B0E" w14:textId="77777777" w:rsidR="000E55EB" w:rsidRPr="000E55EB" w:rsidRDefault="000E55EB" w:rsidP="000E55EB">
      <w:r w:rsidRPr="000E55EB">
        <w:t>Inter-rater agreement for quality assessment was quantified using Cohen's kappa coefficient [38]:</w:t>
      </w:r>
    </w:p>
    <w:p w14:paraId="32900ED3" w14:textId="77777777" w:rsidR="000E55EB" w:rsidRPr="000E55EB" w:rsidRDefault="000E55EB" w:rsidP="000E55EB">
      <w:r w:rsidRPr="000E55EB">
        <w:t>κ = (</w:t>
      </w:r>
      <w:proofErr w:type="spellStart"/>
      <w:r w:rsidRPr="000E55EB">
        <w:t>P_o</w:t>
      </w:r>
      <w:proofErr w:type="spellEnd"/>
      <w:r w:rsidRPr="000E55EB">
        <w:t xml:space="preserve"> </w:t>
      </w:r>
      <w:r w:rsidRPr="000E55EB">
        <w:rPr>
          <w:rFonts w:ascii="Cambria Math" w:hAnsi="Cambria Math" w:cs="Cambria Math"/>
        </w:rPr>
        <w:t>−</w:t>
      </w:r>
      <w:r w:rsidRPr="000E55EB">
        <w:t xml:space="preserve"> </w:t>
      </w:r>
      <w:proofErr w:type="spellStart"/>
      <w:r w:rsidRPr="000E55EB">
        <w:t>P_e</w:t>
      </w:r>
      <w:proofErr w:type="spellEnd"/>
      <w:r w:rsidRPr="000E55EB">
        <w:t xml:space="preserve">) / (1 </w:t>
      </w:r>
      <w:r w:rsidRPr="000E55EB">
        <w:rPr>
          <w:rFonts w:ascii="Cambria Math" w:hAnsi="Cambria Math" w:cs="Cambria Math"/>
        </w:rPr>
        <w:t>−</w:t>
      </w:r>
      <w:r w:rsidRPr="000E55EB">
        <w:t xml:space="preserve"> </w:t>
      </w:r>
      <w:proofErr w:type="spellStart"/>
      <w:r w:rsidRPr="000E55EB">
        <w:t>P_e</w:t>
      </w:r>
      <w:proofErr w:type="spellEnd"/>
      <w:r w:rsidRPr="000E55EB">
        <w:t>)</w:t>
      </w:r>
    </w:p>
    <w:p w14:paraId="5B958AF8" w14:textId="77777777" w:rsidR="000E55EB" w:rsidRPr="000E55EB" w:rsidRDefault="000E55EB" w:rsidP="000E55EB">
      <w:r w:rsidRPr="000E55EB">
        <w:t xml:space="preserve">where </w:t>
      </w:r>
      <w:proofErr w:type="spellStart"/>
      <w:r w:rsidRPr="000E55EB">
        <w:t>P_o</w:t>
      </w:r>
      <w:proofErr w:type="spellEnd"/>
      <w:r w:rsidRPr="000E55EB">
        <w:t xml:space="preserve"> represents the observed proportion of agreement and </w:t>
      </w:r>
      <w:proofErr w:type="spellStart"/>
      <w:r w:rsidRPr="000E55EB">
        <w:t>P_e</w:t>
      </w:r>
      <w:proofErr w:type="spellEnd"/>
      <w:r w:rsidRPr="000E55EB">
        <w:t xml:space="preserve"> denotes the expected agreement by chance:</w:t>
      </w:r>
    </w:p>
    <w:p w14:paraId="13012F87" w14:textId="77777777" w:rsidR="000E55EB" w:rsidRPr="000E55EB" w:rsidRDefault="000E55EB" w:rsidP="000E55EB">
      <w:proofErr w:type="spellStart"/>
      <w:r w:rsidRPr="000E55EB">
        <w:t>P_e</w:t>
      </w:r>
      <w:proofErr w:type="spellEnd"/>
      <w:r w:rsidRPr="000E55EB">
        <w:t xml:space="preserve"> = Σ</w:t>
      </w:r>
      <w:r w:rsidRPr="000E55EB">
        <w:rPr>
          <w:rFonts w:ascii="Times New Roman" w:hAnsi="Times New Roman" w:cs="Times New Roman"/>
        </w:rPr>
        <w:t>ᵢ</w:t>
      </w:r>
      <w:r w:rsidRPr="000E55EB">
        <w:rPr>
          <w:rFonts w:ascii="Cambria Math" w:hAnsi="Cambria Math" w:cs="Cambria Math"/>
        </w:rPr>
        <w:t>₌₁</w:t>
      </w:r>
      <w:r w:rsidRPr="000E55EB">
        <w:rPr>
          <w:rFonts w:ascii="Times New Roman" w:hAnsi="Times New Roman" w:cs="Times New Roman"/>
        </w:rPr>
        <w:t>ᵏ</w:t>
      </w:r>
      <w:r w:rsidRPr="000E55EB">
        <w:t xml:space="preserve"> (p</w:t>
      </w:r>
      <w:r w:rsidRPr="000E55EB">
        <w:rPr>
          <w:rFonts w:ascii="Times New Roman" w:hAnsi="Times New Roman" w:cs="Times New Roman"/>
        </w:rPr>
        <w:t>ᵢ</w:t>
      </w:r>
      <w:r w:rsidRPr="000E55EB">
        <w:rPr>
          <w:rFonts w:ascii="Cambria Math" w:hAnsi="Cambria Math" w:cs="Cambria Math"/>
        </w:rPr>
        <w:t>₁</w:t>
      </w:r>
      <w:r w:rsidRPr="000E55EB">
        <w:t xml:space="preserve"> </w:t>
      </w:r>
      <w:r w:rsidRPr="000E55EB">
        <w:rPr>
          <w:rFonts w:ascii="等线" w:eastAsia="等线" w:hAnsi="等线" w:cs="等线" w:hint="eastAsia"/>
        </w:rPr>
        <w:t>×</w:t>
      </w:r>
      <w:r w:rsidRPr="000E55EB">
        <w:t xml:space="preserve"> p</w:t>
      </w:r>
      <w:r w:rsidRPr="000E55EB">
        <w:rPr>
          <w:rFonts w:ascii="Times New Roman" w:hAnsi="Times New Roman" w:cs="Times New Roman"/>
        </w:rPr>
        <w:t>ᵢ</w:t>
      </w:r>
      <w:r w:rsidRPr="000E55EB">
        <w:rPr>
          <w:rFonts w:ascii="Cambria Math" w:hAnsi="Cambria Math" w:cs="Cambria Math"/>
        </w:rPr>
        <w:t>₂</w:t>
      </w:r>
      <w:r w:rsidRPr="000E55EB">
        <w:t>)</w:t>
      </w:r>
    </w:p>
    <w:p w14:paraId="2F8902F2" w14:textId="77777777" w:rsidR="000E55EB" w:rsidRPr="000E55EB" w:rsidRDefault="000E55EB" w:rsidP="000E55EB">
      <w:r w:rsidRPr="000E55EB">
        <w:pict w14:anchorId="6C3FA9A6">
          <v:rect id="_x0000_i1049" style="width:0;height:1.5pt" o:hralign="center" o:hrstd="t" o:hr="t" fillcolor="#a0a0a0" stroked="f"/>
        </w:pict>
      </w:r>
    </w:p>
    <w:p w14:paraId="3642BA88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Supplementary Material S2: Sensitivity Analyses for Composite Emotional Disorder Effect Sizes</w:t>
      </w:r>
    </w:p>
    <w:p w14:paraId="38FACB39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S2.1 Rationale</w:t>
      </w:r>
    </w:p>
    <w:p w14:paraId="08531F0E" w14:textId="77777777" w:rsidR="000E55EB" w:rsidRPr="000E55EB" w:rsidRDefault="000E55EB" w:rsidP="000E55EB">
      <w:r w:rsidRPr="000E55EB">
        <w:t>When a single study reported both depressive and anxiety outcomes, we computed a combined emotional disorder effect size by averaging the two standardized mean differences while adjusting for their inter-outcome correlation, following the method described by Borenstein et al. [9]. Because the true correlation between depression and anxiety effect sizes within each study was unknown, we assumed r = 0.50 for the primary analysis. To assess the sensitivity of our pooled estimates to this assumption, we repeated the analysis using r = 0.30 (lower bound) and r = 0.70 (upper bound).</w:t>
      </w:r>
    </w:p>
    <w:p w14:paraId="77DB0B4A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S2.2 Results</w:t>
      </w:r>
    </w:p>
    <w:p w14:paraId="294D005C" w14:textId="77777777" w:rsidR="000E55EB" w:rsidRPr="000E55EB" w:rsidRDefault="000E55EB" w:rsidP="000E55EB">
      <w:r w:rsidRPr="000E55EB">
        <w:rPr>
          <w:b/>
          <w:bCs/>
        </w:rPr>
        <w:t>Table S1. Pooled Emotional Disorder Effect Sizes Under Different Assumed Inter-Outcome Correlations</w:t>
      </w:r>
    </w:p>
    <w:p w14:paraId="0A13813F" w14:textId="77777777" w:rsidR="000E55EB" w:rsidRPr="000E55EB" w:rsidRDefault="000E55EB" w:rsidP="000E55EB">
      <w:r w:rsidRPr="000E55EB">
        <w:t xml:space="preserve">Assumed correlation r = 0.30: Pooled SMD = </w:t>
      </w:r>
      <w:r w:rsidRPr="000E55EB">
        <w:rPr>
          <w:rFonts w:ascii="Cambria Math" w:hAnsi="Cambria Math" w:cs="Cambria Math"/>
        </w:rPr>
        <w:t>−</w:t>
      </w:r>
      <w:r w:rsidRPr="000E55EB">
        <w:t>0.70, 95% CI (</w:t>
      </w:r>
      <w:r w:rsidRPr="000E55EB">
        <w:rPr>
          <w:rFonts w:ascii="Cambria Math" w:hAnsi="Cambria Math" w:cs="Cambria Math"/>
        </w:rPr>
        <w:t>−</w:t>
      </w:r>
      <w:r w:rsidRPr="000E55EB">
        <w:t xml:space="preserve">0.89, </w:t>
      </w:r>
      <w:r w:rsidRPr="000E55EB">
        <w:rPr>
          <w:rFonts w:ascii="Cambria Math" w:hAnsi="Cambria Math" w:cs="Cambria Math"/>
        </w:rPr>
        <w:t>−</w:t>
      </w:r>
      <w:r w:rsidRPr="000E55EB">
        <w:t>0.51), I</w:t>
      </w:r>
      <w:r w:rsidRPr="000E55EB">
        <w:rPr>
          <w:rFonts w:ascii="等线" w:eastAsia="等线" w:hAnsi="等线" w:cs="等线" w:hint="eastAsia"/>
        </w:rPr>
        <w:t>²</w:t>
      </w:r>
      <w:r w:rsidRPr="000E55EB">
        <w:t xml:space="preserve"> = 78.2%, k = 21</w:t>
      </w:r>
    </w:p>
    <w:p w14:paraId="29520DBA" w14:textId="77777777" w:rsidR="000E55EB" w:rsidRPr="000E55EB" w:rsidRDefault="000E55EB" w:rsidP="000E55EB">
      <w:r w:rsidRPr="000E55EB">
        <w:t xml:space="preserve">Assumed correlation r = 0.50 (primary analysis): Pooled SMD = </w:t>
      </w:r>
      <w:r w:rsidRPr="000E55EB">
        <w:rPr>
          <w:rFonts w:ascii="Cambria Math" w:hAnsi="Cambria Math" w:cs="Cambria Math"/>
        </w:rPr>
        <w:t>−</w:t>
      </w:r>
      <w:r w:rsidRPr="000E55EB">
        <w:t>0.70, 95% CI (</w:t>
      </w:r>
      <w:r w:rsidRPr="000E55EB">
        <w:rPr>
          <w:rFonts w:ascii="Cambria Math" w:hAnsi="Cambria Math" w:cs="Cambria Math"/>
        </w:rPr>
        <w:t>−</w:t>
      </w:r>
      <w:r w:rsidRPr="000E55EB">
        <w:t xml:space="preserve">0.88, </w:t>
      </w:r>
      <w:r w:rsidRPr="000E55EB">
        <w:rPr>
          <w:rFonts w:ascii="Cambria Math" w:hAnsi="Cambria Math" w:cs="Cambria Math"/>
        </w:rPr>
        <w:t>−</w:t>
      </w:r>
      <w:r w:rsidRPr="000E55EB">
        <w:t>0.52), I</w:t>
      </w:r>
      <w:r w:rsidRPr="000E55EB">
        <w:rPr>
          <w:rFonts w:ascii="等线" w:eastAsia="等线" w:hAnsi="等线" w:cs="等线" w:hint="eastAsia"/>
        </w:rPr>
        <w:t>²</w:t>
      </w:r>
      <w:r w:rsidRPr="000E55EB">
        <w:t xml:space="preserve"> = 77.7%, k = 21</w:t>
      </w:r>
    </w:p>
    <w:p w14:paraId="4BE5691E" w14:textId="77777777" w:rsidR="000E55EB" w:rsidRPr="000E55EB" w:rsidRDefault="000E55EB" w:rsidP="000E55EB">
      <w:r w:rsidRPr="000E55EB">
        <w:t xml:space="preserve">Assumed correlation r = 0.70: Pooled SMD = </w:t>
      </w:r>
      <w:r w:rsidRPr="000E55EB">
        <w:rPr>
          <w:rFonts w:ascii="Cambria Math" w:hAnsi="Cambria Math" w:cs="Cambria Math"/>
        </w:rPr>
        <w:t>−</w:t>
      </w:r>
      <w:r w:rsidRPr="000E55EB">
        <w:t>0.71, 95% CI (</w:t>
      </w:r>
      <w:r w:rsidRPr="000E55EB">
        <w:rPr>
          <w:rFonts w:ascii="Cambria Math" w:hAnsi="Cambria Math" w:cs="Cambria Math"/>
        </w:rPr>
        <w:t>−</w:t>
      </w:r>
      <w:r w:rsidRPr="000E55EB">
        <w:t xml:space="preserve">0.88, </w:t>
      </w:r>
      <w:r w:rsidRPr="000E55EB">
        <w:rPr>
          <w:rFonts w:ascii="Cambria Math" w:hAnsi="Cambria Math" w:cs="Cambria Math"/>
        </w:rPr>
        <w:t>−</w:t>
      </w:r>
      <w:r w:rsidRPr="000E55EB">
        <w:t>0.54), I</w:t>
      </w:r>
      <w:r w:rsidRPr="000E55EB">
        <w:rPr>
          <w:rFonts w:ascii="等线" w:eastAsia="等线" w:hAnsi="等线" w:cs="等线" w:hint="eastAsia"/>
        </w:rPr>
        <w:t>²</w:t>
      </w:r>
      <w:r w:rsidRPr="000E55EB">
        <w:t xml:space="preserve"> = 77.1%, k = 21</w:t>
      </w:r>
    </w:p>
    <w:p w14:paraId="3AFE87DA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S2.3 Interpretation</w:t>
      </w:r>
    </w:p>
    <w:p w14:paraId="51AE9BDF" w14:textId="77777777" w:rsidR="000E55EB" w:rsidRPr="000E55EB" w:rsidRDefault="000E55EB" w:rsidP="000E55EB">
      <w:r w:rsidRPr="000E55EB">
        <w:t xml:space="preserve">Across the three correlation assumptions, the pooled SMD for combined emotional disorder outcomes remained virtually identical, ranging from </w:t>
      </w:r>
      <w:r w:rsidRPr="000E55EB">
        <w:rPr>
          <w:rFonts w:ascii="Cambria Math" w:hAnsi="Cambria Math" w:cs="Cambria Math"/>
        </w:rPr>
        <w:t>−</w:t>
      </w:r>
      <w:r w:rsidRPr="000E55EB">
        <w:t xml:space="preserve">0.70 to </w:t>
      </w:r>
      <w:r w:rsidRPr="000E55EB">
        <w:rPr>
          <w:rFonts w:ascii="Cambria Math" w:hAnsi="Cambria Math" w:cs="Cambria Math"/>
        </w:rPr>
        <w:t>−</w:t>
      </w:r>
      <w:r w:rsidRPr="000E55EB">
        <w:t>0.71. The 95% confidence intervals overlapped almost entirely, and I</w:t>
      </w:r>
      <w:r w:rsidRPr="000E55EB">
        <w:rPr>
          <w:rFonts w:ascii="等线" w:eastAsia="等线" w:hAnsi="等线" w:cs="等线" w:hint="eastAsia"/>
        </w:rPr>
        <w:t>²</w:t>
      </w:r>
      <w:r w:rsidRPr="000E55EB">
        <w:t xml:space="preserve"> values differed by less than two percentage points. These findings indicate that the choice of inter-outcome correlation had negligible influence on the pooled estimate. Our primary analysis using r = 0.50 can therefore be regarded as robust to reasonable variation in this parameter.</w:t>
      </w:r>
    </w:p>
    <w:p w14:paraId="329EA682" w14:textId="77777777" w:rsidR="000E55EB" w:rsidRPr="000E55EB" w:rsidRDefault="000E55EB" w:rsidP="000E55EB">
      <w:r w:rsidRPr="000E55EB">
        <w:pict w14:anchorId="615C29B5">
          <v:rect id="_x0000_i1050" style="width:0;height:1.5pt" o:hralign="center" o:hrstd="t" o:hr="t" fillcolor="#a0a0a0" stroked="f"/>
        </w:pict>
      </w:r>
    </w:p>
    <w:p w14:paraId="0B66A3AB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Supplementary Material S3: PRISMA 2020 Checklist</w:t>
      </w:r>
    </w:p>
    <w:p w14:paraId="7BA193CF" w14:textId="77777777" w:rsidR="000E55EB" w:rsidRPr="000E55EB" w:rsidRDefault="000E55EB" w:rsidP="000E55EB">
      <w:r w:rsidRPr="000E55EB">
        <w:rPr>
          <w:b/>
          <w:bCs/>
        </w:rPr>
        <w:t>Table S2. PRISMA 2020 Checklist</w:t>
      </w:r>
    </w:p>
    <w:p w14:paraId="00B0715A" w14:textId="77777777" w:rsidR="000E55EB" w:rsidRPr="000E55EB" w:rsidRDefault="000E55EB" w:rsidP="000E55EB">
      <w:r w:rsidRPr="000E55EB">
        <w:t>TITLE — Item 1 (Title): Identify the report as a systematic review. Reported on page 1.</w:t>
      </w:r>
    </w:p>
    <w:p w14:paraId="0BF934A2" w14:textId="77777777" w:rsidR="000E55EB" w:rsidRPr="000E55EB" w:rsidRDefault="000E55EB" w:rsidP="000E55EB">
      <w:r w:rsidRPr="000E55EB">
        <w:lastRenderedPageBreak/>
        <w:t>ABSTRACT — Item 2 (Abstract): Provide a structured summary. Reported on page 1.</w:t>
      </w:r>
    </w:p>
    <w:p w14:paraId="7264E166" w14:textId="77777777" w:rsidR="000E55EB" w:rsidRPr="000E55EB" w:rsidRDefault="000E55EB" w:rsidP="000E55EB">
      <w:r w:rsidRPr="000E55EB">
        <w:t>INTRODUCTION — Item 3 (Rationale): Describe the rationale for the review. Reported in Section I, paragraphs 1–5.</w:t>
      </w:r>
    </w:p>
    <w:p w14:paraId="2327F464" w14:textId="77777777" w:rsidR="000E55EB" w:rsidRPr="000E55EB" w:rsidRDefault="000E55EB" w:rsidP="000E55EB">
      <w:r w:rsidRPr="000E55EB">
        <w:t>Item 4 (Objectives): Provide an explicit statement of the objectives. Reported in Section I, paragraph 8.</w:t>
      </w:r>
    </w:p>
    <w:p w14:paraId="4ED7529B" w14:textId="77777777" w:rsidR="000E55EB" w:rsidRPr="000E55EB" w:rsidRDefault="000E55EB" w:rsidP="000E55EB">
      <w:r w:rsidRPr="000E55EB">
        <w:t>METHODS — Item 5 (Eligibility criteria): Specify the inclusion and exclusion criteria. Reported in Section 3.1.</w:t>
      </w:r>
    </w:p>
    <w:p w14:paraId="3588D994" w14:textId="77777777" w:rsidR="000E55EB" w:rsidRPr="000E55EB" w:rsidRDefault="000E55EB" w:rsidP="000E55EB">
      <w:r w:rsidRPr="000E55EB">
        <w:t>Item 6 (Information sources): Describe all information sources. Reported in Section 3.1 and Table 1.</w:t>
      </w:r>
    </w:p>
    <w:p w14:paraId="5E0FD15D" w14:textId="77777777" w:rsidR="000E55EB" w:rsidRPr="000E55EB" w:rsidRDefault="000E55EB" w:rsidP="000E55EB">
      <w:r w:rsidRPr="000E55EB">
        <w:t>Item 7 (Search strategy): Present the full search strategy. Reported in Section 3.1 and Table 1.</w:t>
      </w:r>
    </w:p>
    <w:p w14:paraId="1FDFCB62" w14:textId="77777777" w:rsidR="000E55EB" w:rsidRPr="000E55EB" w:rsidRDefault="000E55EB" w:rsidP="000E55EB">
      <w:r w:rsidRPr="000E55EB">
        <w:t>Item 8 (Selection process): Describe the process for selecting studies. Reported in Section 3.2.</w:t>
      </w:r>
    </w:p>
    <w:p w14:paraId="678A25F9" w14:textId="77777777" w:rsidR="000E55EB" w:rsidRPr="000E55EB" w:rsidRDefault="000E55EB" w:rsidP="000E55EB">
      <w:r w:rsidRPr="000E55EB">
        <w:t>Item 9 (Data collection process): Describe the process for data extraction. Reported in Section 3.3.</w:t>
      </w:r>
    </w:p>
    <w:p w14:paraId="39DFA437" w14:textId="77777777" w:rsidR="000E55EB" w:rsidRPr="000E55EB" w:rsidRDefault="000E55EB" w:rsidP="000E55EB">
      <w:r w:rsidRPr="000E55EB">
        <w:t>Item 10a (Data items): List and define all outcomes and variables. Reported in Section 3.3.</w:t>
      </w:r>
    </w:p>
    <w:p w14:paraId="53AB94E4" w14:textId="77777777" w:rsidR="000E55EB" w:rsidRPr="000E55EB" w:rsidRDefault="000E55EB" w:rsidP="000E55EB">
      <w:r w:rsidRPr="000E55EB">
        <w:t>Item 10b (Data items): List and define assumptions made about missing data. Reported in Section 3.3.</w:t>
      </w:r>
    </w:p>
    <w:p w14:paraId="787BD088" w14:textId="77777777" w:rsidR="000E55EB" w:rsidRPr="000E55EB" w:rsidRDefault="000E55EB" w:rsidP="000E55EB">
      <w:r w:rsidRPr="000E55EB">
        <w:t>Item 11 (Study risk of bias assessment): Describe methods for assessing risk of bias. Reported in Section 3.3.</w:t>
      </w:r>
    </w:p>
    <w:p w14:paraId="40FBEC37" w14:textId="77777777" w:rsidR="000E55EB" w:rsidRPr="000E55EB" w:rsidRDefault="000E55EB" w:rsidP="000E55EB">
      <w:r w:rsidRPr="000E55EB">
        <w:t>Item 12 (Effect measures): Specify for each outcome the effect measure used. Reported in Section 2.2 and Supplementary Material S1.</w:t>
      </w:r>
    </w:p>
    <w:p w14:paraId="1BA1C8BC" w14:textId="77777777" w:rsidR="000E55EB" w:rsidRPr="000E55EB" w:rsidRDefault="000E55EB" w:rsidP="000E55EB">
      <w:r w:rsidRPr="000E55EB">
        <w:t>Item 13a (Synthesis methods): Describe processes for pooling results. Reported in Section 2.2.</w:t>
      </w:r>
    </w:p>
    <w:p w14:paraId="289E841A" w14:textId="77777777" w:rsidR="000E55EB" w:rsidRPr="000E55EB" w:rsidRDefault="000E55EB" w:rsidP="000E55EB">
      <w:r w:rsidRPr="000E55EB">
        <w:t>Item 13b (Synthesis methods): Describe any methods used to explore heterogeneity. Reported in Sections 2.2 and 3.1.</w:t>
      </w:r>
    </w:p>
    <w:p w14:paraId="643EAEF0" w14:textId="77777777" w:rsidR="000E55EB" w:rsidRPr="000E55EB" w:rsidRDefault="000E55EB" w:rsidP="000E55EB">
      <w:r w:rsidRPr="000E55EB">
        <w:t>Item 13c (Synthesis methods): Describe any sensitivity analyses. Reported in Section 4.3.</w:t>
      </w:r>
    </w:p>
    <w:p w14:paraId="53CA10B1" w14:textId="77777777" w:rsidR="000E55EB" w:rsidRPr="000E55EB" w:rsidRDefault="000E55EB" w:rsidP="000E55EB">
      <w:r w:rsidRPr="000E55EB">
        <w:t>Item 13d (Synthesis methods): Describe methods for assessing certainty of evidence. Reported in Section 4.3.</w:t>
      </w:r>
    </w:p>
    <w:p w14:paraId="09EF3889" w14:textId="77777777" w:rsidR="000E55EB" w:rsidRPr="000E55EB" w:rsidRDefault="000E55EB" w:rsidP="000E55EB">
      <w:r w:rsidRPr="000E55EB">
        <w:t>Item 14 (Reporting bias assessment): Describe methods for assessing publication bias. Reported in Section 2.3.</w:t>
      </w:r>
    </w:p>
    <w:p w14:paraId="39589844" w14:textId="77777777" w:rsidR="000E55EB" w:rsidRPr="000E55EB" w:rsidRDefault="000E55EB" w:rsidP="000E55EB">
      <w:r w:rsidRPr="000E55EB">
        <w:t>Item 15 (Certainty assessment): Describe methods for assessing certainty of evidence. Reported in Section 4.3.</w:t>
      </w:r>
    </w:p>
    <w:p w14:paraId="16D640E6" w14:textId="77777777" w:rsidR="000E55EB" w:rsidRPr="000E55EB" w:rsidRDefault="000E55EB" w:rsidP="000E55EB">
      <w:r w:rsidRPr="000E55EB">
        <w:t>RESULTS — Item 16a (Study selection): Describe results of the search and selection process. Reported in Section 3.2 and Figure 1.</w:t>
      </w:r>
    </w:p>
    <w:p w14:paraId="34846304" w14:textId="77777777" w:rsidR="000E55EB" w:rsidRPr="000E55EB" w:rsidRDefault="000E55EB" w:rsidP="000E55EB">
      <w:r w:rsidRPr="000E55EB">
        <w:t>Item 16b (Study selection): Cite excluded studies and provide reasons. Reported in Section 3.2.</w:t>
      </w:r>
    </w:p>
    <w:p w14:paraId="55D7516A" w14:textId="77777777" w:rsidR="000E55EB" w:rsidRPr="000E55EB" w:rsidRDefault="000E55EB" w:rsidP="000E55EB">
      <w:r w:rsidRPr="000E55EB">
        <w:t>Item 17 (Study characteristics): Cite each included study and present key characteristics. Reported in Table 2.</w:t>
      </w:r>
    </w:p>
    <w:p w14:paraId="405B3BDB" w14:textId="77777777" w:rsidR="000E55EB" w:rsidRPr="000E55EB" w:rsidRDefault="000E55EB" w:rsidP="000E55EB">
      <w:r w:rsidRPr="000E55EB">
        <w:t>Item 18 (Risk of bias in studies): Present risk of bias assessments. Reported in Table 3 and Figure 2.</w:t>
      </w:r>
    </w:p>
    <w:p w14:paraId="07140D10" w14:textId="77777777" w:rsidR="000E55EB" w:rsidRPr="000E55EB" w:rsidRDefault="000E55EB" w:rsidP="000E55EB">
      <w:r w:rsidRPr="000E55EB">
        <w:t>Item 19 (Results of individual studies): Present results for all outcomes for each study. Reported in Figures 3, 4, 6, and 7.</w:t>
      </w:r>
    </w:p>
    <w:p w14:paraId="2745E3C0" w14:textId="77777777" w:rsidR="000E55EB" w:rsidRPr="000E55EB" w:rsidRDefault="000E55EB" w:rsidP="000E55EB">
      <w:r w:rsidRPr="000E55EB">
        <w:t>Item 20a (Results of syntheses): Present results of each meta-analysis. Reported in Sections 4.1 and 4.2.</w:t>
      </w:r>
    </w:p>
    <w:p w14:paraId="3F3EF46C" w14:textId="77777777" w:rsidR="000E55EB" w:rsidRPr="000E55EB" w:rsidRDefault="000E55EB" w:rsidP="000E55EB">
      <w:r w:rsidRPr="000E55EB">
        <w:t>Item 20b (Results of syntheses): Present results of heterogeneity investigations. Reported in Tables 4 and 5.</w:t>
      </w:r>
    </w:p>
    <w:p w14:paraId="6D33AB7F" w14:textId="77777777" w:rsidR="000E55EB" w:rsidRPr="000E55EB" w:rsidRDefault="000E55EB" w:rsidP="000E55EB">
      <w:r w:rsidRPr="000E55EB">
        <w:lastRenderedPageBreak/>
        <w:t>Item 20c (Results of syntheses): Present results of sensitivity analyses. Reported in Section 4.3.</w:t>
      </w:r>
    </w:p>
    <w:p w14:paraId="7247264A" w14:textId="77777777" w:rsidR="000E55EB" w:rsidRPr="000E55EB" w:rsidRDefault="000E55EB" w:rsidP="000E55EB">
      <w:r w:rsidRPr="000E55EB">
        <w:t>Item 20d (Results of syntheses): Present results of publication bias assessments. Reported in Sections 4.1, 4.2, Figures 5 and 8.</w:t>
      </w:r>
    </w:p>
    <w:p w14:paraId="2E94C82A" w14:textId="77777777" w:rsidR="000E55EB" w:rsidRPr="000E55EB" w:rsidRDefault="000E55EB" w:rsidP="000E55EB">
      <w:r w:rsidRPr="000E55EB">
        <w:t>Item 21 (Reporting biases): Present assessments of publication bias. Reported in Sections 4.1 and 4.2.</w:t>
      </w:r>
    </w:p>
    <w:p w14:paraId="1CCFC0A9" w14:textId="77777777" w:rsidR="000E55EB" w:rsidRPr="000E55EB" w:rsidRDefault="000E55EB" w:rsidP="000E55EB">
      <w:r w:rsidRPr="000E55EB">
        <w:t>Item 22 (Certainty of evidence): Present assessments of certainty of evidence. Reported in Section 4.3.</w:t>
      </w:r>
    </w:p>
    <w:p w14:paraId="691EDF38" w14:textId="77777777" w:rsidR="000E55EB" w:rsidRPr="000E55EB" w:rsidRDefault="000E55EB" w:rsidP="000E55EB">
      <w:r w:rsidRPr="000E55EB">
        <w:t>DISCUSSION — Item 23a (Discussion): Provide a general interpretation of results. Reported in Section V.</w:t>
      </w:r>
    </w:p>
    <w:p w14:paraId="606660A7" w14:textId="77777777" w:rsidR="000E55EB" w:rsidRPr="000E55EB" w:rsidRDefault="000E55EB" w:rsidP="000E55EB">
      <w:r w:rsidRPr="000E55EB">
        <w:t>Item 23b (Discussion): Discuss limitations of the evidence. Reported in Section V.</w:t>
      </w:r>
    </w:p>
    <w:p w14:paraId="5296C36E" w14:textId="77777777" w:rsidR="000E55EB" w:rsidRPr="000E55EB" w:rsidRDefault="000E55EB" w:rsidP="000E55EB">
      <w:r w:rsidRPr="000E55EB">
        <w:t>Item 23c (Discussion): Discuss limitations of the review process. Reported in Section V.</w:t>
      </w:r>
    </w:p>
    <w:p w14:paraId="7CD427DA" w14:textId="77777777" w:rsidR="000E55EB" w:rsidRPr="000E55EB" w:rsidRDefault="000E55EB" w:rsidP="000E55EB">
      <w:r w:rsidRPr="000E55EB">
        <w:t>Item 23d (Discussion): Discuss implications. Reported in Sections V and VI.</w:t>
      </w:r>
    </w:p>
    <w:p w14:paraId="7209CEAD" w14:textId="77777777" w:rsidR="000E55EB" w:rsidRPr="000E55EB" w:rsidRDefault="000E55EB" w:rsidP="000E55EB">
      <w:r w:rsidRPr="000E55EB">
        <w:t>OTHER INFORMATION — Item 24a (Registration and protocol): Provide registration information. Not registered; explained in Section 3.1.</w:t>
      </w:r>
    </w:p>
    <w:p w14:paraId="7D4AC60B" w14:textId="77777777" w:rsidR="000E55EB" w:rsidRPr="000E55EB" w:rsidRDefault="000E55EB" w:rsidP="000E55EB">
      <w:r w:rsidRPr="000E55EB">
        <w:t>Item 24b (Registration and protocol): Indicate where the protocol can be accessed. Not applicable.</w:t>
      </w:r>
    </w:p>
    <w:p w14:paraId="389C964C" w14:textId="77777777" w:rsidR="000E55EB" w:rsidRPr="000E55EB" w:rsidRDefault="000E55EB" w:rsidP="000E55EB">
      <w:r w:rsidRPr="000E55EB">
        <w:t>Item 24c (Registration and protocol): Describe amendments to the protocol. Not applicable.</w:t>
      </w:r>
    </w:p>
    <w:p w14:paraId="6A3EB6A7" w14:textId="77777777" w:rsidR="000E55EB" w:rsidRPr="000E55EB" w:rsidRDefault="000E55EB" w:rsidP="000E55EB">
      <w:r w:rsidRPr="000E55EB">
        <w:t>Item 25 (Support): Describe sources of financial support. Reported in Declarations.</w:t>
      </w:r>
    </w:p>
    <w:p w14:paraId="02F204BB" w14:textId="77777777" w:rsidR="000E55EB" w:rsidRPr="000E55EB" w:rsidRDefault="000E55EB" w:rsidP="000E55EB">
      <w:r w:rsidRPr="000E55EB">
        <w:t>Item 26 (Competing interests): Declare competing interests. Reported in Declarations.</w:t>
      </w:r>
    </w:p>
    <w:p w14:paraId="19AC282B" w14:textId="77777777" w:rsidR="000E55EB" w:rsidRPr="000E55EB" w:rsidRDefault="000E55EB" w:rsidP="000E55EB">
      <w:r w:rsidRPr="000E55EB">
        <w:t>Item 27 (Availability of data): Report which data, analytic code, and materials are available. Reported in Declarations.</w:t>
      </w:r>
    </w:p>
    <w:p w14:paraId="7C8DAFDE" w14:textId="77777777" w:rsidR="000E55EB" w:rsidRPr="000E55EB" w:rsidRDefault="000E55EB" w:rsidP="000E55EB">
      <w:r w:rsidRPr="000E55EB">
        <w:pict w14:anchorId="27B8EDE1">
          <v:rect id="_x0000_i1051" style="width:0;height:1.5pt" o:hralign="center" o:hrstd="t" o:hr="t" fillcolor="#a0a0a0" stroked="f"/>
        </w:pict>
      </w:r>
    </w:p>
    <w:p w14:paraId="62A0DBF8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Supplementary Material S4: RCT-Only Sensitivity Analysis Details</w:t>
      </w:r>
    </w:p>
    <w:p w14:paraId="5023B0E7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S4.1 Psychological Stress Outcomes (RCT Only)</w:t>
      </w:r>
    </w:p>
    <w:p w14:paraId="044678C5" w14:textId="77777777" w:rsidR="000E55EB" w:rsidRPr="000E55EB" w:rsidRDefault="000E55EB" w:rsidP="000E55EB">
      <w:r w:rsidRPr="000E55EB">
        <w:t xml:space="preserve">Thirteen studies employing randomized controlled trial designs contributed to the RCT-only analysis for psychological stress. The random-effects pooled estimate was SMD = </w:t>
      </w:r>
      <w:r w:rsidRPr="000E55EB">
        <w:rPr>
          <w:rFonts w:ascii="Cambria Math" w:hAnsi="Cambria Math" w:cs="Cambria Math"/>
        </w:rPr>
        <w:t>−</w:t>
      </w:r>
      <w:r w:rsidRPr="000E55EB">
        <w:t xml:space="preserve">0.66 (95% CI: </w:t>
      </w:r>
      <w:r w:rsidRPr="000E55EB">
        <w:rPr>
          <w:rFonts w:ascii="Cambria Math" w:hAnsi="Cambria Math" w:cs="Cambria Math"/>
        </w:rPr>
        <w:t>−</w:t>
      </w:r>
      <w:r w:rsidRPr="000E55EB">
        <w:t xml:space="preserve">0.87 to </w:t>
      </w:r>
      <w:r w:rsidRPr="000E55EB">
        <w:rPr>
          <w:rFonts w:ascii="Cambria Math" w:hAnsi="Cambria Math" w:cs="Cambria Math"/>
        </w:rPr>
        <w:t>−</w:t>
      </w:r>
      <w:r w:rsidRPr="000E55EB">
        <w:t xml:space="preserve">0.45, p &lt; 0.001). Between-study heterogeneity remained substantial (Q = 48.31, </w:t>
      </w:r>
      <w:proofErr w:type="spellStart"/>
      <w:r w:rsidRPr="000E55EB">
        <w:t>df</w:t>
      </w:r>
      <w:proofErr w:type="spellEnd"/>
      <w:r w:rsidRPr="000E55EB">
        <w:t xml:space="preserve"> = 12, p &lt; 0.001; I</w:t>
      </w:r>
      <w:r w:rsidRPr="000E55EB">
        <w:rPr>
          <w:rFonts w:ascii="等线" w:eastAsia="等线" w:hAnsi="等线" w:cs="等线" w:hint="eastAsia"/>
        </w:rPr>
        <w:t>²</w:t>
      </w:r>
      <w:r w:rsidRPr="000E55EB">
        <w:t xml:space="preserve"> = 75.2%). Compared with the full-sample estimate including quasi-experimental studies (SMD = </w:t>
      </w:r>
      <w:r w:rsidRPr="000E55EB">
        <w:rPr>
          <w:rFonts w:ascii="Cambria Math" w:hAnsi="Cambria Math" w:cs="Cambria Math"/>
        </w:rPr>
        <w:t>−</w:t>
      </w:r>
      <w:r w:rsidRPr="000E55EB">
        <w:t>0.71), the RCT-only estimate was modestly attenuated by 0.05 standard deviations. The confidence intervals of the two estimates overlapped considerably, indicating no qualitative difference in the direction or statistical significance of findings.</w:t>
      </w:r>
    </w:p>
    <w:p w14:paraId="1E93D1CB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S4.2 Emotional Disorder Outcomes (RCT Only)</w:t>
      </w:r>
    </w:p>
    <w:p w14:paraId="27E42360" w14:textId="77777777" w:rsidR="000E55EB" w:rsidRPr="000E55EB" w:rsidRDefault="000E55EB" w:rsidP="000E55EB">
      <w:r w:rsidRPr="000E55EB">
        <w:t xml:space="preserve">Fifteen randomized controlled trials contributed to the RCT-only analysis for emotional disorder outcomes. The pooled SMD was </w:t>
      </w:r>
      <w:r w:rsidRPr="000E55EB">
        <w:rPr>
          <w:rFonts w:ascii="Cambria Math" w:hAnsi="Cambria Math" w:cs="Cambria Math"/>
        </w:rPr>
        <w:t>−</w:t>
      </w:r>
      <w:r w:rsidRPr="000E55EB">
        <w:t xml:space="preserve">0.62 (95% CI: </w:t>
      </w:r>
      <w:r w:rsidRPr="000E55EB">
        <w:rPr>
          <w:rFonts w:ascii="Cambria Math" w:hAnsi="Cambria Math" w:cs="Cambria Math"/>
        </w:rPr>
        <w:t>−</w:t>
      </w:r>
      <w:r w:rsidRPr="000E55EB">
        <w:t xml:space="preserve">0.82 to </w:t>
      </w:r>
      <w:r w:rsidRPr="000E55EB">
        <w:rPr>
          <w:rFonts w:ascii="Cambria Math" w:hAnsi="Cambria Math" w:cs="Cambria Math"/>
        </w:rPr>
        <w:t>−</w:t>
      </w:r>
      <w:r w:rsidRPr="000E55EB">
        <w:t xml:space="preserve">0.42, p &lt; 0.001), with substantial heterogeneity (Q = 61.28, </w:t>
      </w:r>
      <w:proofErr w:type="spellStart"/>
      <w:r w:rsidRPr="000E55EB">
        <w:t>df</w:t>
      </w:r>
      <w:proofErr w:type="spellEnd"/>
      <w:r w:rsidRPr="000E55EB">
        <w:t xml:space="preserve"> = 14, p &lt; 0.001; I</w:t>
      </w:r>
      <w:r w:rsidRPr="000E55EB">
        <w:rPr>
          <w:rFonts w:ascii="等线" w:eastAsia="等线" w:hAnsi="等线" w:cs="等线" w:hint="eastAsia"/>
        </w:rPr>
        <w:t>²</w:t>
      </w:r>
      <w:r w:rsidRPr="000E55EB">
        <w:t xml:space="preserve"> = 77.1%). This estimate was attenuated by 0.06 standard deviations relative to the full-sample estimate (SMD = </w:t>
      </w:r>
      <w:r w:rsidRPr="000E55EB">
        <w:rPr>
          <w:rFonts w:ascii="Cambria Math" w:hAnsi="Cambria Math" w:cs="Cambria Math"/>
        </w:rPr>
        <w:t>−</w:t>
      </w:r>
      <w:r w:rsidRPr="000E55EB">
        <w:t>0.68). Again, the direction, magnitude, and statistical significance of results were preserved, suggesting that the inclusion of quasi-experimental designs did not substantially inflate the overall pooled effects.</w:t>
      </w:r>
    </w:p>
    <w:p w14:paraId="762DF06A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t>S4.3 Summary</w:t>
      </w:r>
    </w:p>
    <w:p w14:paraId="5B6D0AD7" w14:textId="77777777" w:rsidR="000E55EB" w:rsidRPr="000E55EB" w:rsidRDefault="000E55EB" w:rsidP="000E55EB">
      <w:r w:rsidRPr="000E55EB">
        <w:t>Across both outcome domains, restricting the analysis to RCTs produced slightly smaller but qualitatively consistent pooled estimates. The modest attenuation aligns with the generally elevated risk of bias in non-randomized designs, but the magnitude of this shift was not sufficient to alter any substantive conclusions drawn from the primary analyses.</w:t>
      </w:r>
    </w:p>
    <w:p w14:paraId="0145CF86" w14:textId="77777777" w:rsidR="000E55EB" w:rsidRPr="000E55EB" w:rsidRDefault="000E55EB" w:rsidP="000E55EB">
      <w:r w:rsidRPr="000E55EB">
        <w:pict w14:anchorId="7C8AA481">
          <v:rect id="_x0000_i1052" style="width:0;height:1.5pt" o:hralign="center" o:hrstd="t" o:hr="t" fillcolor="#a0a0a0" stroked="f"/>
        </w:pict>
      </w:r>
    </w:p>
    <w:p w14:paraId="6E36ECFE" w14:textId="77777777" w:rsidR="000E55EB" w:rsidRPr="000E55EB" w:rsidRDefault="000E55EB" w:rsidP="000E55EB">
      <w:pPr>
        <w:rPr>
          <w:b/>
          <w:bCs/>
        </w:rPr>
      </w:pPr>
      <w:r w:rsidRPr="000E55EB">
        <w:rPr>
          <w:b/>
          <w:bCs/>
        </w:rPr>
        <w:lastRenderedPageBreak/>
        <w:t>References Cited in Supplementary Materials</w:t>
      </w:r>
    </w:p>
    <w:p w14:paraId="4C2EB7A5" w14:textId="77777777" w:rsidR="000E55EB" w:rsidRPr="000E55EB" w:rsidRDefault="000E55EB" w:rsidP="000E55EB">
      <w:r w:rsidRPr="000E55EB">
        <w:t>[9] Borenstein M, Hedges LV, Higgins JPT, Rothstein HR. Introduction to Meta-Analysis. 2nd ed. Chichester: Wiley; 2021.</w:t>
      </w:r>
    </w:p>
    <w:p w14:paraId="3748258F" w14:textId="77777777" w:rsidR="000E55EB" w:rsidRPr="000E55EB" w:rsidRDefault="000E55EB" w:rsidP="000E55EB">
      <w:r w:rsidRPr="000E55EB">
        <w:t>[19] Cohen J. Statistical Power Analysis for the Behavioral Sciences. 2nd ed. Hillsdale: Lawrence Erlbaum Associates; 1988.</w:t>
      </w:r>
    </w:p>
    <w:p w14:paraId="65D5B903" w14:textId="77777777" w:rsidR="000E55EB" w:rsidRPr="000E55EB" w:rsidRDefault="000E55EB" w:rsidP="000E55EB">
      <w:r w:rsidRPr="000E55EB">
        <w:t>[20] Hedges LV, Olkin I. Statistical Methods for Meta-Analysis. San Diego: Academic Press; 1985.</w:t>
      </w:r>
    </w:p>
    <w:p w14:paraId="53278EAA" w14:textId="77777777" w:rsidR="000E55EB" w:rsidRPr="000E55EB" w:rsidRDefault="000E55EB" w:rsidP="000E55EB">
      <w:r w:rsidRPr="000E55EB">
        <w:t>[21] Cochran WG. The combination of estimates from different experiments. Biometrics. 1954;10(1):101-129.</w:t>
      </w:r>
    </w:p>
    <w:p w14:paraId="2F990326" w14:textId="77777777" w:rsidR="000E55EB" w:rsidRPr="000E55EB" w:rsidRDefault="000E55EB" w:rsidP="000E55EB">
      <w:r w:rsidRPr="000E55EB">
        <w:t>[22] Higgins JPT, Thompson SG, Deeks JJ, Altman DG. Measuring inconsistency in meta-analyses. BMJ. 2003;327(7414):557-560.</w:t>
      </w:r>
    </w:p>
    <w:p w14:paraId="1C1A9828" w14:textId="77777777" w:rsidR="000E55EB" w:rsidRPr="000E55EB" w:rsidRDefault="000E55EB" w:rsidP="000E55EB">
      <w:r w:rsidRPr="000E55EB">
        <w:t>[23] Borenstein M, Higgins JPT. Meta-analysis and subgroups. Prevention Science. 2013;14(2):134-143.</w:t>
      </w:r>
    </w:p>
    <w:p w14:paraId="434BF7B8" w14:textId="77777777" w:rsidR="000E55EB" w:rsidRPr="000E55EB" w:rsidRDefault="000E55EB" w:rsidP="000E55EB">
      <w:r w:rsidRPr="000E55EB">
        <w:t>[24] Thompson SG, Higgins JPT. How should meta-regression analyses be undertaken and interpreted? Statistics in Medicine. 2002;21(11):1559-1573.</w:t>
      </w:r>
    </w:p>
    <w:p w14:paraId="546B28BB" w14:textId="77777777" w:rsidR="000E55EB" w:rsidRPr="000E55EB" w:rsidRDefault="000E55EB" w:rsidP="000E55EB">
      <w:r w:rsidRPr="000E55EB">
        <w:t>[27] Begg CB, Mazumdar M. Operating characteristics of a rank correlation test for publication bias. Biometrics. 1994;50(4):1088-1101.</w:t>
      </w:r>
    </w:p>
    <w:p w14:paraId="2E067470" w14:textId="77777777" w:rsidR="000E55EB" w:rsidRPr="000E55EB" w:rsidRDefault="000E55EB" w:rsidP="000E55EB">
      <w:r w:rsidRPr="000E55EB">
        <w:t>[28] Duval S, Tweedie R. Trim and fill: A simple funnel-plot-based method of testing and adjusting for publication bias in meta-analysis. Biometrics. 2000;56(2):455-463.</w:t>
      </w:r>
    </w:p>
    <w:p w14:paraId="48ADB2BF" w14:textId="77777777" w:rsidR="000E55EB" w:rsidRPr="000E55EB" w:rsidRDefault="000E55EB" w:rsidP="000E55EB">
      <w:r w:rsidRPr="000E55EB">
        <w:t>[38] Landis JR, Koch GG. The measurement of observer agreement for categorical data. Biometrics. 1977;33(1):159-174.</w:t>
      </w:r>
    </w:p>
    <w:p w14:paraId="4AAF1CDB" w14:textId="77777777" w:rsidR="000E55EB" w:rsidRPr="000E55EB" w:rsidRDefault="000E55EB" w:rsidP="000E55EB">
      <w:r w:rsidRPr="000E55EB">
        <w:t>[46] Egger M, Davey Smith G, Schneider M, Minder C. Bias in meta-analysis detected by a simple, graphical test. BMJ. 1997;315(7109):629-634.</w:t>
      </w:r>
    </w:p>
    <w:p w14:paraId="3AF2E4BC" w14:textId="77777777" w:rsidR="000E55EB" w:rsidRPr="000E55EB" w:rsidRDefault="000E55EB" w:rsidP="000E55EB">
      <w:r w:rsidRPr="000E55EB">
        <w:t xml:space="preserve">[51] </w:t>
      </w:r>
      <w:proofErr w:type="spellStart"/>
      <w:r w:rsidRPr="000E55EB">
        <w:t>IntHout</w:t>
      </w:r>
      <w:proofErr w:type="spellEnd"/>
      <w:r w:rsidRPr="000E55EB">
        <w:t xml:space="preserve"> J, Ioannidis JPA, Rovers MM, Goeman JJ. Plea for routinely presenting prediction intervals in meta-analysis. BMJ Open. 2016;6(7</w:t>
      </w:r>
      <w:proofErr w:type="gramStart"/>
      <w:r w:rsidRPr="000E55EB">
        <w:t>):e</w:t>
      </w:r>
      <w:proofErr w:type="gramEnd"/>
      <w:r w:rsidRPr="000E55EB">
        <w:t>010247.</w:t>
      </w:r>
    </w:p>
    <w:p w14:paraId="133DDEB6" w14:textId="77777777" w:rsidR="000E55EB" w:rsidRPr="000E55EB" w:rsidRDefault="000E55EB" w:rsidP="000E55EB">
      <w:r w:rsidRPr="000E55EB">
        <w:t>[52] Thompson SG, Sharp SJ. Explaining heterogeneity in meta-analysis: a comparison of methods. Statistics in Medicine. 1999;18(20):2693-2708.</w:t>
      </w:r>
    </w:p>
    <w:p w14:paraId="47959A7F" w14:textId="77777777" w:rsidR="000E55EB" w:rsidRPr="000E55EB" w:rsidRDefault="000E55EB" w:rsidP="000E55EB">
      <w:r w:rsidRPr="000E55EB">
        <w:t>[53] Harbord RM, Higgins JPT. Meta-regression in Stata. The Stata Journal. 2008;8(4):493-519.</w:t>
      </w:r>
    </w:p>
    <w:p w14:paraId="2E191750" w14:textId="75095FAA" w:rsidR="00AC356F" w:rsidRDefault="000E55EB">
      <w:pPr>
        <w:rPr>
          <w:rFonts w:hint="eastAsia"/>
        </w:rPr>
      </w:pPr>
      <w:r w:rsidRPr="000E55EB">
        <w:t>[60] Guyatt GH, Oxman AD, Kunz R, et al. GRADE guidelines: 7. Rating the quality of evidence—inconsistency. Journal of Clinical Epidemiology. 2011;64(12):1294-1302.</w:t>
      </w:r>
    </w:p>
    <w:sectPr w:rsidR="00AC35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EB"/>
    <w:rsid w:val="000E55EB"/>
    <w:rsid w:val="0024449B"/>
    <w:rsid w:val="005B3EE7"/>
    <w:rsid w:val="007A433F"/>
    <w:rsid w:val="009042D1"/>
    <w:rsid w:val="00976B46"/>
    <w:rsid w:val="00AC356F"/>
    <w:rsid w:val="00B22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5118A"/>
  <w15:chartTrackingRefBased/>
  <w15:docId w15:val="{A1831284-E75D-428B-9CCE-13E7006A6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55E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5E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5E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5E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5E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5E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5E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5E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55E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E5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E5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E55E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E55E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E55E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E55E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E55E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E55E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E55E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E5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55E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E55E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55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E55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55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E55E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E5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E55E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E55E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2300</Words>
  <Characters>13114</Characters>
  <Application>Microsoft Office Word</Application>
  <DocSecurity>0</DocSecurity>
  <Lines>109</Lines>
  <Paragraphs>30</Paragraphs>
  <ScaleCrop>false</ScaleCrop>
  <Company/>
  <LinksUpToDate>false</LinksUpToDate>
  <CharactersWithSpaces>15384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用户</dc:creator>
  <cp:keywords/>
  <dc:description/>
  <cp:lastModifiedBy>用户</cp:lastModifiedBy>
  <cp:revision>1</cp:revision>
  <dcterms:created xsi:type="dcterms:W3CDTF">2026-03-13T05:15:00Z</dcterms:created>
  <dcterms:modified xsi:type="dcterms:W3CDTF">2026-03-13T05:16:00Z</dcterms:modified>
</cp:coreProperties>
</file>