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447" w:rsidRPr="00F979A8" w:rsidRDefault="00863447" w:rsidP="0086344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material 7</w:t>
      </w:r>
      <w:r w:rsidR="005C38AA">
        <w:rPr>
          <w:rFonts w:ascii="Times New Roman" w:hAnsi="Times New Roman" w:cs="Times New Roman"/>
          <w:b/>
          <w:sz w:val="20"/>
          <w:szCs w:val="20"/>
        </w:rPr>
        <w:t xml:space="preserve">: </w:t>
      </w:r>
      <w:bookmarkStart w:id="0" w:name="_GoBack"/>
      <w:bookmarkEnd w:id="0"/>
      <w:r w:rsidR="006C236C" w:rsidRPr="006C236C">
        <w:rPr>
          <w:rFonts w:ascii="Times New Roman" w:hAnsi="Times New Roman" w:cs="Times New Roman"/>
          <w:b/>
          <w:sz w:val="20"/>
          <w:szCs w:val="20"/>
        </w:rPr>
        <w:t>Planned evaluation indicators and analytical approaches</w:t>
      </w:r>
    </w:p>
    <w:tbl>
      <w:tblPr>
        <w:tblW w:w="0" w:type="auto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2268"/>
        <w:gridCol w:w="1699"/>
        <w:gridCol w:w="2416"/>
      </w:tblGrid>
      <w:tr w:rsidR="00863447" w:rsidRPr="00F979A8" w:rsidTr="0013544F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>Evaluation Domain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>Objective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>Indicators / measures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>Data sources and tools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>Analysis approach</w:t>
            </w:r>
          </w:p>
        </w:tc>
      </w:tr>
      <w:tr w:rsidR="00863447" w:rsidRPr="00F979A8" w:rsidTr="0013544F"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Impact evaluation (Quantitative)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Assess impact of the CHW-led intervention on AYAs’ nutrition literacy and diet quality.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• Nutrition Literacy (ANLS 22-item scale)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br/>
              <w:t>• Diet Quality (GDQS 25-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tem index)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br/>
              <w:t>• Anthropometry (BMI)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Structured survey (ODK), Anthropometry tools</w:t>
            </w:r>
          </w:p>
        </w:tc>
        <w:tc>
          <w:tcPr>
            <w:tcW w:w="2416" w:type="dxa"/>
            <w:tcBorders>
              <w:top w:val="single" w:sz="4" w:space="0" w:color="auto"/>
              <w:bottom w:val="nil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Descriptive statistics; Ordinal &amp; Binary Logistic Regression; Intention-to-Treat analysis</w:t>
            </w:r>
          </w:p>
        </w:tc>
      </w:tr>
      <w:tr w:rsidR="00863447" w:rsidRPr="00F979A8" w:rsidTr="0013544F"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Process evaluation (mixed-methods)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 xml:space="preserve">Examine fidelity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Pr="00E156C3">
              <w:rPr>
                <w:rFonts w:ascii="Times New Roman" w:eastAsia="Times New Roman" w:hAnsi="Times New Roman" w:cs="Times New Roman"/>
                <w:sz w:val="20"/>
                <w:szCs w:val="20"/>
              </w:rPr>
              <w:t>delivery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strategies 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(Carroll’s model), barriers, and facilitators of implementation (CFIR).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 xml:space="preserve">• Fidelity to </w:t>
            </w:r>
            <w:r w:rsidRPr="00E156C3">
              <w:rPr>
                <w:rFonts w:ascii="Times New Roman" w:eastAsia="Times New Roman" w:hAnsi="Times New Roman" w:cs="Times New Roman"/>
                <w:sz w:val="20"/>
                <w:szCs w:val="20"/>
              </w:rPr>
              <w:t>delivery</w:t>
            </w:r>
            <w:r w:rsidRPr="00E15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strategies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(checklist)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br/>
              <w:t>• Motivators, barriers, facilitators (FGDs, KIIs)</w:t>
            </w:r>
          </w:p>
        </w:tc>
        <w:tc>
          <w:tcPr>
            <w:tcW w:w="1699" w:type="dxa"/>
            <w:tcBorders>
              <w:top w:val="nil"/>
              <w:bottom w:val="single" w:sz="4" w:space="0" w:color="auto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Direct observation checklists (quantitative), FGDs with AYAs/parents, KIIs with CHWs</w:t>
            </w:r>
          </w:p>
        </w:tc>
        <w:tc>
          <w:tcPr>
            <w:tcW w:w="2416" w:type="dxa"/>
            <w:tcBorders>
              <w:top w:val="nil"/>
              <w:bottom w:val="single" w:sz="4" w:space="0" w:color="auto"/>
            </w:tcBorders>
          </w:tcPr>
          <w:p w:rsidR="00863447" w:rsidRPr="00F979A8" w:rsidRDefault="00863447" w:rsidP="001354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Quantitative summary of checklist data; Thematic analysis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using 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NVivo) mapped to CFIR constructs; Triangulated synthesis</w:t>
            </w:r>
          </w:p>
        </w:tc>
      </w:tr>
    </w:tbl>
    <w:p w:rsidR="0037494E" w:rsidRDefault="0037494E"/>
    <w:sectPr w:rsidR="003749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47"/>
    <w:rsid w:val="0037494E"/>
    <w:rsid w:val="005C38AA"/>
    <w:rsid w:val="006C236C"/>
    <w:rsid w:val="0086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0E03C"/>
  <w15:chartTrackingRefBased/>
  <w15:docId w15:val="{662237C6-7CEF-4C7D-A607-15359C39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44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Buyinza</dc:creator>
  <cp:keywords/>
  <dc:description/>
  <cp:lastModifiedBy>Thomas Buyinza</cp:lastModifiedBy>
  <cp:revision>3</cp:revision>
  <dcterms:created xsi:type="dcterms:W3CDTF">2026-03-14T14:31:00Z</dcterms:created>
  <dcterms:modified xsi:type="dcterms:W3CDTF">2026-03-29T12:55:00Z</dcterms:modified>
</cp:coreProperties>
</file>