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168"/>
        <w:tblW w:w="10161" w:type="dxa"/>
        <w:tblLook w:val="04A0" w:firstRow="1" w:lastRow="0" w:firstColumn="1" w:lastColumn="0" w:noHBand="0" w:noVBand="1"/>
      </w:tblPr>
      <w:tblGrid>
        <w:gridCol w:w="2895"/>
        <w:gridCol w:w="2090"/>
        <w:gridCol w:w="1286"/>
        <w:gridCol w:w="2632"/>
        <w:gridCol w:w="1258"/>
      </w:tblGrid>
      <w:tr w:rsidR="00307515" w:rsidRPr="00A408C9" w:rsidTr="00307515">
        <w:trPr>
          <w:trHeight w:val="511"/>
        </w:trPr>
        <w:tc>
          <w:tcPr>
            <w:tcW w:w="1016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ind w:rightChars="-59" w:right="-142"/>
              <w:jc w:val="left"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 xml:space="preserve">Supplementary Table </w:t>
            </w:r>
            <w:r>
              <w:rPr>
                <w:rFonts w:eastAsia="等线" w:cs="Arial"/>
                <w:color w:val="000000"/>
                <w:kern w:val="0"/>
                <w:sz w:val="22"/>
              </w:rPr>
              <w:t>S</w:t>
            </w:r>
            <w:r>
              <w:rPr>
                <w:rFonts w:eastAsia="等线" w:cs="Arial"/>
                <w:color w:val="000000"/>
                <w:kern w:val="0"/>
                <w:sz w:val="22"/>
              </w:rPr>
              <w:t>1</w:t>
            </w: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. Multivariable logistic regression analysis for predicting incident myopia.</w:t>
            </w:r>
          </w:p>
        </w:tc>
      </w:tr>
      <w:tr w:rsidR="00307515" w:rsidRPr="00A408C9" w:rsidTr="00307515">
        <w:trPr>
          <w:trHeight w:val="275"/>
        </w:trPr>
        <w:tc>
          <w:tcPr>
            <w:tcW w:w="28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jc w:val="center"/>
              <w:rPr>
                <w:rFonts w:eastAsia="等线" w:cs="Arial"/>
                <w:b/>
                <w:bCs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b/>
                <w:bCs/>
                <w:color w:val="000000"/>
                <w:kern w:val="0"/>
                <w:sz w:val="22"/>
              </w:rPr>
              <w:t>Variable​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jc w:val="center"/>
              <w:rPr>
                <w:rFonts w:eastAsia="等线" w:cs="Arial"/>
                <w:b/>
                <w:bCs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b/>
                <w:bCs/>
                <w:color w:val="000000"/>
                <w:kern w:val="0"/>
                <w:sz w:val="22"/>
              </w:rPr>
              <w:t>Beta (SE)​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jc w:val="center"/>
              <w:rPr>
                <w:rFonts w:eastAsia="等线" w:cs="Arial"/>
                <w:b/>
                <w:bCs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b/>
                <w:bCs/>
                <w:color w:val="000000"/>
                <w:kern w:val="0"/>
                <w:sz w:val="22"/>
              </w:rPr>
              <w:t>Wald z​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jc w:val="center"/>
              <w:rPr>
                <w:rFonts w:eastAsia="等线" w:cs="Arial"/>
                <w:b/>
                <w:bCs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b/>
                <w:bCs/>
                <w:color w:val="000000"/>
                <w:kern w:val="0"/>
                <w:sz w:val="22"/>
              </w:rPr>
              <w:t xml:space="preserve">OR (95% </w:t>
            </w:r>
            <w:proofErr w:type="gramStart"/>
            <w:r w:rsidRPr="00A408C9">
              <w:rPr>
                <w:rFonts w:eastAsia="等线" w:cs="Arial"/>
                <w:b/>
                <w:bCs/>
                <w:color w:val="000000"/>
                <w:kern w:val="0"/>
                <w:sz w:val="22"/>
              </w:rPr>
              <w:t>CI)​</w:t>
            </w:r>
            <w:proofErr w:type="gramEnd"/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jc w:val="center"/>
              <w:rPr>
                <w:rFonts w:eastAsia="等线" w:cs="Arial"/>
                <w:b/>
                <w:bCs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b/>
                <w:bCs/>
                <w:color w:val="000000"/>
                <w:kern w:val="0"/>
                <w:sz w:val="22"/>
              </w:rPr>
              <w:t>p-value​</w:t>
            </w:r>
          </w:p>
        </w:tc>
      </w:tr>
      <w:tr w:rsidR="00307515" w:rsidRPr="00A408C9" w:rsidTr="00307515">
        <w:trPr>
          <w:trHeight w:val="268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Intercept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-10.921 (2.600)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-4.2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0.000 (0.000-0.003)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&lt;0.001</w:t>
            </w:r>
          </w:p>
        </w:tc>
      </w:tr>
      <w:tr w:rsidR="00307515" w:rsidRPr="00A408C9" w:rsidTr="00307515">
        <w:trPr>
          <w:trHeight w:val="268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Baseline SE (D)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-3.342 (0.254)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-13.15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0.035 (0.021-0.058)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&lt;0.001</w:t>
            </w:r>
          </w:p>
        </w:tc>
      </w:tr>
      <w:tr w:rsidR="00307515" w:rsidRPr="00A408C9" w:rsidTr="00307515">
        <w:trPr>
          <w:trHeight w:val="268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Baseline AL (mm)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0.312 (0.115)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1.366 (1.092-1.712)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0.006</w:t>
            </w:r>
          </w:p>
        </w:tc>
      </w:tr>
      <w:tr w:rsidR="00307515" w:rsidRPr="00A408C9" w:rsidTr="00307515">
        <w:trPr>
          <w:trHeight w:val="268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Gender (Girl vs. Boy)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0.328 (0.154)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2.13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1.388 (1.026-1.877)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0.033</w:t>
            </w:r>
          </w:p>
        </w:tc>
      </w:tr>
      <w:tr w:rsidR="00307515" w:rsidRPr="00A408C9" w:rsidTr="00307515">
        <w:trPr>
          <w:trHeight w:val="268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Baseline Age (years)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0.323 (0.083)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3.87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1.381 (1.172-1.626)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&lt;0.001</w:t>
            </w:r>
          </w:p>
        </w:tc>
      </w:tr>
      <w:tr w:rsidR="00307515" w:rsidRPr="00A408C9" w:rsidTr="00307515">
        <w:trPr>
          <w:trHeight w:val="268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b/>
                <w:bCs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b/>
                <w:bCs/>
                <w:color w:val="000000"/>
                <w:kern w:val="0"/>
                <w:sz w:val="22"/>
              </w:rPr>
              <w:t>Model Fit Statistics​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jc w:val="left"/>
              <w:rPr>
                <w:rFonts w:eastAsia="Times New Roman" w:cs="Arial"/>
                <w:kern w:val="0"/>
                <w:sz w:val="22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jc w:val="left"/>
              <w:rPr>
                <w:rFonts w:eastAsia="Times New Roman" w:cs="Arial"/>
                <w:kern w:val="0"/>
                <w:sz w:val="22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jc w:val="left"/>
              <w:rPr>
                <w:rFonts w:eastAsia="Times New Roman" w:cs="Arial"/>
                <w:kern w:val="0"/>
                <w:sz w:val="22"/>
              </w:rPr>
            </w:pPr>
          </w:p>
        </w:tc>
      </w:tr>
      <w:tr w:rsidR="00307515" w:rsidRPr="00A408C9" w:rsidTr="00307515">
        <w:trPr>
          <w:trHeight w:val="538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Likelihood ratio test</w:t>
            </w:r>
          </w:p>
        </w:tc>
        <w:tc>
          <w:tcPr>
            <w:tcW w:w="7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χ² = 235.7, df = 4, p &lt; 0.001</w:t>
            </w:r>
          </w:p>
        </w:tc>
      </w:tr>
      <w:tr w:rsidR="00307515" w:rsidRPr="00A408C9" w:rsidTr="00307515">
        <w:trPr>
          <w:trHeight w:val="268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AIC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1441.2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jc w:val="left"/>
              <w:rPr>
                <w:rFonts w:eastAsia="Times New Roman" w:cs="Arial"/>
                <w:kern w:val="0"/>
                <w:sz w:val="22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jc w:val="left"/>
              <w:rPr>
                <w:rFonts w:eastAsia="Times New Roman" w:cs="Arial"/>
                <w:kern w:val="0"/>
                <w:sz w:val="22"/>
              </w:rPr>
            </w:pPr>
          </w:p>
        </w:tc>
      </w:tr>
      <w:tr w:rsidR="00307515" w:rsidRPr="00A408C9" w:rsidTr="00307515">
        <w:trPr>
          <w:trHeight w:val="275"/>
        </w:trPr>
        <w:tc>
          <w:tcPr>
            <w:tcW w:w="28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BIC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1467.5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jc w:val="left"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jc w:val="left"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jc w:val="left"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07515" w:rsidRPr="00A408C9" w:rsidTr="00307515">
        <w:trPr>
          <w:trHeight w:val="646"/>
        </w:trPr>
        <w:tc>
          <w:tcPr>
            <w:tcW w:w="101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515" w:rsidRPr="00A408C9" w:rsidRDefault="00307515" w:rsidP="00307515">
            <w:pPr>
              <w:widowControl/>
              <w:jc w:val="left"/>
              <w:rPr>
                <w:rFonts w:eastAsia="等线" w:cs="Arial"/>
                <w:color w:val="000000"/>
                <w:kern w:val="0"/>
                <w:sz w:val="22"/>
              </w:rPr>
            </w:pPr>
            <w:r w:rsidRPr="00A408C9">
              <w:rPr>
                <w:rFonts w:eastAsia="等线" w:cs="Arial"/>
                <w:color w:val="000000"/>
                <w:kern w:val="0"/>
                <w:sz w:val="22"/>
              </w:rPr>
              <w:t>SE = spherical equivalent, AL = axial length, OR = odds ratio, CI = confidence interval, AIC = Akaike information criterion, BIC = Bayesian information criterion.</w:t>
            </w:r>
          </w:p>
        </w:tc>
      </w:tr>
    </w:tbl>
    <w:p w:rsidR="008B5D21" w:rsidRDefault="008B5D21" w:rsidP="008B5D21">
      <w:pPr>
        <w:rPr>
          <w:rFonts w:cs="Arial"/>
          <w:sz w:val="22"/>
        </w:rPr>
      </w:pPr>
    </w:p>
    <w:p w:rsidR="00307515" w:rsidRPr="00A408C9" w:rsidRDefault="00307515" w:rsidP="00307515">
      <w:pPr>
        <w:rPr>
          <w:rFonts w:cs="Arial"/>
          <w:bCs/>
          <w:sz w:val="22"/>
        </w:rPr>
      </w:pPr>
      <w:r w:rsidRPr="00A408C9">
        <w:rPr>
          <w:rFonts w:cs="Arial"/>
          <w:bCs/>
          <w:sz w:val="22"/>
        </w:rPr>
        <w:t xml:space="preserve">Supplementary Table </w:t>
      </w:r>
      <w:r>
        <w:rPr>
          <w:rFonts w:cs="Arial"/>
          <w:bCs/>
          <w:sz w:val="22"/>
        </w:rPr>
        <w:t>S2</w:t>
      </w:r>
      <w:r w:rsidRPr="00A408C9">
        <w:rPr>
          <w:rFonts w:cs="Arial"/>
          <w:bCs/>
          <w:sz w:val="22"/>
        </w:rPr>
        <w:t>. Discrimination and calibration performance of the prediction model in training and validation sets.</w:t>
      </w:r>
    </w:p>
    <w:tbl>
      <w:tblPr>
        <w:tblW w:w="101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4"/>
        <w:gridCol w:w="3071"/>
        <w:gridCol w:w="3107"/>
      </w:tblGrid>
      <w:tr w:rsidR="00307515" w:rsidRPr="00A408C9" w:rsidTr="00307515">
        <w:trPr>
          <w:trHeight w:val="292"/>
          <w:tblHeader/>
          <w:tblCellSpacing w:w="15" w:type="dxa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b/>
                <w:bCs/>
                <w:sz w:val="22"/>
              </w:rPr>
            </w:pPr>
            <w:r w:rsidRPr="00A408C9">
              <w:rPr>
                <w:rFonts w:cs="Arial"/>
                <w:b/>
                <w:bCs/>
                <w:sz w:val="22"/>
              </w:rPr>
              <w:t>Metric​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b/>
                <w:bCs/>
                <w:sz w:val="22"/>
              </w:rPr>
            </w:pPr>
            <w:r w:rsidRPr="00A408C9">
              <w:rPr>
                <w:rFonts w:cs="Arial"/>
                <w:b/>
                <w:bCs/>
                <w:sz w:val="22"/>
              </w:rPr>
              <w:t>Training Set (n=</w:t>
            </w:r>
            <w:proofErr w:type="gramStart"/>
            <w:r w:rsidRPr="00A408C9">
              <w:rPr>
                <w:rFonts w:cs="Arial"/>
                <w:b/>
                <w:bCs/>
                <w:sz w:val="22"/>
              </w:rPr>
              <w:t>1,660)​</w:t>
            </w:r>
            <w:proofErr w:type="gramEnd"/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b/>
                <w:bCs/>
                <w:sz w:val="22"/>
              </w:rPr>
            </w:pPr>
            <w:r w:rsidRPr="00A408C9">
              <w:rPr>
                <w:rFonts w:cs="Arial"/>
                <w:b/>
                <w:bCs/>
                <w:sz w:val="22"/>
              </w:rPr>
              <w:t>Validation Set (n=</w:t>
            </w:r>
            <w:proofErr w:type="gramStart"/>
            <w:r w:rsidRPr="00A408C9">
              <w:rPr>
                <w:rFonts w:cs="Arial"/>
                <w:b/>
                <w:bCs/>
                <w:sz w:val="22"/>
              </w:rPr>
              <w:t>309)​</w:t>
            </w:r>
            <w:proofErr w:type="gramEnd"/>
          </w:p>
        </w:tc>
      </w:tr>
      <w:tr w:rsidR="00307515" w:rsidRPr="00A408C9" w:rsidTr="00307515">
        <w:trPr>
          <w:trHeight w:val="144"/>
          <w:tblCellSpacing w:w="15" w:type="dxa"/>
        </w:trPr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b/>
                <w:bCs/>
                <w:sz w:val="22"/>
              </w:rPr>
              <w:t>Discrimination</w:t>
            </w:r>
            <w:r w:rsidRPr="00A408C9">
              <w:rPr>
                <w:rFonts w:cs="Arial"/>
                <w:sz w:val="22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</w:p>
        </w:tc>
      </w:tr>
      <w:tr w:rsidR="00307515" w:rsidRPr="00A408C9" w:rsidTr="00307515">
        <w:trPr>
          <w:trHeight w:val="295"/>
          <w:tblCellSpacing w:w="15" w:type="dxa"/>
        </w:trPr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AUC (95% CI)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0.795 (0.771-0.820)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0.754 (0.700-0.807)</w:t>
            </w:r>
          </w:p>
        </w:tc>
      </w:tr>
      <w:tr w:rsidR="00307515" w:rsidRPr="00A408C9" w:rsidTr="00307515">
        <w:trPr>
          <w:trHeight w:val="144"/>
          <w:tblCellSpacing w:w="15" w:type="dxa"/>
        </w:trPr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b/>
                <w:bCs/>
                <w:sz w:val="22"/>
              </w:rPr>
              <w:t>Calibration</w:t>
            </w:r>
            <w:r w:rsidRPr="00A408C9">
              <w:rPr>
                <w:rFonts w:cs="Arial"/>
                <w:sz w:val="22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</w:p>
        </w:tc>
      </w:tr>
      <w:tr w:rsidR="00307515" w:rsidRPr="00A408C9" w:rsidTr="00307515">
        <w:trPr>
          <w:trHeight w:val="292"/>
          <w:tblCellSpacing w:w="15" w:type="dxa"/>
        </w:trPr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Hosmer-</w:t>
            </w:r>
            <w:proofErr w:type="spellStart"/>
            <w:r w:rsidRPr="00A408C9">
              <w:rPr>
                <w:rFonts w:cs="Arial"/>
                <w:sz w:val="22"/>
              </w:rPr>
              <w:t>Lemeshow</w:t>
            </w:r>
            <w:proofErr w:type="spellEnd"/>
            <w:r w:rsidRPr="00A408C9">
              <w:rPr>
                <w:rFonts w:cs="Arial"/>
                <w:sz w:val="22"/>
              </w:rPr>
              <w:t xml:space="preserve"> test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χ² = 15.03, p = 0.059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χ² = 35.48, p &lt; 0.001</w:t>
            </w:r>
          </w:p>
        </w:tc>
      </w:tr>
      <w:tr w:rsidR="00307515" w:rsidRPr="00A408C9" w:rsidTr="00307515">
        <w:trPr>
          <w:trHeight w:val="295"/>
          <w:tblCellSpacing w:w="15" w:type="dxa"/>
        </w:trPr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Calibration intercept (95% CI)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0.032 (-0.123-0.188)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0.456 (0.161-0.750)</w:t>
            </w:r>
          </w:p>
        </w:tc>
      </w:tr>
      <w:tr w:rsidR="00307515" w:rsidRPr="00A408C9" w:rsidTr="00307515">
        <w:trPr>
          <w:trHeight w:val="292"/>
          <w:tblCellSpacing w:w="15" w:type="dxa"/>
        </w:trPr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Calibration slope (95% CI)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0.962 (0.820-1.104)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0.714 (0.453-0.976)</w:t>
            </w:r>
          </w:p>
        </w:tc>
      </w:tr>
      <w:tr w:rsidR="00307515" w:rsidRPr="00A408C9" w:rsidTr="00307515">
        <w:trPr>
          <w:trHeight w:val="292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b/>
                <w:bCs/>
                <w:sz w:val="22"/>
              </w:rPr>
              <w:t>Classification Accuracy at Youden's threshold</w:t>
            </w:r>
            <w:r w:rsidRPr="00A408C9">
              <w:rPr>
                <w:rFonts w:cs="Arial"/>
                <w:sz w:val="22"/>
              </w:rPr>
              <w:t>​</w:t>
            </w:r>
          </w:p>
        </w:tc>
      </w:tr>
      <w:tr w:rsidR="00307515" w:rsidRPr="00A408C9" w:rsidTr="00307515">
        <w:trPr>
          <w:trHeight w:val="147"/>
          <w:tblCellSpacing w:w="15" w:type="dxa"/>
        </w:trPr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Optimal threshold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0.161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0.305</w:t>
            </w:r>
          </w:p>
        </w:tc>
      </w:tr>
      <w:tr w:rsidR="00307515" w:rsidRPr="00A408C9" w:rsidTr="00307515">
        <w:trPr>
          <w:trHeight w:val="144"/>
          <w:tblCellSpacing w:w="15" w:type="dxa"/>
        </w:trPr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Sensitivity (%)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71.2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64.6</w:t>
            </w:r>
          </w:p>
        </w:tc>
      </w:tr>
      <w:tr w:rsidR="00307515" w:rsidRPr="00A408C9" w:rsidTr="00307515">
        <w:trPr>
          <w:trHeight w:val="147"/>
          <w:tblCellSpacing w:w="15" w:type="dxa"/>
        </w:trPr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Specificity (%)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72.9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73.8</w:t>
            </w:r>
          </w:p>
        </w:tc>
      </w:tr>
      <w:tr w:rsidR="00307515" w:rsidRPr="00A408C9" w:rsidTr="00307515">
        <w:trPr>
          <w:trHeight w:val="144"/>
          <w:tblCellSpacing w:w="15" w:type="dxa"/>
        </w:trPr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PPV (%)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37.9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55.3</w:t>
            </w:r>
          </w:p>
        </w:tc>
      </w:tr>
      <w:tr w:rsidR="00307515" w:rsidRPr="00A408C9" w:rsidTr="00307515">
        <w:trPr>
          <w:trHeight w:val="147"/>
          <w:tblCellSpacing w:w="15" w:type="dxa"/>
        </w:trPr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NPV (%)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91.5</w:t>
            </w:r>
          </w:p>
        </w:tc>
        <w:tc>
          <w:tcPr>
            <w:tcW w:w="0" w:type="auto"/>
            <w:vAlign w:val="center"/>
            <w:hideMark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80.6</w:t>
            </w:r>
          </w:p>
        </w:tc>
      </w:tr>
      <w:tr w:rsidR="00307515" w:rsidRPr="00A408C9" w:rsidTr="00307515">
        <w:trPr>
          <w:trHeight w:val="147"/>
          <w:tblCellSpacing w:w="15" w:type="dxa"/>
        </w:trPr>
        <w:tc>
          <w:tcPr>
            <w:tcW w:w="0" w:type="auto"/>
            <w:gridSpan w:val="3"/>
            <w:tcBorders>
              <w:top w:val="single" w:sz="8" w:space="0" w:color="auto"/>
            </w:tcBorders>
            <w:vAlign w:val="center"/>
          </w:tcPr>
          <w:p w:rsidR="00307515" w:rsidRPr="00A408C9" w:rsidRDefault="00307515" w:rsidP="00307515">
            <w:pPr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AUC = area under the receiver operating characteristic curve, PPV = positive predictive value, NPV = negative predictive value.</w:t>
            </w:r>
          </w:p>
        </w:tc>
      </w:tr>
    </w:tbl>
    <w:p w:rsidR="00307515" w:rsidRDefault="00307515" w:rsidP="008B5D21">
      <w:pPr>
        <w:rPr>
          <w:rFonts w:cs="Arial" w:hint="eastAsia"/>
          <w:sz w:val="22"/>
        </w:rPr>
      </w:pPr>
      <w:bookmarkStart w:id="0" w:name="_GoBack"/>
      <w:bookmarkEnd w:id="0"/>
    </w:p>
    <w:tbl>
      <w:tblPr>
        <w:tblpPr w:leftFromText="180" w:rightFromText="180" w:vertAnchor="text" w:horzAnchor="margin" w:tblpY="206"/>
        <w:tblW w:w="1020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1382"/>
        <w:gridCol w:w="1186"/>
        <w:gridCol w:w="2011"/>
        <w:gridCol w:w="1256"/>
        <w:gridCol w:w="2111"/>
      </w:tblGrid>
      <w:tr w:rsidR="001A0A8F" w:rsidRPr="00A408C9" w:rsidTr="001A0A8F">
        <w:trPr>
          <w:trHeight w:val="554"/>
          <w:tblHeader/>
        </w:trPr>
        <w:tc>
          <w:tcPr>
            <w:tcW w:w="10202" w:type="dxa"/>
            <w:gridSpan w:val="6"/>
            <w:tcBorders>
              <w:top w:val="nil"/>
              <w:bottom w:val="single" w:sz="8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A0A8F" w:rsidRPr="00A408C9" w:rsidRDefault="001A0A8F" w:rsidP="001A0A8F">
            <w:pPr>
              <w:jc w:val="left"/>
              <w:rPr>
                <w:rFonts w:cs="Arial"/>
                <w:b/>
                <w:sz w:val="22"/>
              </w:rPr>
            </w:pPr>
            <w:r w:rsidRPr="00A408C9">
              <w:rPr>
                <w:rFonts w:cs="Arial"/>
                <w:bCs/>
                <w:sz w:val="22"/>
              </w:rPr>
              <w:lastRenderedPageBreak/>
              <w:t>Supplementary Table S</w:t>
            </w:r>
            <w:r w:rsidR="00307515">
              <w:rPr>
                <w:rFonts w:cs="Arial"/>
                <w:bCs/>
                <w:sz w:val="22"/>
              </w:rPr>
              <w:t>3</w:t>
            </w:r>
            <w:r w:rsidRPr="00A408C9">
              <w:rPr>
                <w:rFonts w:cs="Arial"/>
                <w:bCs/>
                <w:sz w:val="22"/>
              </w:rPr>
              <w:t>. Comparison of predictive performance between the SE</w:t>
            </w:r>
            <w:r w:rsidRPr="00A408C9">
              <w:rPr>
                <w:rFonts w:cs="Arial"/>
                <w:bCs/>
                <w:sz w:val="22"/>
              </w:rPr>
              <w:noBreakHyphen/>
              <w:t xml:space="preserve">only model and the full model (including </w:t>
            </w:r>
            <w:r>
              <w:rPr>
                <w:rFonts w:cs="Arial"/>
                <w:bCs/>
                <w:sz w:val="22"/>
              </w:rPr>
              <w:t>AL</w:t>
            </w:r>
            <w:r w:rsidRPr="00A408C9">
              <w:rPr>
                <w:rFonts w:cs="Arial"/>
                <w:bCs/>
                <w:sz w:val="22"/>
              </w:rPr>
              <w:t>) in the training set</w:t>
            </w:r>
          </w:p>
        </w:tc>
      </w:tr>
      <w:tr w:rsidR="001A0A8F" w:rsidRPr="00A408C9" w:rsidTr="001A0A8F">
        <w:trPr>
          <w:trHeight w:val="554"/>
          <w:tblHeader/>
        </w:trPr>
        <w:tc>
          <w:tcPr>
            <w:tcW w:w="2256" w:type="dxa"/>
            <w:tcBorders>
              <w:top w:val="single" w:sz="8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b/>
                <w:sz w:val="22"/>
              </w:rPr>
            </w:pPr>
            <w:r w:rsidRPr="00A408C9">
              <w:rPr>
                <w:rFonts w:cs="Arial"/>
                <w:b/>
                <w:sz w:val="22"/>
              </w:rPr>
              <w:t>Metric</w:t>
            </w:r>
          </w:p>
        </w:tc>
        <w:tc>
          <w:tcPr>
            <w:tcW w:w="1382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b/>
                <w:sz w:val="22"/>
              </w:rPr>
            </w:pPr>
            <w:r w:rsidRPr="00A408C9">
              <w:rPr>
                <w:rFonts w:cs="Arial"/>
                <w:b/>
                <w:sz w:val="22"/>
              </w:rPr>
              <w:t>SE</w:t>
            </w:r>
            <w:r w:rsidRPr="00A408C9">
              <w:rPr>
                <w:rFonts w:cs="Arial"/>
                <w:b/>
                <w:sz w:val="22"/>
              </w:rPr>
              <w:noBreakHyphen/>
              <w:t>only Model</w:t>
            </w:r>
          </w:p>
        </w:tc>
        <w:tc>
          <w:tcPr>
            <w:tcW w:w="1186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b/>
                <w:sz w:val="22"/>
              </w:rPr>
            </w:pPr>
            <w:r w:rsidRPr="00A408C9">
              <w:rPr>
                <w:rFonts w:cs="Arial"/>
                <w:b/>
                <w:sz w:val="22"/>
              </w:rPr>
              <w:t>Full Model</w:t>
            </w:r>
          </w:p>
        </w:tc>
        <w:tc>
          <w:tcPr>
            <w:tcW w:w="2011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b/>
                <w:sz w:val="22"/>
              </w:rPr>
            </w:pPr>
            <w:r w:rsidRPr="00A408C9">
              <w:rPr>
                <w:rFonts w:cs="Arial"/>
                <w:b/>
                <w:sz w:val="22"/>
              </w:rPr>
              <w:t>Value (Difference)</w:t>
            </w:r>
          </w:p>
        </w:tc>
        <w:tc>
          <w:tcPr>
            <w:tcW w:w="1256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b/>
                <w:sz w:val="22"/>
              </w:rPr>
            </w:pPr>
            <w:r w:rsidRPr="00A408C9">
              <w:rPr>
                <w:rFonts w:cs="Arial"/>
                <w:b/>
                <w:sz w:val="22"/>
              </w:rPr>
              <w:t>P</w:t>
            </w:r>
            <w:r w:rsidRPr="00A408C9">
              <w:rPr>
                <w:rFonts w:cs="Arial"/>
                <w:b/>
                <w:sz w:val="22"/>
              </w:rPr>
              <w:noBreakHyphen/>
              <w:t>value</w:t>
            </w:r>
          </w:p>
        </w:tc>
        <w:tc>
          <w:tcPr>
            <w:tcW w:w="2108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b/>
                <w:sz w:val="22"/>
              </w:rPr>
            </w:pPr>
            <w:r w:rsidRPr="00A408C9">
              <w:rPr>
                <w:rFonts w:cs="Arial"/>
                <w:b/>
                <w:sz w:val="22"/>
              </w:rPr>
              <w:t>Interpretation</w:t>
            </w:r>
          </w:p>
        </w:tc>
      </w:tr>
      <w:tr w:rsidR="001A0A8F" w:rsidRPr="00A408C9" w:rsidTr="001A0A8F">
        <w:trPr>
          <w:trHeight w:val="281"/>
        </w:trPr>
        <w:tc>
          <w:tcPr>
            <w:tcW w:w="2256" w:type="dxa"/>
            <w:tcBorders>
              <w:top w:val="single" w:sz="8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left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AUC</w:t>
            </w:r>
          </w:p>
        </w:tc>
        <w:tc>
          <w:tcPr>
            <w:tcW w:w="1382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0.791</w:t>
            </w:r>
          </w:p>
        </w:tc>
        <w:tc>
          <w:tcPr>
            <w:tcW w:w="1186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0.795</w:t>
            </w:r>
          </w:p>
        </w:tc>
        <w:tc>
          <w:tcPr>
            <w:tcW w:w="2011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+0.004</w:t>
            </w:r>
          </w:p>
        </w:tc>
        <w:tc>
          <w:tcPr>
            <w:tcW w:w="1256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0.104</w:t>
            </w:r>
          </w:p>
        </w:tc>
        <w:tc>
          <w:tcPr>
            <w:tcW w:w="2108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Discrimination</w:t>
            </w:r>
          </w:p>
        </w:tc>
      </w:tr>
      <w:tr w:rsidR="001A0A8F" w:rsidRPr="00A408C9" w:rsidTr="001A0A8F">
        <w:trPr>
          <w:trHeight w:val="836"/>
        </w:trPr>
        <w:tc>
          <w:tcPr>
            <w:tcW w:w="2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left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Integrated Discrimination Improvement (IDI)</w:t>
            </w:r>
          </w:p>
        </w:tc>
        <w:tc>
          <w:tcPr>
            <w:tcW w:w="13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–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–</w:t>
            </w:r>
          </w:p>
        </w:tc>
        <w:tc>
          <w:tcPr>
            <w:tcW w:w="20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0.005 (0.47%)</w:t>
            </w:r>
          </w:p>
        </w:tc>
        <w:tc>
          <w:tcPr>
            <w:tcW w:w="12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0.032</w:t>
            </w:r>
          </w:p>
        </w:tc>
        <w:tc>
          <w:tcPr>
            <w:tcW w:w="21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Incremental prediction</w:t>
            </w:r>
          </w:p>
        </w:tc>
      </w:tr>
      <w:tr w:rsidR="001A0A8F" w:rsidRPr="00A408C9" w:rsidTr="001A0A8F">
        <w:trPr>
          <w:trHeight w:val="554"/>
        </w:trPr>
        <w:tc>
          <w:tcPr>
            <w:tcW w:w="2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left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Net Reclassification Improvement (NRI)</w:t>
            </w:r>
          </w:p>
        </w:tc>
        <w:tc>
          <w:tcPr>
            <w:tcW w:w="13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–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–</w:t>
            </w:r>
          </w:p>
        </w:tc>
        <w:tc>
          <w:tcPr>
            <w:tcW w:w="20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0.024 (2.4%)</w:t>
            </w:r>
          </w:p>
        </w:tc>
        <w:tc>
          <w:tcPr>
            <w:tcW w:w="12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0.259</w:t>
            </w:r>
          </w:p>
        </w:tc>
        <w:tc>
          <w:tcPr>
            <w:tcW w:w="21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Reclassification</w:t>
            </w:r>
          </w:p>
        </w:tc>
      </w:tr>
      <w:tr w:rsidR="001A0A8F" w:rsidRPr="00A408C9" w:rsidTr="001A0A8F">
        <w:trPr>
          <w:trHeight w:val="554"/>
        </w:trPr>
        <w:tc>
          <w:tcPr>
            <w:tcW w:w="2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left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Likelihood Ratio Test (χ²)</w:t>
            </w:r>
          </w:p>
        </w:tc>
        <w:tc>
          <w:tcPr>
            <w:tcW w:w="138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–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–</w:t>
            </w:r>
          </w:p>
        </w:tc>
        <w:tc>
          <w:tcPr>
            <w:tcW w:w="20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7.49</w:t>
            </w:r>
          </w:p>
        </w:tc>
        <w:tc>
          <w:tcPr>
            <w:tcW w:w="12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0.006</w:t>
            </w:r>
          </w:p>
        </w:tc>
        <w:tc>
          <w:tcPr>
            <w:tcW w:w="21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Model fit improvement</w:t>
            </w:r>
          </w:p>
        </w:tc>
      </w:tr>
      <w:tr w:rsidR="001A0A8F" w:rsidRPr="00A408C9" w:rsidTr="001A0A8F">
        <w:trPr>
          <w:trHeight w:val="273"/>
        </w:trPr>
        <w:tc>
          <w:tcPr>
            <w:tcW w:w="2256" w:type="dxa"/>
            <w:tcBorders>
              <w:bottom w:val="single" w:sz="8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left"/>
              <w:rPr>
                <w:rFonts w:cs="Arial"/>
                <w:sz w:val="22"/>
              </w:rPr>
            </w:pPr>
            <w:proofErr w:type="spellStart"/>
            <w:r w:rsidRPr="00A408C9">
              <w:rPr>
                <w:rFonts w:cs="Arial"/>
                <w:sz w:val="22"/>
              </w:rPr>
              <w:t>Nagelkerke</w:t>
            </w:r>
            <w:proofErr w:type="spellEnd"/>
            <w:r w:rsidRPr="00A408C9">
              <w:rPr>
                <w:rFonts w:cs="Arial"/>
                <w:sz w:val="22"/>
              </w:rPr>
              <w:t xml:space="preserve"> R²</w:t>
            </w:r>
          </w:p>
        </w:tc>
        <w:tc>
          <w:tcPr>
            <w:tcW w:w="1382" w:type="dxa"/>
            <w:tcBorders>
              <w:bottom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0.264</w:t>
            </w:r>
          </w:p>
        </w:tc>
        <w:tc>
          <w:tcPr>
            <w:tcW w:w="1186" w:type="dxa"/>
            <w:tcBorders>
              <w:bottom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0.270</w:t>
            </w:r>
          </w:p>
        </w:tc>
        <w:tc>
          <w:tcPr>
            <w:tcW w:w="2011" w:type="dxa"/>
            <w:tcBorders>
              <w:bottom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+0.006</w:t>
            </w:r>
          </w:p>
        </w:tc>
        <w:tc>
          <w:tcPr>
            <w:tcW w:w="1256" w:type="dxa"/>
            <w:tcBorders>
              <w:bottom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–</w:t>
            </w:r>
          </w:p>
        </w:tc>
        <w:tc>
          <w:tcPr>
            <w:tcW w:w="2108" w:type="dxa"/>
            <w:tcBorders>
              <w:bottom w:val="single" w:sz="8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A0A8F" w:rsidRPr="00A408C9" w:rsidRDefault="001A0A8F" w:rsidP="001A0A8F">
            <w:pPr>
              <w:jc w:val="center"/>
              <w:rPr>
                <w:rFonts w:cs="Arial"/>
                <w:sz w:val="22"/>
              </w:rPr>
            </w:pPr>
            <w:r w:rsidRPr="00A408C9">
              <w:rPr>
                <w:rFonts w:cs="Arial"/>
                <w:sz w:val="22"/>
              </w:rPr>
              <w:t>Variance explained</w:t>
            </w:r>
          </w:p>
        </w:tc>
      </w:tr>
      <w:tr w:rsidR="001A0A8F" w:rsidRPr="00A408C9" w:rsidTr="001A0A8F">
        <w:trPr>
          <w:trHeight w:val="562"/>
        </w:trPr>
        <w:tc>
          <w:tcPr>
            <w:tcW w:w="10202" w:type="dxa"/>
            <w:gridSpan w:val="6"/>
            <w:tcBorders>
              <w:top w:val="single" w:sz="8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1A0A8F" w:rsidRPr="001A0A8F" w:rsidRDefault="001A0A8F" w:rsidP="001A0A8F">
            <w:pPr>
              <w:ind w:rightChars="-455" w:right="-1092"/>
              <w:jc w:val="left"/>
              <w:rPr>
                <w:rFonts w:cs="Arial"/>
                <w:sz w:val="22"/>
              </w:rPr>
            </w:pPr>
            <w:r w:rsidRPr="00A408C9">
              <w:rPr>
                <w:rFonts w:cs="Arial"/>
                <w:iCs/>
                <w:sz w:val="22"/>
              </w:rPr>
              <w:t>AUC comparison was performed using DeLong’s method; IDI and NRI were calculated with risk cutoffs at 10%, 20%, and 30%; LRT compared the full model to the SE</w:t>
            </w:r>
            <w:r w:rsidRPr="00A408C9">
              <w:rPr>
                <w:rFonts w:cs="Arial"/>
                <w:iCs/>
                <w:sz w:val="22"/>
              </w:rPr>
              <w:noBreakHyphen/>
              <w:t>only model (1 degree of freedom).</w:t>
            </w:r>
          </w:p>
        </w:tc>
      </w:tr>
    </w:tbl>
    <w:p w:rsidR="001A0A8F" w:rsidRDefault="001A0A8F" w:rsidP="008B5D21">
      <w:pPr>
        <w:rPr>
          <w:rFonts w:cs="Arial"/>
          <w:sz w:val="22"/>
        </w:rPr>
      </w:pPr>
    </w:p>
    <w:p w:rsidR="001A0A8F" w:rsidRDefault="001A0A8F" w:rsidP="008B5D21">
      <w:pPr>
        <w:rPr>
          <w:rFonts w:cs="Arial"/>
          <w:sz w:val="22"/>
        </w:rPr>
      </w:pPr>
    </w:p>
    <w:p w:rsidR="001A0A8F" w:rsidRPr="00A408C9" w:rsidRDefault="001A0A8F" w:rsidP="008B5D21">
      <w:pPr>
        <w:rPr>
          <w:rFonts w:cs="Arial"/>
          <w:sz w:val="22"/>
        </w:rPr>
      </w:pPr>
    </w:p>
    <w:p w:rsidR="008B5D21" w:rsidRDefault="008B5D21" w:rsidP="008B5D21">
      <w:pPr>
        <w:rPr>
          <w:rFonts w:cs="Arial"/>
          <w:sz w:val="22"/>
        </w:rPr>
      </w:pPr>
    </w:p>
    <w:p w:rsidR="001A0A8F" w:rsidRPr="00A408C9" w:rsidRDefault="001A0A8F" w:rsidP="008B5D21">
      <w:pPr>
        <w:rPr>
          <w:rFonts w:cs="Arial"/>
          <w:sz w:val="22"/>
        </w:rPr>
      </w:pPr>
    </w:p>
    <w:p w:rsidR="003E035B" w:rsidRDefault="003E035B">
      <w:pPr>
        <w:rPr>
          <w:rFonts w:cs="Arial"/>
          <w:sz w:val="22"/>
        </w:rPr>
      </w:pPr>
    </w:p>
    <w:sectPr w:rsidR="003E035B" w:rsidSect="00A408C9">
      <w:pgSz w:w="11906" w:h="16838"/>
      <w:pgMar w:top="1440" w:right="1800" w:bottom="1440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393" w:rsidRDefault="00E41393" w:rsidP="00A408C9">
      <w:r>
        <w:separator/>
      </w:r>
    </w:p>
  </w:endnote>
  <w:endnote w:type="continuationSeparator" w:id="0">
    <w:p w:rsidR="00E41393" w:rsidRDefault="00E41393" w:rsidP="00A40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393" w:rsidRDefault="00E41393" w:rsidP="00A408C9">
      <w:r>
        <w:separator/>
      </w:r>
    </w:p>
  </w:footnote>
  <w:footnote w:type="continuationSeparator" w:id="0">
    <w:p w:rsidR="00E41393" w:rsidRDefault="00E41393" w:rsidP="00A408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D21"/>
    <w:rsid w:val="00092203"/>
    <w:rsid w:val="001A0A8F"/>
    <w:rsid w:val="001E02DF"/>
    <w:rsid w:val="0025404D"/>
    <w:rsid w:val="00307515"/>
    <w:rsid w:val="003E035B"/>
    <w:rsid w:val="008B5D21"/>
    <w:rsid w:val="00A408C9"/>
    <w:rsid w:val="00E4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745D0A"/>
  <w15:chartTrackingRefBased/>
  <w15:docId w15:val="{F570F632-B054-47AC-8FFE-84A70EF6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宋体" w:hAnsi="Arial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5D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08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08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08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08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46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locklock</dc:creator>
  <cp:keywords/>
  <dc:description/>
  <cp:lastModifiedBy>locklock</cp:lastModifiedBy>
  <cp:revision>4</cp:revision>
  <dcterms:created xsi:type="dcterms:W3CDTF">2026-04-06T09:29:00Z</dcterms:created>
  <dcterms:modified xsi:type="dcterms:W3CDTF">2026-04-07T03:31:00Z</dcterms:modified>
</cp:coreProperties>
</file>