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97F6" w14:textId="3498FFCC" w:rsidR="00AC439C" w:rsidRPr="002F64F1" w:rsidRDefault="00202C63" w:rsidP="006F382B">
      <w:pPr>
        <w:spacing w:line="240" w:lineRule="auto"/>
        <w:rPr>
          <w:rFonts w:ascii="Times New Roman" w:hAnsi="Times New Roman" w:cs="Times New Roman"/>
          <w:b/>
          <w:bCs/>
          <w:sz w:val="24"/>
          <w:szCs w:val="24"/>
        </w:rPr>
      </w:pPr>
      <w:bookmarkStart w:id="0" w:name="OLE_LINK1"/>
      <w:r>
        <w:rPr>
          <w:rFonts w:ascii="Times New Roman" w:hAnsi="Times New Roman" w:cs="Times New Roman"/>
          <w:b/>
          <w:bCs/>
          <w:sz w:val="24"/>
          <w:szCs w:val="24"/>
        </w:rPr>
        <w:t>Supplement</w:t>
      </w:r>
    </w:p>
    <w:p w14:paraId="3F789428" w14:textId="2C9878D2" w:rsidR="00AC439C" w:rsidRPr="002F64F1" w:rsidRDefault="00202C63" w:rsidP="006F382B">
      <w:pPr>
        <w:spacing w:line="240" w:lineRule="auto"/>
        <w:rPr>
          <w:rFonts w:ascii="Times New Roman" w:hAnsi="Times New Roman" w:cs="Times New Roman"/>
          <w:b/>
          <w:bCs/>
          <w:sz w:val="20"/>
          <w:szCs w:val="20"/>
        </w:rPr>
      </w:pPr>
      <w:r>
        <w:rPr>
          <w:rFonts w:ascii="Times New Roman" w:hAnsi="Times New Roman" w:cs="Times New Roman"/>
          <w:b/>
          <w:bCs/>
          <w:sz w:val="20"/>
          <w:szCs w:val="20"/>
        </w:rPr>
        <w:t>Supplementary File</w:t>
      </w:r>
      <w:r w:rsidR="00AC439C" w:rsidRPr="002F64F1">
        <w:rPr>
          <w:rFonts w:ascii="Times New Roman" w:hAnsi="Times New Roman" w:cs="Times New Roman"/>
          <w:b/>
          <w:bCs/>
          <w:sz w:val="20"/>
          <w:szCs w:val="20"/>
        </w:rPr>
        <w:t xml:space="preserve"> A: </w:t>
      </w:r>
      <w:r w:rsidR="003D1A2F">
        <w:rPr>
          <w:rFonts w:ascii="Times New Roman" w:hAnsi="Times New Roman" w:cs="Times New Roman"/>
          <w:b/>
          <w:bCs/>
          <w:sz w:val="20"/>
          <w:szCs w:val="20"/>
        </w:rPr>
        <w:t xml:space="preserve">Full </w:t>
      </w:r>
      <w:r w:rsidR="00FB6FF5">
        <w:rPr>
          <w:rFonts w:ascii="Times New Roman" w:hAnsi="Times New Roman" w:cs="Times New Roman"/>
          <w:b/>
          <w:bCs/>
          <w:sz w:val="20"/>
          <w:szCs w:val="20"/>
        </w:rPr>
        <w:t>S</w:t>
      </w:r>
      <w:r w:rsidR="00AC439C" w:rsidRPr="002F64F1">
        <w:rPr>
          <w:rFonts w:ascii="Times New Roman" w:hAnsi="Times New Roman" w:cs="Times New Roman"/>
          <w:b/>
          <w:bCs/>
          <w:sz w:val="20"/>
          <w:szCs w:val="20"/>
        </w:rPr>
        <w:t xml:space="preserve">earch </w:t>
      </w:r>
      <w:r w:rsidR="00FB6FF5">
        <w:rPr>
          <w:rFonts w:ascii="Times New Roman" w:hAnsi="Times New Roman" w:cs="Times New Roman"/>
          <w:b/>
          <w:bCs/>
          <w:sz w:val="20"/>
          <w:szCs w:val="20"/>
        </w:rPr>
        <w:t>S</w:t>
      </w:r>
      <w:r w:rsidR="00AC439C" w:rsidRPr="002F64F1">
        <w:rPr>
          <w:rFonts w:ascii="Times New Roman" w:hAnsi="Times New Roman" w:cs="Times New Roman"/>
          <w:b/>
          <w:bCs/>
          <w:sz w:val="20"/>
          <w:szCs w:val="20"/>
        </w:rPr>
        <w:t>trategy</w:t>
      </w:r>
      <w:r w:rsidR="003D1A2F">
        <w:rPr>
          <w:rFonts w:ascii="Times New Roman" w:hAnsi="Times New Roman" w:cs="Times New Roman"/>
          <w:b/>
          <w:bCs/>
          <w:sz w:val="20"/>
          <w:szCs w:val="20"/>
        </w:rPr>
        <w:t xml:space="preserve"> by </w:t>
      </w:r>
      <w:r w:rsidR="00FB6FF5">
        <w:rPr>
          <w:rFonts w:ascii="Times New Roman" w:hAnsi="Times New Roman" w:cs="Times New Roman"/>
          <w:b/>
          <w:bCs/>
          <w:sz w:val="20"/>
          <w:szCs w:val="20"/>
        </w:rPr>
        <w:t>D</w:t>
      </w:r>
      <w:r w:rsidR="003D1A2F">
        <w:rPr>
          <w:rFonts w:ascii="Times New Roman" w:hAnsi="Times New Roman" w:cs="Times New Roman"/>
          <w:b/>
          <w:bCs/>
          <w:sz w:val="20"/>
          <w:szCs w:val="20"/>
        </w:rPr>
        <w:t>atabase</w:t>
      </w:r>
    </w:p>
    <w:tbl>
      <w:tblPr>
        <w:tblStyle w:val="TableGrid"/>
        <w:tblW w:w="0" w:type="auto"/>
        <w:tblLook w:val="04A0" w:firstRow="1" w:lastRow="0" w:firstColumn="1" w:lastColumn="0" w:noHBand="0" w:noVBand="1"/>
      </w:tblPr>
      <w:tblGrid>
        <w:gridCol w:w="2254"/>
        <w:gridCol w:w="2254"/>
        <w:gridCol w:w="4418"/>
      </w:tblGrid>
      <w:tr w:rsidR="00202C63" w:rsidRPr="00ED46A4" w14:paraId="39F755BF" w14:textId="77777777" w:rsidTr="00C22AE1">
        <w:tc>
          <w:tcPr>
            <w:tcW w:w="2254" w:type="dxa"/>
          </w:tcPr>
          <w:p w14:paraId="15FE1994"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Database</w:t>
            </w:r>
          </w:p>
        </w:tc>
        <w:tc>
          <w:tcPr>
            <w:tcW w:w="2254" w:type="dxa"/>
          </w:tcPr>
          <w:p w14:paraId="5027FE55"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Search location</w:t>
            </w:r>
          </w:p>
        </w:tc>
        <w:tc>
          <w:tcPr>
            <w:tcW w:w="4418" w:type="dxa"/>
          </w:tcPr>
          <w:p w14:paraId="2954EC3B"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Search phrases</w:t>
            </w:r>
          </w:p>
        </w:tc>
      </w:tr>
      <w:tr w:rsidR="00202C63" w:rsidRPr="00ED46A4" w14:paraId="3C4090E0" w14:textId="77777777" w:rsidTr="00C22AE1">
        <w:tc>
          <w:tcPr>
            <w:tcW w:w="2254" w:type="dxa"/>
          </w:tcPr>
          <w:p w14:paraId="60A150B5" w14:textId="171C77F9"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EBSCO</w:t>
            </w:r>
            <w:r w:rsidR="00FB6FF5">
              <w:rPr>
                <w:rFonts w:ascii="Times New Roman" w:hAnsi="Times New Roman" w:cs="Times New Roman"/>
                <w:sz w:val="16"/>
                <w:szCs w:val="16"/>
              </w:rPr>
              <w:t>h</w:t>
            </w:r>
            <w:r w:rsidRPr="00ED46A4">
              <w:rPr>
                <w:rFonts w:ascii="Times New Roman" w:hAnsi="Times New Roman" w:cs="Times New Roman"/>
                <w:sz w:val="16"/>
                <w:szCs w:val="16"/>
              </w:rPr>
              <w:t>ost (all databases)</w:t>
            </w:r>
          </w:p>
        </w:tc>
        <w:tc>
          <w:tcPr>
            <w:tcW w:w="2254" w:type="dxa"/>
          </w:tcPr>
          <w:p w14:paraId="27A2252B"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Title OR Abstract</w:t>
            </w:r>
          </w:p>
        </w:tc>
        <w:tc>
          <w:tcPr>
            <w:tcW w:w="4418" w:type="dxa"/>
          </w:tcPr>
          <w:p w14:paraId="1278AE4D" w14:textId="64F1B261"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of health</w:t>
            </w:r>
            <w:r w:rsidR="00FB6FF5">
              <w:rPr>
                <w:rFonts w:ascii="Times New Roman" w:hAnsi="Times New Roman" w:cs="Times New Roman"/>
                <w:sz w:val="16"/>
                <w:szCs w:val="16"/>
              </w:rPr>
              <w:t>”</w:t>
            </w:r>
          </w:p>
          <w:p w14:paraId="3AC384FB"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 xml:space="preserve">OR </w:t>
            </w:r>
          </w:p>
          <w:p w14:paraId="79D1762F"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AND health </w:t>
            </w:r>
          </w:p>
          <w:p w14:paraId="73AFE394"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 xml:space="preserve">OR </w:t>
            </w:r>
          </w:p>
          <w:p w14:paraId="3DBAA45E"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and * determinant* of health”</w:t>
            </w:r>
          </w:p>
        </w:tc>
      </w:tr>
      <w:tr w:rsidR="00202C63" w:rsidRPr="00ED46A4" w14:paraId="25FE42EF" w14:textId="77777777" w:rsidTr="00C22AE1">
        <w:tc>
          <w:tcPr>
            <w:tcW w:w="2254" w:type="dxa"/>
          </w:tcPr>
          <w:p w14:paraId="1402BC57"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Scopus</w:t>
            </w:r>
          </w:p>
        </w:tc>
        <w:tc>
          <w:tcPr>
            <w:tcW w:w="2254" w:type="dxa"/>
          </w:tcPr>
          <w:p w14:paraId="48001CB6"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Title OR Abstract OR Keywords</w:t>
            </w:r>
            <w:r w:rsidRPr="00ED46A4">
              <w:rPr>
                <w:rFonts w:ascii="Times New Roman" w:hAnsi="Times New Roman" w:cs="Times New Roman"/>
                <w:sz w:val="16"/>
                <w:szCs w:val="16"/>
              </w:rPr>
              <w:tab/>
            </w:r>
          </w:p>
        </w:tc>
        <w:tc>
          <w:tcPr>
            <w:tcW w:w="4418" w:type="dxa"/>
          </w:tcPr>
          <w:p w14:paraId="475A5A6B" w14:textId="33F64548"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of health</w:t>
            </w:r>
            <w:r w:rsidR="00FB6FF5">
              <w:rPr>
                <w:rFonts w:ascii="Times New Roman" w:hAnsi="Times New Roman" w:cs="Times New Roman"/>
                <w:sz w:val="16"/>
                <w:szCs w:val="16"/>
              </w:rPr>
              <w:t>”</w:t>
            </w:r>
            <w:r w:rsidRPr="00ED46A4">
              <w:rPr>
                <w:rFonts w:ascii="Times New Roman" w:hAnsi="Times New Roman" w:cs="Times New Roman"/>
                <w:sz w:val="16"/>
                <w:szCs w:val="16"/>
              </w:rPr>
              <w:t xml:space="preserve"> </w:t>
            </w:r>
          </w:p>
          <w:p w14:paraId="704B8EB7"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 xml:space="preserve">OR </w:t>
            </w:r>
          </w:p>
          <w:p w14:paraId="59BF9685" w14:textId="47B1724E"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AND health</w:t>
            </w:r>
          </w:p>
        </w:tc>
      </w:tr>
      <w:tr w:rsidR="00202C63" w:rsidRPr="00ED46A4" w14:paraId="0F3A8567" w14:textId="77777777" w:rsidTr="00C22AE1">
        <w:tc>
          <w:tcPr>
            <w:tcW w:w="2254" w:type="dxa"/>
          </w:tcPr>
          <w:p w14:paraId="265AA3C4"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PubMed</w:t>
            </w:r>
          </w:p>
        </w:tc>
        <w:tc>
          <w:tcPr>
            <w:tcW w:w="2254" w:type="dxa"/>
          </w:tcPr>
          <w:p w14:paraId="7E4960FA"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Title/Abstract</w:t>
            </w:r>
          </w:p>
        </w:tc>
        <w:tc>
          <w:tcPr>
            <w:tcW w:w="4418" w:type="dxa"/>
          </w:tcPr>
          <w:p w14:paraId="601A61A9" w14:textId="71D95271"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 xml:space="preserve"> “</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of health</w:t>
            </w:r>
            <w:r w:rsidR="00FB6FF5">
              <w:rPr>
                <w:rFonts w:ascii="Times New Roman" w:hAnsi="Times New Roman" w:cs="Times New Roman"/>
                <w:sz w:val="16"/>
                <w:szCs w:val="16"/>
              </w:rPr>
              <w:t>”</w:t>
            </w:r>
          </w:p>
          <w:p w14:paraId="6F21808F" w14:textId="77777777"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 xml:space="preserve">OR </w:t>
            </w:r>
          </w:p>
          <w:p w14:paraId="734DEAED" w14:textId="4BA1061B" w:rsidR="00202C63" w:rsidRPr="00ED46A4" w:rsidRDefault="00202C63" w:rsidP="00C22AE1">
            <w:pPr>
              <w:rPr>
                <w:rFonts w:ascii="Times New Roman" w:hAnsi="Times New Roman" w:cs="Times New Roman"/>
                <w:sz w:val="16"/>
                <w:szCs w:val="16"/>
              </w:rPr>
            </w:pPr>
            <w:r w:rsidRPr="00ED46A4">
              <w:rPr>
                <w:rFonts w:ascii="Times New Roman" w:hAnsi="Times New Roman" w:cs="Times New Roman"/>
                <w:sz w:val="16"/>
                <w:szCs w:val="16"/>
              </w:rPr>
              <w:t>“</w:t>
            </w:r>
            <w:r>
              <w:rPr>
                <w:rFonts w:ascii="Times New Roman" w:hAnsi="Times New Roman" w:cs="Times New Roman"/>
                <w:sz w:val="16"/>
                <w:szCs w:val="16"/>
              </w:rPr>
              <w:t>ecologic*</w:t>
            </w:r>
            <w:r w:rsidRPr="00ED46A4">
              <w:rPr>
                <w:rFonts w:ascii="Times New Roman" w:hAnsi="Times New Roman" w:cs="Times New Roman"/>
                <w:sz w:val="16"/>
                <w:szCs w:val="16"/>
              </w:rPr>
              <w:t xml:space="preserve"> determinant*” AND health</w:t>
            </w:r>
          </w:p>
        </w:tc>
      </w:tr>
    </w:tbl>
    <w:p w14:paraId="2BA50525" w14:textId="77777777" w:rsidR="00AC439C" w:rsidRPr="006F382B" w:rsidRDefault="00AC439C" w:rsidP="006F382B">
      <w:pPr>
        <w:spacing w:line="240" w:lineRule="auto"/>
        <w:rPr>
          <w:rFonts w:ascii="Times New Roman" w:hAnsi="Times New Roman" w:cs="Times New Roman"/>
          <w:sz w:val="16"/>
          <w:szCs w:val="16"/>
        </w:rPr>
      </w:pPr>
    </w:p>
    <w:p w14:paraId="74C33827" w14:textId="77777777" w:rsidR="00AC439C" w:rsidRPr="006F382B" w:rsidRDefault="00AC439C" w:rsidP="006F382B">
      <w:pPr>
        <w:spacing w:line="240" w:lineRule="auto"/>
        <w:rPr>
          <w:rFonts w:ascii="Times New Roman" w:hAnsi="Times New Roman" w:cs="Times New Roman"/>
          <w:sz w:val="16"/>
          <w:szCs w:val="16"/>
        </w:rPr>
      </w:pPr>
    </w:p>
    <w:p w14:paraId="004E221A" w14:textId="77777777" w:rsidR="00AC439C" w:rsidRPr="006F382B" w:rsidRDefault="00AC439C" w:rsidP="006F382B">
      <w:pPr>
        <w:spacing w:line="240" w:lineRule="auto"/>
        <w:rPr>
          <w:rFonts w:ascii="Times New Roman" w:hAnsi="Times New Roman" w:cs="Times New Roman"/>
          <w:sz w:val="16"/>
          <w:szCs w:val="16"/>
        </w:rPr>
      </w:pPr>
    </w:p>
    <w:p w14:paraId="507EE6EF" w14:textId="77777777" w:rsidR="00AC439C" w:rsidRPr="006F382B" w:rsidRDefault="00AC439C" w:rsidP="006F382B">
      <w:pPr>
        <w:spacing w:line="240" w:lineRule="auto"/>
        <w:rPr>
          <w:rFonts w:ascii="Times New Roman" w:hAnsi="Times New Roman" w:cs="Times New Roman"/>
          <w:sz w:val="16"/>
          <w:szCs w:val="16"/>
        </w:rPr>
      </w:pPr>
    </w:p>
    <w:p w14:paraId="2F6E2E1A" w14:textId="77777777" w:rsidR="00AC439C" w:rsidRPr="006F382B" w:rsidRDefault="00AC439C" w:rsidP="006F382B">
      <w:pPr>
        <w:spacing w:line="240" w:lineRule="auto"/>
        <w:rPr>
          <w:rFonts w:ascii="Times New Roman" w:hAnsi="Times New Roman" w:cs="Times New Roman"/>
          <w:sz w:val="16"/>
          <w:szCs w:val="16"/>
        </w:rPr>
      </w:pPr>
    </w:p>
    <w:p w14:paraId="30EB640D" w14:textId="77777777" w:rsidR="00AC439C" w:rsidRPr="006F382B" w:rsidRDefault="00AC439C" w:rsidP="006F382B">
      <w:pPr>
        <w:spacing w:line="240" w:lineRule="auto"/>
        <w:rPr>
          <w:rFonts w:ascii="Times New Roman" w:hAnsi="Times New Roman" w:cs="Times New Roman"/>
          <w:sz w:val="16"/>
          <w:szCs w:val="16"/>
        </w:rPr>
      </w:pPr>
    </w:p>
    <w:p w14:paraId="516A20F0" w14:textId="77777777" w:rsidR="00AC439C" w:rsidRPr="006F382B" w:rsidRDefault="00AC439C" w:rsidP="006F382B">
      <w:pPr>
        <w:spacing w:line="240" w:lineRule="auto"/>
        <w:rPr>
          <w:rFonts w:ascii="Times New Roman" w:hAnsi="Times New Roman" w:cs="Times New Roman"/>
          <w:sz w:val="16"/>
          <w:szCs w:val="16"/>
        </w:rPr>
      </w:pPr>
    </w:p>
    <w:p w14:paraId="2236D5DF" w14:textId="77777777" w:rsidR="00A10114" w:rsidRPr="006F382B" w:rsidRDefault="00A10114" w:rsidP="006F382B">
      <w:pPr>
        <w:spacing w:line="240" w:lineRule="auto"/>
        <w:rPr>
          <w:rFonts w:ascii="Times New Roman" w:hAnsi="Times New Roman" w:cs="Times New Roman"/>
          <w:sz w:val="16"/>
          <w:szCs w:val="16"/>
        </w:rPr>
      </w:pPr>
    </w:p>
    <w:p w14:paraId="1B9EF6AA" w14:textId="77777777" w:rsidR="00A10114" w:rsidRPr="006F382B" w:rsidRDefault="00A10114" w:rsidP="006F382B">
      <w:pPr>
        <w:spacing w:line="240" w:lineRule="auto"/>
        <w:rPr>
          <w:rFonts w:ascii="Times New Roman" w:hAnsi="Times New Roman" w:cs="Times New Roman"/>
          <w:sz w:val="16"/>
          <w:szCs w:val="16"/>
        </w:rPr>
      </w:pPr>
    </w:p>
    <w:p w14:paraId="39BE7B12" w14:textId="77777777" w:rsidR="00A10114" w:rsidRPr="006F382B" w:rsidRDefault="00A10114" w:rsidP="006F382B">
      <w:pPr>
        <w:spacing w:line="240" w:lineRule="auto"/>
        <w:rPr>
          <w:rFonts w:ascii="Times New Roman" w:hAnsi="Times New Roman" w:cs="Times New Roman"/>
          <w:sz w:val="16"/>
          <w:szCs w:val="16"/>
        </w:rPr>
      </w:pPr>
    </w:p>
    <w:p w14:paraId="7A2ED22F" w14:textId="77777777" w:rsidR="00A10114" w:rsidRPr="006F382B" w:rsidRDefault="00A10114" w:rsidP="006F382B">
      <w:pPr>
        <w:spacing w:line="240" w:lineRule="auto"/>
        <w:rPr>
          <w:rFonts w:ascii="Times New Roman" w:hAnsi="Times New Roman" w:cs="Times New Roman"/>
          <w:sz w:val="16"/>
          <w:szCs w:val="16"/>
        </w:rPr>
      </w:pPr>
    </w:p>
    <w:p w14:paraId="18051F98" w14:textId="77777777" w:rsidR="00A10114" w:rsidRPr="006F382B" w:rsidRDefault="00A10114" w:rsidP="006F382B">
      <w:pPr>
        <w:spacing w:line="240" w:lineRule="auto"/>
        <w:rPr>
          <w:rFonts w:ascii="Times New Roman" w:hAnsi="Times New Roman" w:cs="Times New Roman"/>
          <w:sz w:val="16"/>
          <w:szCs w:val="16"/>
        </w:rPr>
      </w:pPr>
    </w:p>
    <w:p w14:paraId="0408B98F" w14:textId="77777777" w:rsidR="00A10114" w:rsidRPr="006F382B" w:rsidRDefault="00A10114" w:rsidP="006F382B">
      <w:pPr>
        <w:spacing w:line="240" w:lineRule="auto"/>
        <w:rPr>
          <w:rFonts w:ascii="Times New Roman" w:hAnsi="Times New Roman" w:cs="Times New Roman"/>
          <w:sz w:val="16"/>
          <w:szCs w:val="16"/>
        </w:rPr>
      </w:pPr>
    </w:p>
    <w:p w14:paraId="299DE7DC" w14:textId="77777777" w:rsidR="00A10114" w:rsidRPr="006F382B" w:rsidRDefault="00A10114" w:rsidP="006F382B">
      <w:pPr>
        <w:spacing w:line="240" w:lineRule="auto"/>
        <w:rPr>
          <w:rFonts w:ascii="Times New Roman" w:hAnsi="Times New Roman" w:cs="Times New Roman"/>
          <w:sz w:val="16"/>
          <w:szCs w:val="16"/>
        </w:rPr>
      </w:pPr>
    </w:p>
    <w:p w14:paraId="5C63CFAC" w14:textId="77777777" w:rsidR="00A10114" w:rsidRPr="006F382B" w:rsidRDefault="00A10114" w:rsidP="006F382B">
      <w:pPr>
        <w:spacing w:line="240" w:lineRule="auto"/>
        <w:rPr>
          <w:rFonts w:ascii="Times New Roman" w:hAnsi="Times New Roman" w:cs="Times New Roman"/>
          <w:sz w:val="16"/>
          <w:szCs w:val="16"/>
        </w:rPr>
      </w:pPr>
    </w:p>
    <w:p w14:paraId="61C3C9C9" w14:textId="77777777" w:rsidR="00A10114" w:rsidRDefault="00A10114" w:rsidP="006F382B">
      <w:pPr>
        <w:spacing w:line="240" w:lineRule="auto"/>
        <w:rPr>
          <w:rFonts w:ascii="Times New Roman" w:hAnsi="Times New Roman" w:cs="Times New Roman"/>
          <w:sz w:val="16"/>
          <w:szCs w:val="16"/>
        </w:rPr>
      </w:pPr>
    </w:p>
    <w:p w14:paraId="3BEDD49D" w14:textId="77777777" w:rsidR="006F382B" w:rsidRDefault="006F382B" w:rsidP="006F382B">
      <w:pPr>
        <w:spacing w:line="240" w:lineRule="auto"/>
        <w:rPr>
          <w:rFonts w:ascii="Times New Roman" w:hAnsi="Times New Roman" w:cs="Times New Roman"/>
          <w:sz w:val="16"/>
          <w:szCs w:val="16"/>
        </w:rPr>
      </w:pPr>
    </w:p>
    <w:p w14:paraId="2C635CDE" w14:textId="77777777" w:rsidR="006F382B" w:rsidRDefault="006F382B" w:rsidP="006F382B">
      <w:pPr>
        <w:spacing w:line="240" w:lineRule="auto"/>
        <w:rPr>
          <w:rFonts w:ascii="Times New Roman" w:hAnsi="Times New Roman" w:cs="Times New Roman"/>
          <w:sz w:val="16"/>
          <w:szCs w:val="16"/>
        </w:rPr>
      </w:pPr>
    </w:p>
    <w:p w14:paraId="2B3E1ADA" w14:textId="77777777" w:rsidR="006F382B" w:rsidRDefault="006F382B" w:rsidP="006F382B">
      <w:pPr>
        <w:spacing w:line="240" w:lineRule="auto"/>
        <w:rPr>
          <w:rFonts w:ascii="Times New Roman" w:hAnsi="Times New Roman" w:cs="Times New Roman"/>
          <w:sz w:val="16"/>
          <w:szCs w:val="16"/>
        </w:rPr>
      </w:pPr>
    </w:p>
    <w:p w14:paraId="6DF0F575" w14:textId="77777777" w:rsidR="006F382B" w:rsidRDefault="006F382B" w:rsidP="006F382B">
      <w:pPr>
        <w:spacing w:line="240" w:lineRule="auto"/>
        <w:rPr>
          <w:rFonts w:ascii="Times New Roman" w:hAnsi="Times New Roman" w:cs="Times New Roman"/>
          <w:sz w:val="16"/>
          <w:szCs w:val="16"/>
        </w:rPr>
      </w:pPr>
    </w:p>
    <w:p w14:paraId="7ECE7E84" w14:textId="77777777" w:rsidR="006F382B" w:rsidRDefault="006F382B" w:rsidP="006F382B">
      <w:pPr>
        <w:spacing w:line="240" w:lineRule="auto"/>
        <w:rPr>
          <w:rFonts w:ascii="Times New Roman" w:hAnsi="Times New Roman" w:cs="Times New Roman"/>
          <w:sz w:val="16"/>
          <w:szCs w:val="16"/>
        </w:rPr>
      </w:pPr>
    </w:p>
    <w:p w14:paraId="57D85174" w14:textId="77777777" w:rsidR="006F382B" w:rsidRDefault="006F382B" w:rsidP="006F382B">
      <w:pPr>
        <w:spacing w:line="240" w:lineRule="auto"/>
        <w:rPr>
          <w:rFonts w:ascii="Times New Roman" w:hAnsi="Times New Roman" w:cs="Times New Roman"/>
          <w:sz w:val="16"/>
          <w:szCs w:val="16"/>
        </w:rPr>
      </w:pPr>
    </w:p>
    <w:p w14:paraId="0F8000BE" w14:textId="77777777" w:rsidR="006F382B" w:rsidRDefault="006F382B" w:rsidP="006F382B">
      <w:pPr>
        <w:spacing w:line="240" w:lineRule="auto"/>
        <w:rPr>
          <w:rFonts w:ascii="Times New Roman" w:hAnsi="Times New Roman" w:cs="Times New Roman"/>
          <w:sz w:val="16"/>
          <w:szCs w:val="16"/>
        </w:rPr>
      </w:pPr>
    </w:p>
    <w:p w14:paraId="44AC332D" w14:textId="77777777" w:rsidR="006F382B" w:rsidRDefault="006F382B" w:rsidP="006F382B">
      <w:pPr>
        <w:spacing w:line="240" w:lineRule="auto"/>
        <w:rPr>
          <w:rFonts w:ascii="Times New Roman" w:hAnsi="Times New Roman" w:cs="Times New Roman"/>
          <w:sz w:val="16"/>
          <w:szCs w:val="16"/>
        </w:rPr>
      </w:pPr>
    </w:p>
    <w:p w14:paraId="1D34B3C5" w14:textId="77777777" w:rsidR="00202C63" w:rsidRDefault="00202C63" w:rsidP="006F382B">
      <w:pPr>
        <w:spacing w:line="240" w:lineRule="auto"/>
        <w:rPr>
          <w:rFonts w:ascii="Times New Roman" w:hAnsi="Times New Roman" w:cs="Times New Roman"/>
          <w:sz w:val="16"/>
          <w:szCs w:val="16"/>
        </w:rPr>
      </w:pPr>
    </w:p>
    <w:p w14:paraId="20C77EA7" w14:textId="77777777" w:rsidR="00202C63" w:rsidRDefault="00202C63" w:rsidP="006F382B">
      <w:pPr>
        <w:spacing w:line="240" w:lineRule="auto"/>
        <w:rPr>
          <w:rFonts w:ascii="Times New Roman" w:hAnsi="Times New Roman" w:cs="Times New Roman"/>
          <w:sz w:val="16"/>
          <w:szCs w:val="16"/>
        </w:rPr>
      </w:pPr>
    </w:p>
    <w:p w14:paraId="1C9428DE" w14:textId="77777777" w:rsidR="00202C63" w:rsidRDefault="00202C63" w:rsidP="006F382B">
      <w:pPr>
        <w:spacing w:line="240" w:lineRule="auto"/>
        <w:rPr>
          <w:rFonts w:ascii="Times New Roman" w:hAnsi="Times New Roman" w:cs="Times New Roman"/>
          <w:sz w:val="16"/>
          <w:szCs w:val="16"/>
        </w:rPr>
      </w:pPr>
    </w:p>
    <w:p w14:paraId="0254F847" w14:textId="77777777" w:rsidR="004365A5" w:rsidRDefault="004365A5" w:rsidP="006F382B">
      <w:pPr>
        <w:spacing w:line="240" w:lineRule="auto"/>
        <w:rPr>
          <w:rFonts w:ascii="Times New Roman" w:hAnsi="Times New Roman" w:cs="Times New Roman"/>
          <w:sz w:val="16"/>
          <w:szCs w:val="16"/>
        </w:rPr>
      </w:pPr>
    </w:p>
    <w:p w14:paraId="0283CDA6" w14:textId="77777777" w:rsidR="004365A5" w:rsidRDefault="004365A5" w:rsidP="006F382B">
      <w:pPr>
        <w:spacing w:line="240" w:lineRule="auto"/>
        <w:rPr>
          <w:rFonts w:ascii="Times New Roman" w:hAnsi="Times New Roman" w:cs="Times New Roman"/>
          <w:sz w:val="16"/>
          <w:szCs w:val="16"/>
        </w:rPr>
      </w:pPr>
    </w:p>
    <w:p w14:paraId="45C5EE59" w14:textId="77777777" w:rsidR="004365A5" w:rsidRDefault="004365A5" w:rsidP="006F382B">
      <w:pPr>
        <w:spacing w:line="240" w:lineRule="auto"/>
        <w:rPr>
          <w:rFonts w:ascii="Times New Roman" w:hAnsi="Times New Roman" w:cs="Times New Roman"/>
          <w:sz w:val="16"/>
          <w:szCs w:val="16"/>
        </w:rPr>
      </w:pPr>
    </w:p>
    <w:p w14:paraId="5341C73B" w14:textId="77777777" w:rsidR="004365A5" w:rsidRDefault="004365A5" w:rsidP="006F382B">
      <w:pPr>
        <w:spacing w:line="240" w:lineRule="auto"/>
        <w:rPr>
          <w:rFonts w:ascii="Times New Roman" w:hAnsi="Times New Roman" w:cs="Times New Roman"/>
          <w:sz w:val="16"/>
          <w:szCs w:val="16"/>
        </w:rPr>
      </w:pPr>
    </w:p>
    <w:p w14:paraId="0667847C" w14:textId="3BE6C834" w:rsidR="004365A5" w:rsidRDefault="004365A5" w:rsidP="004365A5">
      <w:pPr>
        <w:rPr>
          <w:rFonts w:ascii="Times New Roman" w:hAnsi="Times New Roman" w:cs="Times New Roman"/>
          <w:b/>
          <w:bCs/>
          <w:sz w:val="20"/>
          <w:szCs w:val="20"/>
        </w:rPr>
      </w:pPr>
      <w:r w:rsidRPr="00225F0B">
        <w:rPr>
          <w:rFonts w:ascii="Times New Roman" w:hAnsi="Times New Roman" w:cs="Times New Roman"/>
          <w:b/>
          <w:bCs/>
          <w:sz w:val="20"/>
          <w:szCs w:val="20"/>
        </w:rPr>
        <w:lastRenderedPageBreak/>
        <w:t xml:space="preserve">Supplementary File </w:t>
      </w:r>
      <w:r>
        <w:rPr>
          <w:rFonts w:ascii="Times New Roman" w:hAnsi="Times New Roman" w:cs="Times New Roman"/>
          <w:b/>
          <w:bCs/>
          <w:sz w:val="20"/>
          <w:szCs w:val="20"/>
        </w:rPr>
        <w:t>B</w:t>
      </w:r>
      <w:r w:rsidRPr="00225F0B">
        <w:rPr>
          <w:rFonts w:ascii="Times New Roman" w:hAnsi="Times New Roman" w:cs="Times New Roman"/>
          <w:b/>
          <w:bCs/>
          <w:sz w:val="20"/>
          <w:szCs w:val="20"/>
        </w:rPr>
        <w:t>: Reference List of Articles Not Retrieved or Excluded at the Full-Text Screening Stage</w:t>
      </w:r>
    </w:p>
    <w:p w14:paraId="4C524CDB" w14:textId="77777777" w:rsidR="004365A5" w:rsidRDefault="004365A5" w:rsidP="004365A5">
      <w:pPr>
        <w:ind w:left="426" w:hanging="66"/>
        <w:rPr>
          <w:rFonts w:ascii="Times New Roman" w:hAnsi="Times New Roman" w:cs="Times New Roman"/>
          <w:b/>
          <w:bCs/>
          <w:sz w:val="20"/>
          <w:szCs w:val="20"/>
        </w:rPr>
      </w:pPr>
    </w:p>
    <w:p w14:paraId="0C5B5629" w14:textId="77777777" w:rsidR="004365A5" w:rsidRPr="00225F0B" w:rsidRDefault="004365A5" w:rsidP="004365A5">
      <w:pPr>
        <w:ind w:left="426" w:hanging="66"/>
        <w:rPr>
          <w:rFonts w:ascii="Times New Roman" w:hAnsi="Times New Roman" w:cs="Times New Roman"/>
          <w:sz w:val="13"/>
          <w:szCs w:val="13"/>
        </w:rPr>
      </w:pPr>
      <w:r w:rsidRPr="00225F0B">
        <w:rPr>
          <w:rFonts w:ascii="Times New Roman" w:hAnsi="Times New Roman" w:cs="Times New Roman"/>
          <w:b/>
          <w:bCs/>
          <w:sz w:val="16"/>
          <w:szCs w:val="16"/>
        </w:rPr>
        <w:t>Databases</w:t>
      </w:r>
    </w:p>
    <w:p w14:paraId="27052C40" w14:textId="77777777" w:rsidR="004365A5" w:rsidRPr="0041322E" w:rsidRDefault="004365A5" w:rsidP="004365A5">
      <w:pPr>
        <w:pStyle w:val="NormalWeb"/>
        <w:numPr>
          <w:ilvl w:val="0"/>
          <w:numId w:val="55"/>
        </w:numPr>
        <w:rPr>
          <w:sz w:val="16"/>
          <w:szCs w:val="16"/>
        </w:rPr>
      </w:pPr>
      <w:r w:rsidRPr="0041322E">
        <w:rPr>
          <w:sz w:val="16"/>
          <w:szCs w:val="16"/>
        </w:rPr>
        <w:t>Ackley, C., Elsheikh, M., &amp; Zaman, S. (2021). Scoping review of neglected tropical disease interventions and health promotion: A framework for successful NTD interventions as evidenced by the literature.</w:t>
      </w:r>
      <w:r w:rsidRPr="0041322E">
        <w:rPr>
          <w:rStyle w:val="apple-converted-space"/>
          <w:sz w:val="16"/>
          <w:szCs w:val="16"/>
        </w:rPr>
        <w:t> </w:t>
      </w:r>
      <w:r w:rsidRPr="0041322E">
        <w:rPr>
          <w:rStyle w:val="Emphasis"/>
          <w:sz w:val="16"/>
          <w:szCs w:val="16"/>
        </w:rPr>
        <w:t>PLoS Neglected Tropical Diseases, 15</w:t>
      </w:r>
      <w:r w:rsidRPr="0041322E">
        <w:rPr>
          <w:sz w:val="16"/>
          <w:szCs w:val="16"/>
        </w:rPr>
        <w:t>(7), e0009278.</w:t>
      </w:r>
      <w:r w:rsidRPr="0041322E">
        <w:rPr>
          <w:rStyle w:val="apple-converted-space"/>
          <w:sz w:val="16"/>
          <w:szCs w:val="16"/>
        </w:rPr>
        <w:t> </w:t>
      </w:r>
      <w:hyperlink r:id="rId7" w:tgtFrame="_new" w:history="1">
        <w:r w:rsidRPr="0041322E">
          <w:rPr>
            <w:rStyle w:val="Hyperlink"/>
            <w:sz w:val="16"/>
            <w:szCs w:val="16"/>
          </w:rPr>
          <w:t>https://doi.org/10.1371/journal.pntd.0009278</w:t>
        </w:r>
      </w:hyperlink>
    </w:p>
    <w:p w14:paraId="0C7F666D" w14:textId="77777777" w:rsidR="004365A5" w:rsidRPr="0041322E" w:rsidRDefault="004365A5" w:rsidP="004365A5">
      <w:pPr>
        <w:pStyle w:val="NormalWeb"/>
        <w:numPr>
          <w:ilvl w:val="0"/>
          <w:numId w:val="55"/>
        </w:numPr>
        <w:rPr>
          <w:sz w:val="16"/>
          <w:szCs w:val="16"/>
        </w:rPr>
      </w:pPr>
      <w:r w:rsidRPr="0041322E">
        <w:rPr>
          <w:sz w:val="16"/>
          <w:szCs w:val="16"/>
        </w:rPr>
        <w:t>Ahonen, E. Q., Fujishiro, K., Cunningham, T., &amp; Flynn, M. (2018). Work as an inclusive part of population health inequities research and prevention.</w:t>
      </w:r>
      <w:r w:rsidRPr="0041322E">
        <w:rPr>
          <w:rStyle w:val="apple-converted-space"/>
          <w:sz w:val="16"/>
          <w:szCs w:val="16"/>
        </w:rPr>
        <w:t> </w:t>
      </w:r>
      <w:r w:rsidRPr="0041322E">
        <w:rPr>
          <w:rStyle w:val="Emphasis"/>
          <w:sz w:val="16"/>
          <w:szCs w:val="16"/>
        </w:rPr>
        <w:t>American Journal of Public Health, 108</w:t>
      </w:r>
      <w:r w:rsidRPr="0041322E">
        <w:rPr>
          <w:sz w:val="16"/>
          <w:szCs w:val="16"/>
        </w:rPr>
        <w:t>(3), 306–311.</w:t>
      </w:r>
      <w:r w:rsidRPr="0041322E">
        <w:rPr>
          <w:rStyle w:val="apple-converted-space"/>
          <w:sz w:val="16"/>
          <w:szCs w:val="16"/>
        </w:rPr>
        <w:t> </w:t>
      </w:r>
      <w:hyperlink r:id="rId8" w:tgtFrame="_new" w:history="1">
        <w:r w:rsidRPr="0041322E">
          <w:rPr>
            <w:rStyle w:val="Hyperlink"/>
            <w:sz w:val="16"/>
            <w:szCs w:val="16"/>
          </w:rPr>
          <w:t>https://doi.org/10.2105/AJPH.2017.304214</w:t>
        </w:r>
      </w:hyperlink>
    </w:p>
    <w:p w14:paraId="0E89088A" w14:textId="77777777" w:rsidR="004365A5" w:rsidRPr="0041322E" w:rsidRDefault="004365A5" w:rsidP="004365A5">
      <w:pPr>
        <w:pStyle w:val="NormalWeb"/>
        <w:numPr>
          <w:ilvl w:val="0"/>
          <w:numId w:val="55"/>
        </w:numPr>
        <w:rPr>
          <w:sz w:val="16"/>
          <w:szCs w:val="16"/>
        </w:rPr>
      </w:pPr>
      <w:r w:rsidRPr="0041322E">
        <w:rPr>
          <w:sz w:val="16"/>
          <w:szCs w:val="16"/>
        </w:rPr>
        <w:t>Angelier, F., Costantini, D., Blévin, P., &amp; Chastel, O. (2018). Do glucocorticoids mediate the link between environmental conditions and telomere dynamics in wild vertebrates? A review.</w:t>
      </w:r>
      <w:r w:rsidRPr="0041322E">
        <w:rPr>
          <w:rStyle w:val="apple-converted-space"/>
          <w:sz w:val="16"/>
          <w:szCs w:val="16"/>
        </w:rPr>
        <w:t> </w:t>
      </w:r>
      <w:r w:rsidRPr="0041322E">
        <w:rPr>
          <w:rStyle w:val="Emphasis"/>
          <w:sz w:val="16"/>
          <w:szCs w:val="16"/>
        </w:rPr>
        <w:t>General and Comparative Endocrinology, 256</w:t>
      </w:r>
      <w:r w:rsidRPr="0041322E">
        <w:rPr>
          <w:sz w:val="16"/>
          <w:szCs w:val="16"/>
        </w:rPr>
        <w:t>, 99–111.</w:t>
      </w:r>
      <w:r>
        <w:rPr>
          <w:rStyle w:val="apple-converted-space"/>
          <w:rFonts w:eastAsiaTheme="majorEastAsia"/>
          <w:sz w:val="16"/>
          <w:szCs w:val="16"/>
        </w:rPr>
        <w:t xml:space="preserve"> </w:t>
      </w:r>
      <w:hyperlink r:id="rId9" w:tgtFrame="_new" w:history="1">
        <w:r w:rsidRPr="0041322E">
          <w:rPr>
            <w:rStyle w:val="Hyperlink"/>
            <w:sz w:val="16"/>
            <w:szCs w:val="16"/>
          </w:rPr>
          <w:t>https://doi.org/10.1016/j.ygcen.2017.07.007</w:t>
        </w:r>
      </w:hyperlink>
      <w:r w:rsidRPr="0041322E">
        <w:rPr>
          <w:sz w:val="16"/>
          <w:szCs w:val="16"/>
        </w:rPr>
        <w:t xml:space="preserve"> </w:t>
      </w:r>
    </w:p>
    <w:p w14:paraId="3A195EAA" w14:textId="58067A1D" w:rsidR="004365A5" w:rsidRPr="0041322E" w:rsidRDefault="004365A5" w:rsidP="004365A5">
      <w:pPr>
        <w:pStyle w:val="NormalWeb"/>
        <w:numPr>
          <w:ilvl w:val="0"/>
          <w:numId w:val="55"/>
        </w:numPr>
        <w:rPr>
          <w:sz w:val="16"/>
          <w:szCs w:val="16"/>
        </w:rPr>
      </w:pPr>
      <w:r w:rsidRPr="0041322E">
        <w:rPr>
          <w:sz w:val="16"/>
          <w:szCs w:val="16"/>
        </w:rPr>
        <w:t xml:space="preserve">Annan, E., Bukhari, M. H., Treviño, J. C., Abad, Z. S. H., Lubinda, J., Da-Silva, E. A. B., </w:t>
      </w:r>
      <w:r>
        <w:rPr>
          <w:sz w:val="16"/>
          <w:szCs w:val="16"/>
        </w:rPr>
        <w:t>et al</w:t>
      </w:r>
      <w:r w:rsidRPr="0041322E">
        <w:rPr>
          <w:sz w:val="16"/>
          <w:szCs w:val="16"/>
        </w:rPr>
        <w:t>. (2023). The ecological determinants of severe dengue: A Bayesian inferential model.</w:t>
      </w:r>
      <w:r w:rsidRPr="0041322E">
        <w:rPr>
          <w:rStyle w:val="apple-converted-space"/>
          <w:sz w:val="16"/>
          <w:szCs w:val="16"/>
        </w:rPr>
        <w:t> </w:t>
      </w:r>
      <w:r w:rsidRPr="0041322E">
        <w:rPr>
          <w:rStyle w:val="Emphasis"/>
          <w:sz w:val="16"/>
          <w:szCs w:val="16"/>
        </w:rPr>
        <w:t>Ecological Informatics, 74</w:t>
      </w:r>
      <w:r w:rsidRPr="0041322E">
        <w:rPr>
          <w:sz w:val="16"/>
          <w:szCs w:val="16"/>
        </w:rPr>
        <w:t>, 101</w:t>
      </w:r>
      <w:r w:rsidR="003B099A">
        <w:rPr>
          <w:sz w:val="16"/>
          <w:szCs w:val="16"/>
        </w:rPr>
        <w:t>986</w:t>
      </w:r>
      <w:r w:rsidRPr="0041322E">
        <w:rPr>
          <w:sz w:val="16"/>
          <w:szCs w:val="16"/>
        </w:rPr>
        <w:t>.</w:t>
      </w:r>
      <w:r>
        <w:rPr>
          <w:rStyle w:val="apple-converted-space"/>
          <w:rFonts w:eastAsiaTheme="majorEastAsia"/>
          <w:sz w:val="16"/>
          <w:szCs w:val="16"/>
        </w:rPr>
        <w:t xml:space="preserve"> </w:t>
      </w:r>
      <w:hyperlink r:id="rId10" w:history="1">
        <w:r w:rsidR="001E0C83" w:rsidRPr="001E0C83">
          <w:rPr>
            <w:rStyle w:val="Hyperlink"/>
            <w:sz w:val="16"/>
            <w:szCs w:val="16"/>
          </w:rPr>
          <w:t>https://doi.org/10.1016/j.ecoinf.2023.101986</w:t>
        </w:r>
      </w:hyperlink>
      <w:r w:rsidR="001E0C83">
        <w:t xml:space="preserve"> </w:t>
      </w:r>
    </w:p>
    <w:p w14:paraId="7A517300" w14:textId="77777777" w:rsidR="004365A5" w:rsidRPr="0041322E" w:rsidRDefault="004365A5" w:rsidP="004365A5">
      <w:pPr>
        <w:pStyle w:val="NormalWeb"/>
        <w:numPr>
          <w:ilvl w:val="0"/>
          <w:numId w:val="55"/>
        </w:numPr>
        <w:rPr>
          <w:sz w:val="16"/>
          <w:szCs w:val="16"/>
        </w:rPr>
      </w:pPr>
      <w:r w:rsidRPr="0041322E">
        <w:rPr>
          <w:sz w:val="16"/>
          <w:szCs w:val="16"/>
        </w:rPr>
        <w:t>Blackwell, T. M., Dill, L. J., Hoepner, L. A., &amp; Geer, L. A. (2020). Using text messaging to improve access to prenatal health information in urban African American and Afro-Caribbean immigrant pregnant women: Mixed methods analysis of text4baby usage.</w:t>
      </w:r>
      <w:r w:rsidRPr="0041322E">
        <w:rPr>
          <w:rStyle w:val="apple-converted-space"/>
          <w:sz w:val="16"/>
          <w:szCs w:val="16"/>
        </w:rPr>
        <w:t> </w:t>
      </w:r>
      <w:r w:rsidRPr="0041322E">
        <w:rPr>
          <w:rStyle w:val="Emphasis"/>
          <w:sz w:val="16"/>
          <w:szCs w:val="16"/>
        </w:rPr>
        <w:t>JMIR mHealth and uHealth, 8</w:t>
      </w:r>
      <w:r w:rsidRPr="0041322E">
        <w:rPr>
          <w:sz w:val="16"/>
          <w:szCs w:val="16"/>
        </w:rPr>
        <w:t>(2), e14737.</w:t>
      </w:r>
      <w:r w:rsidRPr="0041322E">
        <w:rPr>
          <w:rStyle w:val="apple-converted-space"/>
          <w:sz w:val="16"/>
          <w:szCs w:val="16"/>
        </w:rPr>
        <w:t> </w:t>
      </w:r>
      <w:hyperlink r:id="rId11" w:tgtFrame="_new" w:history="1">
        <w:r w:rsidRPr="0041322E">
          <w:rPr>
            <w:rStyle w:val="Hyperlink"/>
            <w:sz w:val="16"/>
            <w:szCs w:val="16"/>
          </w:rPr>
          <w:t>https://doi.org/10.2196/14737</w:t>
        </w:r>
      </w:hyperlink>
    </w:p>
    <w:p w14:paraId="21B5BFA3" w14:textId="77777777" w:rsidR="004365A5" w:rsidRPr="0041322E" w:rsidRDefault="004365A5" w:rsidP="004365A5">
      <w:pPr>
        <w:pStyle w:val="NormalWeb"/>
        <w:numPr>
          <w:ilvl w:val="0"/>
          <w:numId w:val="55"/>
        </w:numPr>
        <w:rPr>
          <w:sz w:val="16"/>
          <w:szCs w:val="16"/>
        </w:rPr>
      </w:pPr>
      <w:r w:rsidRPr="0041322E">
        <w:rPr>
          <w:sz w:val="16"/>
          <w:szCs w:val="16"/>
        </w:rPr>
        <w:t>Boakye, D. S., Kwashie, A. A., Adjorlolo, S., &amp; Korsah, K. A. (2024). Nursing education for sustainable development: A concept analysis.</w:t>
      </w:r>
      <w:r w:rsidRPr="0041322E">
        <w:rPr>
          <w:rStyle w:val="apple-converted-space"/>
          <w:sz w:val="16"/>
          <w:szCs w:val="16"/>
        </w:rPr>
        <w:t> </w:t>
      </w:r>
      <w:r w:rsidRPr="0041322E">
        <w:rPr>
          <w:rStyle w:val="Emphasis"/>
          <w:sz w:val="16"/>
          <w:szCs w:val="16"/>
        </w:rPr>
        <w:t>Nursing Open, 11</w:t>
      </w:r>
      <w:r w:rsidRPr="0041322E">
        <w:rPr>
          <w:sz w:val="16"/>
          <w:szCs w:val="16"/>
        </w:rPr>
        <w:t>(10), e70058.</w:t>
      </w:r>
      <w:r w:rsidRPr="0041322E">
        <w:rPr>
          <w:rStyle w:val="apple-converted-space"/>
          <w:sz w:val="16"/>
          <w:szCs w:val="16"/>
        </w:rPr>
        <w:t> </w:t>
      </w:r>
      <w:hyperlink r:id="rId12" w:tgtFrame="_new" w:history="1">
        <w:r w:rsidRPr="0041322E">
          <w:rPr>
            <w:rStyle w:val="Hyperlink"/>
            <w:sz w:val="16"/>
            <w:szCs w:val="16"/>
          </w:rPr>
          <w:t>https://doi.org/10.1002/nop2.70058</w:t>
        </w:r>
      </w:hyperlink>
    </w:p>
    <w:p w14:paraId="548594A0" w14:textId="77777777" w:rsidR="004365A5" w:rsidRPr="0041322E" w:rsidRDefault="004365A5" w:rsidP="004365A5">
      <w:pPr>
        <w:pStyle w:val="NormalWeb"/>
        <w:numPr>
          <w:ilvl w:val="0"/>
          <w:numId w:val="55"/>
        </w:numPr>
        <w:rPr>
          <w:sz w:val="16"/>
          <w:szCs w:val="16"/>
        </w:rPr>
      </w:pPr>
      <w:r w:rsidRPr="0041322E">
        <w:rPr>
          <w:sz w:val="16"/>
          <w:szCs w:val="16"/>
        </w:rPr>
        <w:t xml:space="preserve">Bolon, I., Finat, M., Herrera, M., Nickerson, A., Grace, D., Schütte, S., </w:t>
      </w:r>
      <w:r>
        <w:rPr>
          <w:sz w:val="16"/>
          <w:szCs w:val="16"/>
        </w:rPr>
        <w:t>et al</w:t>
      </w:r>
      <w:r w:rsidRPr="0041322E">
        <w:rPr>
          <w:sz w:val="16"/>
          <w:szCs w:val="16"/>
        </w:rPr>
        <w:t>. (2019). Snakebite in domestic animals: First global scoping review.</w:t>
      </w:r>
      <w:r w:rsidRPr="0041322E">
        <w:rPr>
          <w:rStyle w:val="apple-converted-space"/>
          <w:sz w:val="16"/>
          <w:szCs w:val="16"/>
        </w:rPr>
        <w:t> </w:t>
      </w:r>
      <w:r w:rsidRPr="0041322E">
        <w:rPr>
          <w:rStyle w:val="Emphasis"/>
          <w:sz w:val="16"/>
          <w:szCs w:val="16"/>
        </w:rPr>
        <w:t>Preventive Veterinary Medicine, 170</w:t>
      </w:r>
      <w:r w:rsidRPr="0041322E">
        <w:rPr>
          <w:sz w:val="16"/>
          <w:szCs w:val="16"/>
        </w:rPr>
        <w:t>, 104729.</w:t>
      </w:r>
      <w:r>
        <w:rPr>
          <w:rStyle w:val="apple-converted-space"/>
          <w:rFonts w:eastAsiaTheme="majorEastAsia"/>
          <w:sz w:val="16"/>
          <w:szCs w:val="16"/>
        </w:rPr>
        <w:t xml:space="preserve"> </w:t>
      </w:r>
      <w:hyperlink r:id="rId13" w:tgtFrame="_new" w:history="1">
        <w:r w:rsidRPr="0041322E">
          <w:rPr>
            <w:rStyle w:val="Hyperlink"/>
            <w:sz w:val="16"/>
            <w:szCs w:val="16"/>
          </w:rPr>
          <w:t>https://doi.org/10.1016/j.prevetmed.2019.104729</w:t>
        </w:r>
      </w:hyperlink>
      <w:r w:rsidRPr="0041322E">
        <w:rPr>
          <w:sz w:val="16"/>
          <w:szCs w:val="16"/>
        </w:rPr>
        <w:t xml:space="preserve"> </w:t>
      </w:r>
    </w:p>
    <w:p w14:paraId="23A391BF" w14:textId="77777777" w:rsidR="004365A5" w:rsidRPr="0041322E" w:rsidRDefault="004365A5" w:rsidP="004365A5">
      <w:pPr>
        <w:pStyle w:val="NormalWeb"/>
        <w:numPr>
          <w:ilvl w:val="0"/>
          <w:numId w:val="55"/>
        </w:numPr>
        <w:rPr>
          <w:sz w:val="16"/>
          <w:szCs w:val="16"/>
        </w:rPr>
      </w:pPr>
      <w:r w:rsidRPr="0041322E">
        <w:rPr>
          <w:sz w:val="16"/>
          <w:szCs w:val="16"/>
        </w:rPr>
        <w:t>Brown, J. A., Lewans, M., Menon, D., &amp; Nykiforuk, C. I. J. (2024). Advancing socio-ecological considerations in impact assessment of extractive industries: A realist interview study in the Canadian context.</w:t>
      </w:r>
      <w:r w:rsidRPr="0041322E">
        <w:rPr>
          <w:rStyle w:val="apple-converted-space"/>
          <w:sz w:val="16"/>
          <w:szCs w:val="16"/>
        </w:rPr>
        <w:t> </w:t>
      </w:r>
      <w:r w:rsidRPr="0041322E">
        <w:rPr>
          <w:rStyle w:val="Emphasis"/>
          <w:sz w:val="16"/>
          <w:szCs w:val="16"/>
        </w:rPr>
        <w:t>Environmental Science and Policy, 153</w:t>
      </w:r>
      <w:r w:rsidRPr="0041322E">
        <w:rPr>
          <w:sz w:val="16"/>
          <w:szCs w:val="16"/>
        </w:rPr>
        <w:t>, 103677.</w:t>
      </w:r>
      <w:r w:rsidRPr="0041322E">
        <w:rPr>
          <w:rStyle w:val="apple-converted-space"/>
          <w:sz w:val="16"/>
          <w:szCs w:val="16"/>
        </w:rPr>
        <w:t> </w:t>
      </w:r>
      <w:hyperlink r:id="rId14" w:tgtFrame="_new" w:history="1">
        <w:r w:rsidRPr="0041322E">
          <w:rPr>
            <w:rStyle w:val="Hyperlink"/>
            <w:sz w:val="16"/>
            <w:szCs w:val="16"/>
          </w:rPr>
          <w:t>https://doi.org/10.1016/j.envsci.2024.103677</w:t>
        </w:r>
      </w:hyperlink>
    </w:p>
    <w:p w14:paraId="551B1B23" w14:textId="532DBC5C" w:rsidR="004365A5" w:rsidRPr="0041322E" w:rsidRDefault="004365A5" w:rsidP="004365A5">
      <w:pPr>
        <w:pStyle w:val="NormalWeb"/>
        <w:numPr>
          <w:ilvl w:val="0"/>
          <w:numId w:val="55"/>
        </w:numPr>
        <w:rPr>
          <w:sz w:val="16"/>
          <w:szCs w:val="16"/>
        </w:rPr>
      </w:pPr>
      <w:r w:rsidRPr="0041322E">
        <w:rPr>
          <w:sz w:val="16"/>
          <w:szCs w:val="16"/>
        </w:rPr>
        <w:t>Bryan, S., &amp; Walsh, P. (2004). Physical activity and obesity in Canadian women.</w:t>
      </w:r>
      <w:r w:rsidRPr="0041322E">
        <w:rPr>
          <w:rStyle w:val="apple-converted-space"/>
          <w:sz w:val="16"/>
          <w:szCs w:val="16"/>
        </w:rPr>
        <w:t> </w:t>
      </w:r>
      <w:r w:rsidRPr="0041322E">
        <w:rPr>
          <w:rStyle w:val="Emphasis"/>
          <w:sz w:val="16"/>
          <w:szCs w:val="16"/>
        </w:rPr>
        <w:t>BMC Women’s Health, 4</w:t>
      </w:r>
      <w:r w:rsidRPr="0041322E">
        <w:rPr>
          <w:sz w:val="16"/>
          <w:szCs w:val="16"/>
        </w:rPr>
        <w:t>(S</w:t>
      </w:r>
      <w:r w:rsidR="00ED1D6D">
        <w:rPr>
          <w:sz w:val="16"/>
          <w:szCs w:val="16"/>
        </w:rPr>
        <w:t xml:space="preserve">uppl </w:t>
      </w:r>
      <w:r w:rsidRPr="0041322E">
        <w:rPr>
          <w:sz w:val="16"/>
          <w:szCs w:val="16"/>
        </w:rPr>
        <w:t>1), S6.</w:t>
      </w:r>
      <w:r>
        <w:rPr>
          <w:rStyle w:val="apple-converted-space"/>
          <w:rFonts w:eastAsiaTheme="majorEastAsia"/>
          <w:sz w:val="16"/>
          <w:szCs w:val="16"/>
        </w:rPr>
        <w:t xml:space="preserve"> </w:t>
      </w:r>
      <w:hyperlink r:id="rId15" w:tgtFrame="_new" w:history="1">
        <w:r w:rsidRPr="0041322E">
          <w:rPr>
            <w:rStyle w:val="Hyperlink"/>
            <w:sz w:val="16"/>
            <w:szCs w:val="16"/>
          </w:rPr>
          <w:t>https://doi.org/10.1186/1472-6874-4-S1-S6</w:t>
        </w:r>
      </w:hyperlink>
      <w:r w:rsidRPr="0041322E">
        <w:rPr>
          <w:sz w:val="16"/>
          <w:szCs w:val="16"/>
        </w:rPr>
        <w:t xml:space="preserve"> </w:t>
      </w:r>
    </w:p>
    <w:p w14:paraId="0BECE3E3" w14:textId="5C350385" w:rsidR="004365A5" w:rsidRPr="0041322E" w:rsidRDefault="004365A5" w:rsidP="004365A5">
      <w:pPr>
        <w:pStyle w:val="NormalWeb"/>
        <w:numPr>
          <w:ilvl w:val="0"/>
          <w:numId w:val="55"/>
        </w:numPr>
        <w:rPr>
          <w:sz w:val="16"/>
          <w:szCs w:val="16"/>
        </w:rPr>
      </w:pPr>
      <w:r w:rsidRPr="0041322E">
        <w:rPr>
          <w:sz w:val="16"/>
          <w:szCs w:val="16"/>
        </w:rPr>
        <w:t xml:space="preserve">Buro, A., Brown, N., Jones, R., Dumford, A., Conner, K., Himmelgreen, D., </w:t>
      </w:r>
      <w:r>
        <w:rPr>
          <w:sz w:val="16"/>
          <w:szCs w:val="16"/>
        </w:rPr>
        <w:t>et al</w:t>
      </w:r>
      <w:r w:rsidRPr="0041322E">
        <w:rPr>
          <w:sz w:val="16"/>
          <w:szCs w:val="16"/>
        </w:rPr>
        <w:t>. (2024). Socio-ecological determinants of food insecurity among racially and ethnically diverse college students.</w:t>
      </w:r>
      <w:r w:rsidRPr="0041322E">
        <w:rPr>
          <w:rStyle w:val="apple-converted-space"/>
          <w:sz w:val="16"/>
          <w:szCs w:val="16"/>
        </w:rPr>
        <w:t> </w:t>
      </w:r>
      <w:r w:rsidRPr="0041322E">
        <w:rPr>
          <w:rStyle w:val="Emphasis"/>
          <w:sz w:val="16"/>
          <w:szCs w:val="16"/>
        </w:rPr>
        <w:t>Journal of Nutrition Education and Behavior, 56</w:t>
      </w:r>
      <w:r w:rsidRPr="0041322E">
        <w:rPr>
          <w:sz w:val="16"/>
          <w:szCs w:val="16"/>
        </w:rPr>
        <w:t>(8</w:t>
      </w:r>
      <w:r w:rsidR="005625E1">
        <w:rPr>
          <w:sz w:val="16"/>
          <w:szCs w:val="16"/>
        </w:rPr>
        <w:t>_Suppl 1</w:t>
      </w:r>
      <w:r w:rsidRPr="0041322E">
        <w:rPr>
          <w:sz w:val="16"/>
          <w:szCs w:val="16"/>
        </w:rPr>
        <w:t>), S47.</w:t>
      </w:r>
      <w:r w:rsidRPr="0041322E">
        <w:rPr>
          <w:rStyle w:val="apple-converted-space"/>
          <w:sz w:val="16"/>
          <w:szCs w:val="16"/>
        </w:rPr>
        <w:t> </w:t>
      </w:r>
      <w:hyperlink r:id="rId16" w:history="1">
        <w:r w:rsidR="005625E1" w:rsidRPr="005625E1">
          <w:rPr>
            <w:rStyle w:val="Hyperlink"/>
            <w:sz w:val="16"/>
            <w:szCs w:val="16"/>
          </w:rPr>
          <w:t>https://doi.org/10.1016/j.jneb.2024.05.109</w:t>
        </w:r>
      </w:hyperlink>
      <w:r w:rsidR="005625E1">
        <w:t xml:space="preserve"> </w:t>
      </w:r>
    </w:p>
    <w:p w14:paraId="19EF2A99" w14:textId="77777777" w:rsidR="004365A5" w:rsidRPr="0041322E" w:rsidRDefault="004365A5" w:rsidP="004365A5">
      <w:pPr>
        <w:pStyle w:val="NormalWeb"/>
        <w:numPr>
          <w:ilvl w:val="0"/>
          <w:numId w:val="55"/>
        </w:numPr>
        <w:rPr>
          <w:sz w:val="16"/>
          <w:szCs w:val="16"/>
        </w:rPr>
      </w:pPr>
      <w:r w:rsidRPr="0041322E">
        <w:rPr>
          <w:sz w:val="16"/>
          <w:szCs w:val="16"/>
        </w:rPr>
        <w:t>Carlos, S., Osorio, A., Calatrava, M., Lopez-Del Burgo, C., Ruiz-Canela, M., &amp; de Irala, J. (2016). Project YOURLIFE (what young people think and feel about relationships, love, sexuality, and related risk behavior): Cross-sectional and longitudinal protocol.</w:t>
      </w:r>
      <w:r w:rsidRPr="0041322E">
        <w:rPr>
          <w:rStyle w:val="apple-converted-space"/>
          <w:sz w:val="16"/>
          <w:szCs w:val="16"/>
        </w:rPr>
        <w:t> </w:t>
      </w:r>
      <w:r w:rsidRPr="0041322E">
        <w:rPr>
          <w:rStyle w:val="Emphasis"/>
          <w:sz w:val="16"/>
          <w:szCs w:val="16"/>
        </w:rPr>
        <w:t>Frontiers in Public Health, 4</w:t>
      </w:r>
      <w:r w:rsidRPr="0041322E">
        <w:rPr>
          <w:sz w:val="16"/>
          <w:szCs w:val="16"/>
        </w:rPr>
        <w:t>, 28.</w:t>
      </w:r>
      <w:r w:rsidRPr="0041322E">
        <w:rPr>
          <w:rStyle w:val="apple-converted-space"/>
          <w:sz w:val="16"/>
          <w:szCs w:val="16"/>
        </w:rPr>
        <w:t> </w:t>
      </w:r>
      <w:hyperlink r:id="rId17" w:tgtFrame="_new" w:history="1">
        <w:r w:rsidRPr="0041322E">
          <w:rPr>
            <w:rStyle w:val="Hyperlink"/>
            <w:sz w:val="16"/>
            <w:szCs w:val="16"/>
          </w:rPr>
          <w:t>https://doi.org/10.3389/fpubh.2016.00028</w:t>
        </w:r>
      </w:hyperlink>
    </w:p>
    <w:p w14:paraId="0741ECBA" w14:textId="77777777" w:rsidR="004365A5" w:rsidRPr="0041322E" w:rsidRDefault="004365A5" w:rsidP="004365A5">
      <w:pPr>
        <w:pStyle w:val="NormalWeb"/>
        <w:numPr>
          <w:ilvl w:val="0"/>
          <w:numId w:val="55"/>
        </w:numPr>
        <w:rPr>
          <w:sz w:val="16"/>
          <w:szCs w:val="16"/>
        </w:rPr>
      </w:pPr>
      <w:r w:rsidRPr="0041322E">
        <w:rPr>
          <w:sz w:val="16"/>
          <w:szCs w:val="16"/>
        </w:rPr>
        <w:t>Chandwani, H., &amp; Gopal, R. (2010). Social change communication: Need of the hour for the prevention of HIV/AIDS.</w:t>
      </w:r>
      <w:r w:rsidRPr="0041322E">
        <w:rPr>
          <w:rStyle w:val="apple-converted-space"/>
          <w:sz w:val="16"/>
          <w:szCs w:val="16"/>
        </w:rPr>
        <w:t> </w:t>
      </w:r>
      <w:r w:rsidRPr="0041322E">
        <w:rPr>
          <w:rStyle w:val="Emphasis"/>
          <w:sz w:val="16"/>
          <w:szCs w:val="16"/>
        </w:rPr>
        <w:t>Journal of Clinical Medicine Research, 2</w:t>
      </w:r>
      <w:r w:rsidRPr="0041322E">
        <w:rPr>
          <w:sz w:val="16"/>
          <w:szCs w:val="16"/>
        </w:rPr>
        <w:t>(1), 23–26.</w:t>
      </w:r>
      <w:r w:rsidRPr="0041322E">
        <w:rPr>
          <w:rStyle w:val="apple-converted-space"/>
          <w:sz w:val="16"/>
          <w:szCs w:val="16"/>
        </w:rPr>
        <w:t> </w:t>
      </w:r>
      <w:hyperlink r:id="rId18" w:tgtFrame="_new" w:history="1">
        <w:r w:rsidRPr="0041322E">
          <w:rPr>
            <w:rStyle w:val="Hyperlink"/>
            <w:sz w:val="16"/>
            <w:szCs w:val="16"/>
          </w:rPr>
          <w:t>https://doi.org/10.4021/jocmr2009.12.1285</w:t>
        </w:r>
      </w:hyperlink>
    </w:p>
    <w:p w14:paraId="07235771" w14:textId="0165A9E6" w:rsidR="004365A5" w:rsidRPr="0041322E" w:rsidRDefault="004365A5" w:rsidP="004365A5">
      <w:pPr>
        <w:pStyle w:val="NormalWeb"/>
        <w:numPr>
          <w:ilvl w:val="0"/>
          <w:numId w:val="55"/>
        </w:numPr>
        <w:rPr>
          <w:sz w:val="16"/>
          <w:szCs w:val="16"/>
        </w:rPr>
      </w:pPr>
      <w:r w:rsidRPr="0041322E">
        <w:rPr>
          <w:sz w:val="16"/>
          <w:szCs w:val="16"/>
        </w:rPr>
        <w:t>Chung, S. T., Krenek, A., &amp; Magge, S. N. (2023). Childhood obesity and cardiovascular disease risk.</w:t>
      </w:r>
      <w:r w:rsidRPr="0041322E">
        <w:rPr>
          <w:rStyle w:val="apple-converted-space"/>
          <w:sz w:val="16"/>
          <w:szCs w:val="16"/>
        </w:rPr>
        <w:t> </w:t>
      </w:r>
      <w:r w:rsidRPr="0041322E">
        <w:rPr>
          <w:rStyle w:val="Emphasis"/>
          <w:sz w:val="16"/>
          <w:szCs w:val="16"/>
        </w:rPr>
        <w:t>Current Atherosclerosis Reports, 25</w:t>
      </w:r>
      <w:r w:rsidRPr="0041322E">
        <w:rPr>
          <w:sz w:val="16"/>
          <w:szCs w:val="16"/>
        </w:rPr>
        <w:t>, 405–415.</w:t>
      </w:r>
      <w:r w:rsidRPr="0041322E">
        <w:rPr>
          <w:rStyle w:val="apple-converted-space"/>
          <w:sz w:val="16"/>
          <w:szCs w:val="16"/>
        </w:rPr>
        <w:t> </w:t>
      </w:r>
      <w:hyperlink r:id="rId19" w:tgtFrame="_new" w:history="1">
        <w:r w:rsidRPr="0041322E">
          <w:rPr>
            <w:rStyle w:val="Hyperlink"/>
            <w:sz w:val="16"/>
            <w:szCs w:val="16"/>
          </w:rPr>
          <w:t>https://doi.org/10.1007/s11883-023-01111-4</w:t>
        </w:r>
      </w:hyperlink>
    </w:p>
    <w:p w14:paraId="71DE428B" w14:textId="77777777" w:rsidR="004365A5" w:rsidRPr="0041322E" w:rsidRDefault="004365A5" w:rsidP="004365A5">
      <w:pPr>
        <w:pStyle w:val="NormalWeb"/>
        <w:numPr>
          <w:ilvl w:val="0"/>
          <w:numId w:val="55"/>
        </w:numPr>
        <w:rPr>
          <w:sz w:val="16"/>
          <w:szCs w:val="16"/>
        </w:rPr>
      </w:pPr>
      <w:r w:rsidRPr="0041322E">
        <w:rPr>
          <w:sz w:val="16"/>
          <w:szCs w:val="16"/>
        </w:rPr>
        <w:t>Churchill, L. R., Henderson, G. E., &amp; King, N. M. P. (2024). Why climate literacy is health literacy.</w:t>
      </w:r>
      <w:r w:rsidRPr="0041322E">
        <w:rPr>
          <w:rStyle w:val="apple-converted-space"/>
          <w:sz w:val="16"/>
          <w:szCs w:val="16"/>
        </w:rPr>
        <w:t> </w:t>
      </w:r>
      <w:r w:rsidRPr="0041322E">
        <w:rPr>
          <w:rStyle w:val="Emphasis"/>
          <w:sz w:val="16"/>
          <w:szCs w:val="16"/>
        </w:rPr>
        <w:t>AMA Journal of Ethics, 26</w:t>
      </w:r>
      <w:r w:rsidRPr="0041322E">
        <w:rPr>
          <w:sz w:val="16"/>
          <w:szCs w:val="16"/>
        </w:rPr>
        <w:t>(2), 147–152.</w:t>
      </w:r>
      <w:r w:rsidRPr="0041322E">
        <w:rPr>
          <w:rStyle w:val="apple-converted-space"/>
          <w:sz w:val="16"/>
          <w:szCs w:val="16"/>
        </w:rPr>
        <w:t> </w:t>
      </w:r>
      <w:hyperlink r:id="rId20" w:tgtFrame="_new" w:history="1">
        <w:r w:rsidRPr="0041322E">
          <w:rPr>
            <w:rStyle w:val="Hyperlink"/>
            <w:sz w:val="16"/>
            <w:szCs w:val="16"/>
          </w:rPr>
          <w:t>https://doi.org/10.1001/amajethics.2024.147</w:t>
        </w:r>
      </w:hyperlink>
    </w:p>
    <w:p w14:paraId="76ABCD0C" w14:textId="77777777" w:rsidR="004365A5" w:rsidRPr="0041322E" w:rsidRDefault="004365A5" w:rsidP="004365A5">
      <w:pPr>
        <w:pStyle w:val="NormalWeb"/>
        <w:numPr>
          <w:ilvl w:val="0"/>
          <w:numId w:val="55"/>
        </w:numPr>
        <w:rPr>
          <w:sz w:val="16"/>
          <w:szCs w:val="16"/>
        </w:rPr>
      </w:pPr>
      <w:r w:rsidRPr="0041322E">
        <w:rPr>
          <w:sz w:val="16"/>
          <w:szCs w:val="16"/>
        </w:rPr>
        <w:t>Cleofas, J. V. (2024). Family, friends, school and nation: Socio-ecological determinants of mental health among Filipino college students post-lockdown.</w:t>
      </w:r>
      <w:r w:rsidRPr="0041322E">
        <w:rPr>
          <w:rStyle w:val="apple-converted-space"/>
          <w:sz w:val="16"/>
          <w:szCs w:val="16"/>
        </w:rPr>
        <w:t> </w:t>
      </w:r>
      <w:r w:rsidRPr="0041322E">
        <w:rPr>
          <w:rStyle w:val="Emphasis"/>
          <w:sz w:val="16"/>
          <w:szCs w:val="16"/>
        </w:rPr>
        <w:t>International Social Science Journal, 74</w:t>
      </w:r>
      <w:r w:rsidRPr="0041322E">
        <w:rPr>
          <w:sz w:val="16"/>
          <w:szCs w:val="16"/>
        </w:rPr>
        <w:t>(252), 319–338.</w:t>
      </w:r>
      <w:r w:rsidRPr="0041322E">
        <w:rPr>
          <w:rStyle w:val="apple-converted-space"/>
          <w:sz w:val="16"/>
          <w:szCs w:val="16"/>
        </w:rPr>
        <w:t> </w:t>
      </w:r>
      <w:hyperlink r:id="rId21" w:tgtFrame="_new" w:history="1">
        <w:r w:rsidRPr="0041322E">
          <w:rPr>
            <w:rStyle w:val="Hyperlink"/>
            <w:sz w:val="16"/>
            <w:szCs w:val="16"/>
          </w:rPr>
          <w:t>https://doi.org/10.1111/issj.12459</w:t>
        </w:r>
      </w:hyperlink>
    </w:p>
    <w:p w14:paraId="37E63D9F" w14:textId="77777777" w:rsidR="004365A5" w:rsidRPr="0041322E" w:rsidRDefault="004365A5" w:rsidP="004365A5">
      <w:pPr>
        <w:pStyle w:val="NormalWeb"/>
        <w:numPr>
          <w:ilvl w:val="0"/>
          <w:numId w:val="55"/>
        </w:numPr>
        <w:rPr>
          <w:sz w:val="16"/>
          <w:szCs w:val="16"/>
        </w:rPr>
      </w:pPr>
      <w:r w:rsidRPr="0041322E">
        <w:rPr>
          <w:sz w:val="16"/>
          <w:szCs w:val="16"/>
        </w:rPr>
        <w:t>Crosse, A. M., Lavelle, M. J., Fahy, F., &amp; Barry, M. M. (2025). Participatory research on community knowledge of health, ecosystem services, and sustainability.</w:t>
      </w:r>
      <w:r w:rsidRPr="0041322E">
        <w:rPr>
          <w:rStyle w:val="apple-converted-space"/>
          <w:sz w:val="16"/>
          <w:szCs w:val="16"/>
        </w:rPr>
        <w:t> </w:t>
      </w:r>
      <w:r w:rsidRPr="0041322E">
        <w:rPr>
          <w:rStyle w:val="Emphasis"/>
          <w:sz w:val="16"/>
          <w:szCs w:val="16"/>
        </w:rPr>
        <w:t>GAIA - Ecological Perspectives for Science and Society, 34</w:t>
      </w:r>
      <w:r w:rsidRPr="0041322E">
        <w:rPr>
          <w:sz w:val="16"/>
          <w:szCs w:val="16"/>
        </w:rPr>
        <w:t>(1), 17–24.</w:t>
      </w:r>
      <w:r>
        <w:rPr>
          <w:rStyle w:val="apple-converted-space"/>
          <w:rFonts w:eastAsiaTheme="majorEastAsia"/>
          <w:sz w:val="16"/>
          <w:szCs w:val="16"/>
        </w:rPr>
        <w:t xml:space="preserve"> </w:t>
      </w:r>
      <w:hyperlink r:id="rId22" w:tgtFrame="_new" w:history="1">
        <w:r w:rsidRPr="0041322E">
          <w:rPr>
            <w:rStyle w:val="Hyperlink"/>
            <w:sz w:val="16"/>
            <w:szCs w:val="16"/>
          </w:rPr>
          <w:t>https://doi.org/10.14512/gaia.34.1.7</w:t>
        </w:r>
      </w:hyperlink>
      <w:r w:rsidRPr="0041322E">
        <w:rPr>
          <w:sz w:val="16"/>
          <w:szCs w:val="16"/>
        </w:rPr>
        <w:t xml:space="preserve"> </w:t>
      </w:r>
    </w:p>
    <w:p w14:paraId="16D6C4C5" w14:textId="77777777" w:rsidR="004365A5" w:rsidRPr="0041322E" w:rsidRDefault="004365A5" w:rsidP="004365A5">
      <w:pPr>
        <w:pStyle w:val="NormalWeb"/>
        <w:numPr>
          <w:ilvl w:val="0"/>
          <w:numId w:val="55"/>
        </w:numPr>
        <w:rPr>
          <w:sz w:val="16"/>
          <w:szCs w:val="16"/>
        </w:rPr>
      </w:pPr>
      <w:r w:rsidRPr="0041322E">
        <w:rPr>
          <w:sz w:val="16"/>
          <w:szCs w:val="16"/>
        </w:rPr>
        <w:t xml:space="preserve">Cruz-Alegría, I. Y., Santos-Hernández, N. G., Ruiz-Castillejos, C., Ruán-Soto, J. F., Moreno-Rodríguez, A., Flores-Villegas, A. L., </w:t>
      </w:r>
      <w:r>
        <w:rPr>
          <w:sz w:val="16"/>
          <w:szCs w:val="16"/>
        </w:rPr>
        <w:t>et al</w:t>
      </w:r>
      <w:r w:rsidRPr="0041322E">
        <w:rPr>
          <w:sz w:val="16"/>
          <w:szCs w:val="16"/>
        </w:rPr>
        <w:t>. (2024</w:t>
      </w:r>
      <w:r>
        <w:rPr>
          <w:sz w:val="16"/>
          <w:szCs w:val="16"/>
        </w:rPr>
        <w:t>)</w:t>
      </w:r>
      <w:r w:rsidRPr="0041322E">
        <w:rPr>
          <w:sz w:val="16"/>
          <w:szCs w:val="16"/>
        </w:rPr>
        <w:t>. Ecoepidemiology of Chagas disease in a biological corridor in southeastern Mexico: A promising approach to understand the risk</w:t>
      </w:r>
      <w:r>
        <w:rPr>
          <w:sz w:val="16"/>
          <w:szCs w:val="16"/>
        </w:rPr>
        <w:t xml:space="preserve"> </w:t>
      </w:r>
      <w:r w:rsidRPr="0041322E">
        <w:rPr>
          <w:sz w:val="16"/>
          <w:szCs w:val="16"/>
        </w:rPr>
        <w:t>of Chagas disease.</w:t>
      </w:r>
      <w:r w:rsidRPr="0041322E">
        <w:rPr>
          <w:rStyle w:val="apple-converted-space"/>
          <w:sz w:val="16"/>
          <w:szCs w:val="16"/>
        </w:rPr>
        <w:t> </w:t>
      </w:r>
      <w:r w:rsidRPr="0041322E">
        <w:rPr>
          <w:rStyle w:val="Emphasis"/>
          <w:sz w:val="16"/>
          <w:szCs w:val="16"/>
        </w:rPr>
        <w:t>Journal of Parasitology Research, 2024</w:t>
      </w:r>
      <w:r w:rsidRPr="0041322E">
        <w:rPr>
          <w:sz w:val="16"/>
          <w:szCs w:val="16"/>
        </w:rPr>
        <w:t>, 4775361.</w:t>
      </w:r>
      <w:r w:rsidRPr="0041322E">
        <w:rPr>
          <w:rStyle w:val="apple-converted-space"/>
          <w:sz w:val="16"/>
          <w:szCs w:val="16"/>
        </w:rPr>
        <w:t> </w:t>
      </w:r>
      <w:hyperlink r:id="rId23" w:tgtFrame="_new" w:history="1">
        <w:r w:rsidRPr="0041322E">
          <w:rPr>
            <w:rStyle w:val="Hyperlink"/>
            <w:sz w:val="16"/>
            <w:szCs w:val="16"/>
          </w:rPr>
          <w:t>https://doi.org/10.1155/2024/4775361</w:t>
        </w:r>
      </w:hyperlink>
    </w:p>
    <w:p w14:paraId="48478266" w14:textId="77777777" w:rsidR="004365A5" w:rsidRPr="0041322E" w:rsidRDefault="004365A5" w:rsidP="004365A5">
      <w:pPr>
        <w:pStyle w:val="NormalWeb"/>
        <w:numPr>
          <w:ilvl w:val="0"/>
          <w:numId w:val="55"/>
        </w:numPr>
        <w:rPr>
          <w:sz w:val="16"/>
          <w:szCs w:val="16"/>
        </w:rPr>
      </w:pPr>
      <w:r w:rsidRPr="0041322E">
        <w:rPr>
          <w:sz w:val="16"/>
          <w:szCs w:val="16"/>
        </w:rPr>
        <w:t>Dasgupta, R., Roy, S., Lakhanpaul, M., &amp; PANChSHEEEL Project Team. (2020). An uphill task for POSHAN Abhiyan: Examining the missing link of 'convergence'.</w:t>
      </w:r>
      <w:r w:rsidRPr="0041322E">
        <w:rPr>
          <w:rStyle w:val="apple-converted-space"/>
          <w:sz w:val="16"/>
          <w:szCs w:val="16"/>
        </w:rPr>
        <w:t> </w:t>
      </w:r>
      <w:r w:rsidRPr="0041322E">
        <w:rPr>
          <w:rStyle w:val="Emphasis"/>
          <w:sz w:val="16"/>
          <w:szCs w:val="16"/>
        </w:rPr>
        <w:t>Indian Pediatrics, 57</w:t>
      </w:r>
      <w:r w:rsidRPr="0041322E">
        <w:rPr>
          <w:sz w:val="16"/>
          <w:szCs w:val="16"/>
        </w:rPr>
        <w:t>(2), 109–113.</w:t>
      </w:r>
    </w:p>
    <w:p w14:paraId="7A624BCF" w14:textId="77777777" w:rsidR="004365A5" w:rsidRPr="0041322E" w:rsidRDefault="004365A5" w:rsidP="004365A5">
      <w:pPr>
        <w:pStyle w:val="NormalWeb"/>
        <w:numPr>
          <w:ilvl w:val="0"/>
          <w:numId w:val="55"/>
        </w:numPr>
        <w:rPr>
          <w:sz w:val="16"/>
          <w:szCs w:val="16"/>
        </w:rPr>
      </w:pPr>
      <w:r w:rsidRPr="0041322E">
        <w:rPr>
          <w:sz w:val="16"/>
          <w:szCs w:val="16"/>
        </w:rPr>
        <w:t>David, L. R. (2020).</w:t>
      </w:r>
      <w:r w:rsidRPr="0041322E">
        <w:rPr>
          <w:rStyle w:val="apple-converted-space"/>
          <w:sz w:val="16"/>
          <w:szCs w:val="16"/>
        </w:rPr>
        <w:t> </w:t>
      </w:r>
      <w:r w:rsidRPr="0041322E">
        <w:rPr>
          <w:rStyle w:val="Emphasis"/>
          <w:sz w:val="16"/>
          <w:szCs w:val="16"/>
        </w:rPr>
        <w:t>A qualitative study to critically explore the socio-ecological determinants influencing screening mammography uptake amongst Kerala migrant women in the United Arab Emirates</w:t>
      </w:r>
      <w:r w:rsidRPr="0041322E">
        <w:rPr>
          <w:rStyle w:val="apple-converted-space"/>
          <w:sz w:val="16"/>
          <w:szCs w:val="16"/>
        </w:rPr>
        <w:t> </w:t>
      </w:r>
      <w:r w:rsidRPr="0041322E">
        <w:rPr>
          <w:sz w:val="16"/>
          <w:szCs w:val="16"/>
        </w:rPr>
        <w:t>(Unpublished doctoral thesis). University of Salford, United Kingdom.</w:t>
      </w:r>
      <w:r w:rsidRPr="0041322E">
        <w:rPr>
          <w:rStyle w:val="apple-converted-space"/>
          <w:sz w:val="16"/>
          <w:szCs w:val="16"/>
        </w:rPr>
        <w:t> </w:t>
      </w:r>
      <w:r w:rsidRPr="0041322E">
        <w:rPr>
          <w:sz w:val="16"/>
          <w:szCs w:val="16"/>
        </w:rPr>
        <w:t>https://salford-repository.worktribe.com/output/1353628</w:t>
      </w:r>
    </w:p>
    <w:p w14:paraId="28032C5A" w14:textId="77777777" w:rsidR="004365A5" w:rsidRPr="0041322E" w:rsidRDefault="004365A5" w:rsidP="004365A5">
      <w:pPr>
        <w:pStyle w:val="NormalWeb"/>
        <w:numPr>
          <w:ilvl w:val="0"/>
          <w:numId w:val="55"/>
        </w:numPr>
        <w:rPr>
          <w:sz w:val="16"/>
          <w:szCs w:val="16"/>
        </w:rPr>
      </w:pPr>
      <w:r w:rsidRPr="0041322E">
        <w:rPr>
          <w:sz w:val="16"/>
          <w:szCs w:val="16"/>
        </w:rPr>
        <w:t>David, L. R., Murphy, F., Guraya, S. S., &amp; Abuzaid, M. M. (2023). Community and policy factors influencing the decision to undergo screening mammography amongst Indian women in the United Arab Emirates.</w:t>
      </w:r>
      <w:r w:rsidRPr="0041322E">
        <w:rPr>
          <w:rStyle w:val="apple-converted-space"/>
          <w:sz w:val="16"/>
          <w:szCs w:val="16"/>
        </w:rPr>
        <w:t> </w:t>
      </w:r>
      <w:r w:rsidRPr="0041322E">
        <w:rPr>
          <w:rStyle w:val="Emphasis"/>
          <w:sz w:val="16"/>
          <w:szCs w:val="16"/>
        </w:rPr>
        <w:t>Asian Pacific Journal of Cancer Prevention, 24</w:t>
      </w:r>
      <w:r w:rsidRPr="0041322E">
        <w:rPr>
          <w:sz w:val="16"/>
          <w:szCs w:val="16"/>
        </w:rPr>
        <w:t>(1), 307–312.</w:t>
      </w:r>
      <w:r w:rsidRPr="0041322E">
        <w:rPr>
          <w:rStyle w:val="apple-converted-space"/>
          <w:sz w:val="16"/>
          <w:szCs w:val="16"/>
        </w:rPr>
        <w:t> </w:t>
      </w:r>
      <w:hyperlink r:id="rId24" w:tgtFrame="_new" w:history="1">
        <w:r w:rsidRPr="0041322E">
          <w:rPr>
            <w:rStyle w:val="Hyperlink"/>
            <w:sz w:val="16"/>
            <w:szCs w:val="16"/>
          </w:rPr>
          <w:t>https://doi.org/10.31557/APJCP.2023.24.1.307</w:t>
        </w:r>
      </w:hyperlink>
    </w:p>
    <w:p w14:paraId="1CC93E9B" w14:textId="77777777" w:rsidR="004365A5" w:rsidRPr="0041322E" w:rsidRDefault="004365A5" w:rsidP="004365A5">
      <w:pPr>
        <w:pStyle w:val="NormalWeb"/>
        <w:numPr>
          <w:ilvl w:val="0"/>
          <w:numId w:val="55"/>
        </w:numPr>
        <w:rPr>
          <w:sz w:val="16"/>
          <w:szCs w:val="16"/>
        </w:rPr>
      </w:pPr>
      <w:r w:rsidRPr="0041322E">
        <w:rPr>
          <w:sz w:val="16"/>
          <w:szCs w:val="16"/>
        </w:rPr>
        <w:t>Davis, J. P., Dumas, T. M., Wagner, E. F., &amp; Merrin, G. J. (2016). Social ecological determinants of substance use treatment entry among serious juvenile offenders from adolescence through emerging adulthood.</w:t>
      </w:r>
      <w:r w:rsidRPr="0041322E">
        <w:rPr>
          <w:rStyle w:val="apple-converted-space"/>
          <w:sz w:val="16"/>
          <w:szCs w:val="16"/>
        </w:rPr>
        <w:t> </w:t>
      </w:r>
      <w:r w:rsidRPr="0041322E">
        <w:rPr>
          <w:rStyle w:val="Emphasis"/>
          <w:sz w:val="16"/>
          <w:szCs w:val="16"/>
        </w:rPr>
        <w:t>Journal of Substance Abuse Treatment, 71</w:t>
      </w:r>
      <w:r w:rsidRPr="0041322E">
        <w:rPr>
          <w:sz w:val="16"/>
          <w:szCs w:val="16"/>
        </w:rPr>
        <w:t>, 8–15.</w:t>
      </w:r>
      <w:r w:rsidRPr="0041322E">
        <w:rPr>
          <w:rStyle w:val="apple-converted-space"/>
          <w:sz w:val="16"/>
          <w:szCs w:val="16"/>
        </w:rPr>
        <w:t> </w:t>
      </w:r>
      <w:hyperlink r:id="rId25" w:tgtFrame="_new" w:history="1">
        <w:r w:rsidRPr="0041322E">
          <w:rPr>
            <w:rStyle w:val="Hyperlink"/>
            <w:sz w:val="16"/>
            <w:szCs w:val="16"/>
          </w:rPr>
          <w:t>https://doi.org/10.1016/j.jsat.2016.08.004</w:t>
        </w:r>
      </w:hyperlink>
    </w:p>
    <w:p w14:paraId="6F7385D7" w14:textId="77777777" w:rsidR="004365A5" w:rsidRDefault="004365A5" w:rsidP="004365A5">
      <w:pPr>
        <w:pStyle w:val="NormalWeb"/>
        <w:numPr>
          <w:ilvl w:val="0"/>
          <w:numId w:val="55"/>
        </w:numPr>
        <w:rPr>
          <w:sz w:val="16"/>
          <w:szCs w:val="16"/>
        </w:rPr>
      </w:pPr>
      <w:r w:rsidRPr="0041322E">
        <w:rPr>
          <w:sz w:val="16"/>
          <w:szCs w:val="16"/>
        </w:rPr>
        <w:t xml:space="preserve">DeBate, R., Jarvis, J. E., Perez, J., Jones, R., Himmelgreen, D., Conner, K., </w:t>
      </w:r>
      <w:r>
        <w:rPr>
          <w:sz w:val="16"/>
          <w:szCs w:val="16"/>
        </w:rPr>
        <w:t>et al</w:t>
      </w:r>
      <w:r w:rsidRPr="0041322E">
        <w:rPr>
          <w:sz w:val="16"/>
          <w:szCs w:val="16"/>
        </w:rPr>
        <w:t>. (2025). Socio-ecological determinants of food pantry use among food insecure racially and ethnically diverse college students.</w:t>
      </w:r>
      <w:r w:rsidRPr="0041322E">
        <w:rPr>
          <w:rStyle w:val="apple-converted-space"/>
          <w:sz w:val="16"/>
          <w:szCs w:val="16"/>
        </w:rPr>
        <w:t> </w:t>
      </w:r>
      <w:r w:rsidRPr="0041322E">
        <w:rPr>
          <w:rStyle w:val="Emphasis"/>
          <w:sz w:val="16"/>
          <w:szCs w:val="16"/>
        </w:rPr>
        <w:t>American Journal of Lifestyle Medicine.</w:t>
      </w:r>
      <w:r w:rsidRPr="0041322E">
        <w:rPr>
          <w:rStyle w:val="apple-converted-space"/>
          <w:sz w:val="16"/>
          <w:szCs w:val="16"/>
        </w:rPr>
        <w:t> </w:t>
      </w:r>
      <w:hyperlink r:id="rId26" w:tgtFrame="_new" w:history="1">
        <w:r w:rsidRPr="0041322E">
          <w:rPr>
            <w:rStyle w:val="Hyperlink"/>
            <w:sz w:val="16"/>
            <w:szCs w:val="16"/>
          </w:rPr>
          <w:t>https://doi.org/10.1177/15598276251351585</w:t>
        </w:r>
      </w:hyperlink>
    </w:p>
    <w:p w14:paraId="3DE27886" w14:textId="77777777" w:rsidR="004365A5" w:rsidRPr="0041322E" w:rsidRDefault="004365A5" w:rsidP="004365A5">
      <w:pPr>
        <w:pStyle w:val="NormalWeb"/>
        <w:numPr>
          <w:ilvl w:val="0"/>
          <w:numId w:val="55"/>
        </w:numPr>
        <w:rPr>
          <w:sz w:val="16"/>
          <w:szCs w:val="16"/>
        </w:rPr>
      </w:pPr>
      <w:r w:rsidRPr="0041322E">
        <w:rPr>
          <w:sz w:val="16"/>
          <w:szCs w:val="16"/>
        </w:rPr>
        <w:t>Derigny, T., Potdevin, F., Gandrieau, J., Porrovecchio, A., Lléna, C., &amp; Schnitzler, C. (2023). Exploration of socio-ecological variables to protect against physical activity dropout during lockdown.</w:t>
      </w:r>
      <w:r w:rsidRPr="0041322E">
        <w:rPr>
          <w:rStyle w:val="apple-converted-space"/>
          <w:rFonts w:eastAsiaTheme="majorEastAsia"/>
          <w:sz w:val="16"/>
          <w:szCs w:val="16"/>
        </w:rPr>
        <w:t> </w:t>
      </w:r>
      <w:r w:rsidRPr="0041322E">
        <w:rPr>
          <w:rStyle w:val="Emphasis"/>
          <w:rFonts w:eastAsiaTheme="majorEastAsia"/>
          <w:sz w:val="16"/>
          <w:szCs w:val="16"/>
        </w:rPr>
        <w:t>Journal of Physical Education and Sport, 23</w:t>
      </w:r>
      <w:r w:rsidRPr="0041322E">
        <w:rPr>
          <w:sz w:val="16"/>
          <w:szCs w:val="16"/>
        </w:rPr>
        <w:t>(1), 229–236.</w:t>
      </w:r>
      <w:r w:rsidRPr="0041322E">
        <w:rPr>
          <w:rStyle w:val="apple-converted-space"/>
          <w:rFonts w:eastAsiaTheme="majorEastAsia"/>
          <w:sz w:val="16"/>
          <w:szCs w:val="16"/>
        </w:rPr>
        <w:t> </w:t>
      </w:r>
      <w:hyperlink r:id="rId27" w:tgtFrame="_new" w:history="1">
        <w:r w:rsidRPr="0041322E">
          <w:rPr>
            <w:rStyle w:val="Hyperlink"/>
            <w:rFonts w:eastAsiaTheme="majorEastAsia"/>
            <w:sz w:val="16"/>
            <w:szCs w:val="16"/>
          </w:rPr>
          <w:t>https://doi.org/10.7752/jpes.2023.01028</w:t>
        </w:r>
      </w:hyperlink>
    </w:p>
    <w:p w14:paraId="34368A6B" w14:textId="77777777" w:rsidR="004365A5" w:rsidRPr="0041322E" w:rsidRDefault="004365A5" w:rsidP="004365A5">
      <w:pPr>
        <w:pStyle w:val="NormalWeb"/>
        <w:numPr>
          <w:ilvl w:val="0"/>
          <w:numId w:val="55"/>
        </w:numPr>
        <w:rPr>
          <w:sz w:val="16"/>
          <w:szCs w:val="16"/>
        </w:rPr>
      </w:pPr>
      <w:r w:rsidRPr="0041322E">
        <w:rPr>
          <w:sz w:val="16"/>
          <w:szCs w:val="16"/>
        </w:rPr>
        <w:t>Dias, S. F., Gaspar de Matos, M. G., &amp; Gonçalves, A. C. (2005). Preventing HIV transmission in adolescents: An analysis of the Portuguese data from the Health Behaviour in School-aged Children study and focus groups.</w:t>
      </w:r>
      <w:r w:rsidRPr="0041322E">
        <w:rPr>
          <w:rStyle w:val="apple-converted-space"/>
          <w:sz w:val="16"/>
          <w:szCs w:val="16"/>
        </w:rPr>
        <w:t> </w:t>
      </w:r>
      <w:r w:rsidRPr="0041322E">
        <w:rPr>
          <w:rStyle w:val="Emphasis"/>
          <w:sz w:val="16"/>
          <w:szCs w:val="16"/>
        </w:rPr>
        <w:t>European Journal of Public Health, 15</w:t>
      </w:r>
      <w:r w:rsidRPr="0041322E">
        <w:rPr>
          <w:sz w:val="16"/>
          <w:szCs w:val="16"/>
        </w:rPr>
        <w:t>(3), 300–304.</w:t>
      </w:r>
      <w:r w:rsidRPr="0041322E">
        <w:rPr>
          <w:rStyle w:val="apple-converted-space"/>
          <w:sz w:val="16"/>
          <w:szCs w:val="16"/>
        </w:rPr>
        <w:t> </w:t>
      </w:r>
      <w:hyperlink r:id="rId28" w:tgtFrame="_new" w:history="1">
        <w:r w:rsidRPr="0041322E">
          <w:rPr>
            <w:rStyle w:val="Hyperlink"/>
            <w:sz w:val="16"/>
            <w:szCs w:val="16"/>
          </w:rPr>
          <w:t>https://doi.org/10.1093/eurpub/cki085</w:t>
        </w:r>
      </w:hyperlink>
    </w:p>
    <w:p w14:paraId="2B68E744" w14:textId="77777777" w:rsidR="004365A5" w:rsidRPr="0041322E" w:rsidRDefault="004365A5" w:rsidP="004365A5">
      <w:pPr>
        <w:pStyle w:val="NormalWeb"/>
        <w:numPr>
          <w:ilvl w:val="0"/>
          <w:numId w:val="55"/>
        </w:numPr>
        <w:rPr>
          <w:sz w:val="16"/>
          <w:szCs w:val="16"/>
        </w:rPr>
      </w:pPr>
      <w:r w:rsidRPr="0041322E">
        <w:rPr>
          <w:sz w:val="16"/>
          <w:szCs w:val="16"/>
        </w:rPr>
        <w:t>Diaz, P. I. (2012). Microbial diversity and interactions in subgingival biofilm communities.</w:t>
      </w:r>
      <w:r w:rsidRPr="0041322E">
        <w:rPr>
          <w:rStyle w:val="apple-converted-space"/>
          <w:sz w:val="16"/>
          <w:szCs w:val="16"/>
        </w:rPr>
        <w:t> </w:t>
      </w:r>
      <w:r w:rsidRPr="0041322E">
        <w:rPr>
          <w:rStyle w:val="Emphasis"/>
          <w:sz w:val="16"/>
          <w:szCs w:val="16"/>
        </w:rPr>
        <w:t>Frontiers of Oral Biology, 15</w:t>
      </w:r>
      <w:r w:rsidRPr="0041322E">
        <w:rPr>
          <w:sz w:val="16"/>
          <w:szCs w:val="16"/>
        </w:rPr>
        <w:t>, 17–40.</w:t>
      </w:r>
      <w:r w:rsidRPr="0041322E">
        <w:rPr>
          <w:rStyle w:val="apple-converted-space"/>
          <w:sz w:val="16"/>
          <w:szCs w:val="16"/>
        </w:rPr>
        <w:t> </w:t>
      </w:r>
      <w:hyperlink r:id="rId29" w:tgtFrame="_new" w:history="1">
        <w:r w:rsidRPr="0041322E">
          <w:rPr>
            <w:rStyle w:val="Hyperlink"/>
            <w:sz w:val="16"/>
            <w:szCs w:val="16"/>
          </w:rPr>
          <w:t>https://doi.org/10.1159/000329669</w:t>
        </w:r>
      </w:hyperlink>
    </w:p>
    <w:p w14:paraId="727CDE9D" w14:textId="77777777" w:rsidR="004365A5" w:rsidRPr="0041322E" w:rsidRDefault="004365A5" w:rsidP="004365A5">
      <w:pPr>
        <w:pStyle w:val="NormalWeb"/>
        <w:numPr>
          <w:ilvl w:val="0"/>
          <w:numId w:val="55"/>
        </w:numPr>
        <w:rPr>
          <w:sz w:val="16"/>
          <w:szCs w:val="16"/>
        </w:rPr>
      </w:pPr>
      <w:r w:rsidRPr="0041322E">
        <w:rPr>
          <w:sz w:val="16"/>
          <w:szCs w:val="16"/>
        </w:rPr>
        <w:lastRenderedPageBreak/>
        <w:t>Ding, W., Kang, Y., &amp; Mubayi, A. (2021). Special issue: Mathematical modeling and analysis of social and ecological determinants for the dynamics of infectious diseases and public health policies.</w:t>
      </w:r>
      <w:r w:rsidRPr="0041322E">
        <w:rPr>
          <w:rStyle w:val="apple-converted-space"/>
          <w:sz w:val="16"/>
          <w:szCs w:val="16"/>
        </w:rPr>
        <w:t> </w:t>
      </w:r>
      <w:r w:rsidRPr="0041322E">
        <w:rPr>
          <w:rStyle w:val="Emphasis"/>
          <w:sz w:val="16"/>
          <w:szCs w:val="16"/>
        </w:rPr>
        <w:t>Mathematical Biosciences and Engineering, 18</w:t>
      </w:r>
      <w:r w:rsidRPr="0041322E">
        <w:rPr>
          <w:sz w:val="16"/>
          <w:szCs w:val="16"/>
        </w:rPr>
        <w:t>(6), 8535–8537.</w:t>
      </w:r>
      <w:r w:rsidRPr="0041322E">
        <w:rPr>
          <w:rStyle w:val="apple-converted-space"/>
          <w:sz w:val="16"/>
          <w:szCs w:val="16"/>
        </w:rPr>
        <w:t> </w:t>
      </w:r>
      <w:hyperlink r:id="rId30" w:tgtFrame="_new" w:history="1">
        <w:r w:rsidRPr="0041322E">
          <w:rPr>
            <w:rStyle w:val="Hyperlink"/>
            <w:sz w:val="16"/>
            <w:szCs w:val="16"/>
          </w:rPr>
          <w:t>https://doi.org/10.3934/mbe.2021422</w:t>
        </w:r>
      </w:hyperlink>
    </w:p>
    <w:p w14:paraId="3B750EBE" w14:textId="77777777" w:rsidR="004365A5" w:rsidRPr="0041322E" w:rsidRDefault="004365A5" w:rsidP="004365A5">
      <w:pPr>
        <w:pStyle w:val="NormalWeb"/>
        <w:numPr>
          <w:ilvl w:val="0"/>
          <w:numId w:val="55"/>
        </w:numPr>
        <w:rPr>
          <w:sz w:val="16"/>
          <w:szCs w:val="16"/>
        </w:rPr>
      </w:pPr>
      <w:r w:rsidRPr="0041322E">
        <w:rPr>
          <w:sz w:val="16"/>
          <w:szCs w:val="16"/>
        </w:rPr>
        <w:t xml:space="preserve">Dolling-Boreham, R. M., Mohan, A., Abdelhack, M., Elton-Marshall, T., Hamilton, H. A., Paglia-Boak, A., </w:t>
      </w:r>
      <w:r>
        <w:rPr>
          <w:sz w:val="16"/>
          <w:szCs w:val="16"/>
        </w:rPr>
        <w:t>et al</w:t>
      </w:r>
      <w:r w:rsidRPr="0041322E">
        <w:rPr>
          <w:sz w:val="16"/>
          <w:szCs w:val="16"/>
        </w:rPr>
        <w:t>. (2024). Identifying psychosocial and ecological determinants of enthusiasm in youth: Integrative cross-sectional analysis using machine learning.</w:t>
      </w:r>
      <w:r w:rsidRPr="0041322E">
        <w:rPr>
          <w:rStyle w:val="apple-converted-space"/>
          <w:sz w:val="16"/>
          <w:szCs w:val="16"/>
        </w:rPr>
        <w:t> </w:t>
      </w:r>
      <w:r w:rsidRPr="0041322E">
        <w:rPr>
          <w:rStyle w:val="Emphasis"/>
          <w:sz w:val="16"/>
          <w:szCs w:val="16"/>
        </w:rPr>
        <w:t>JMIR Public Health and Surveillance, 10</w:t>
      </w:r>
      <w:r w:rsidRPr="0041322E">
        <w:rPr>
          <w:sz w:val="16"/>
          <w:szCs w:val="16"/>
        </w:rPr>
        <w:t>, e48705.</w:t>
      </w:r>
      <w:r w:rsidRPr="0041322E">
        <w:rPr>
          <w:rStyle w:val="apple-converted-space"/>
          <w:sz w:val="16"/>
          <w:szCs w:val="16"/>
        </w:rPr>
        <w:t> </w:t>
      </w:r>
      <w:hyperlink r:id="rId31" w:tgtFrame="_new" w:history="1">
        <w:r w:rsidRPr="0041322E">
          <w:rPr>
            <w:rStyle w:val="Hyperlink"/>
            <w:sz w:val="16"/>
            <w:szCs w:val="16"/>
          </w:rPr>
          <w:t>https://doi.org/10.2196/48705</w:t>
        </w:r>
      </w:hyperlink>
    </w:p>
    <w:p w14:paraId="14C36378" w14:textId="77777777" w:rsidR="004365A5" w:rsidRPr="0041322E" w:rsidRDefault="004365A5" w:rsidP="004365A5">
      <w:pPr>
        <w:pStyle w:val="NormalWeb"/>
        <w:numPr>
          <w:ilvl w:val="0"/>
          <w:numId w:val="55"/>
        </w:numPr>
        <w:rPr>
          <w:sz w:val="16"/>
          <w:szCs w:val="16"/>
        </w:rPr>
      </w:pPr>
      <w:r w:rsidRPr="0041322E">
        <w:rPr>
          <w:sz w:val="16"/>
          <w:szCs w:val="16"/>
        </w:rPr>
        <w:t>Dugan, K. F., Hidde, M. C., Chard, C. A., Graham, D. J., Withycombe, J. S., &amp; Leach, H. J. (2021). Exploring social ecological determinants of physical activity among adult survivors of childhood cancer.</w:t>
      </w:r>
      <w:r w:rsidRPr="0041322E">
        <w:rPr>
          <w:rStyle w:val="apple-converted-space"/>
          <w:sz w:val="16"/>
          <w:szCs w:val="16"/>
        </w:rPr>
        <w:t> </w:t>
      </w:r>
      <w:r w:rsidRPr="0041322E">
        <w:rPr>
          <w:rStyle w:val="Emphasis"/>
          <w:sz w:val="16"/>
          <w:szCs w:val="16"/>
        </w:rPr>
        <w:t>Journal of Adolescent and Young Adult Oncology, 10</w:t>
      </w:r>
      <w:r w:rsidRPr="0041322E">
        <w:rPr>
          <w:sz w:val="16"/>
          <w:szCs w:val="16"/>
        </w:rPr>
        <w:t>(3), 316–325.</w:t>
      </w:r>
      <w:r w:rsidRPr="0041322E">
        <w:rPr>
          <w:rStyle w:val="apple-converted-space"/>
          <w:sz w:val="16"/>
          <w:szCs w:val="16"/>
        </w:rPr>
        <w:t> </w:t>
      </w:r>
      <w:hyperlink r:id="rId32" w:tgtFrame="_new" w:history="1">
        <w:r w:rsidRPr="0041322E">
          <w:rPr>
            <w:rStyle w:val="Hyperlink"/>
            <w:sz w:val="16"/>
            <w:szCs w:val="16"/>
          </w:rPr>
          <w:t>https://doi.org/10.1089/jayao.2019.0169</w:t>
        </w:r>
      </w:hyperlink>
    </w:p>
    <w:p w14:paraId="26CBC145" w14:textId="77777777" w:rsidR="004365A5" w:rsidRPr="0041322E" w:rsidRDefault="004365A5" w:rsidP="004365A5">
      <w:pPr>
        <w:pStyle w:val="NormalWeb"/>
        <w:numPr>
          <w:ilvl w:val="0"/>
          <w:numId w:val="55"/>
        </w:numPr>
        <w:rPr>
          <w:sz w:val="16"/>
          <w:szCs w:val="16"/>
        </w:rPr>
      </w:pPr>
      <w:r w:rsidRPr="0041322E">
        <w:rPr>
          <w:sz w:val="16"/>
          <w:szCs w:val="16"/>
        </w:rPr>
        <w:t xml:space="preserve">Efon-Ekangouo, A., Nana-Djeunga, H. C., Nwane, P. B., Nzune-Toche, N., Sondi-Dissake, J. C., Sempéré, G., </w:t>
      </w:r>
      <w:r>
        <w:rPr>
          <w:sz w:val="16"/>
          <w:szCs w:val="16"/>
        </w:rPr>
        <w:t>et al</w:t>
      </w:r>
      <w:r w:rsidRPr="0041322E">
        <w:rPr>
          <w:sz w:val="16"/>
          <w:szCs w:val="16"/>
        </w:rPr>
        <w:t>. (2024). Spatial and temporal diversity of</w:t>
      </w:r>
      <w:r w:rsidRPr="0041322E">
        <w:rPr>
          <w:rStyle w:val="apple-converted-space"/>
          <w:sz w:val="16"/>
          <w:szCs w:val="16"/>
        </w:rPr>
        <w:t> </w:t>
      </w:r>
      <w:r w:rsidRPr="0041322E">
        <w:rPr>
          <w:rStyle w:val="Emphasis"/>
          <w:sz w:val="16"/>
          <w:szCs w:val="16"/>
        </w:rPr>
        <w:t>Simulium damnosum</w:t>
      </w:r>
      <w:r w:rsidRPr="0041322E">
        <w:rPr>
          <w:rStyle w:val="apple-converted-space"/>
          <w:sz w:val="16"/>
          <w:szCs w:val="16"/>
        </w:rPr>
        <w:t> </w:t>
      </w:r>
      <w:r w:rsidRPr="0041322E">
        <w:rPr>
          <w:sz w:val="16"/>
          <w:szCs w:val="16"/>
        </w:rPr>
        <w:t>s.l. gut microbiota and association with</w:t>
      </w:r>
      <w:r w:rsidRPr="0041322E">
        <w:rPr>
          <w:rStyle w:val="apple-converted-space"/>
          <w:sz w:val="16"/>
          <w:szCs w:val="16"/>
        </w:rPr>
        <w:t> </w:t>
      </w:r>
      <w:r w:rsidRPr="0041322E">
        <w:rPr>
          <w:rStyle w:val="Emphasis"/>
          <w:sz w:val="16"/>
          <w:szCs w:val="16"/>
        </w:rPr>
        <w:t>Onchocerca volvulus</w:t>
      </w:r>
      <w:r w:rsidRPr="0041322E">
        <w:rPr>
          <w:rStyle w:val="apple-converted-space"/>
          <w:sz w:val="16"/>
          <w:szCs w:val="16"/>
        </w:rPr>
        <w:t> </w:t>
      </w:r>
      <w:r w:rsidRPr="0041322E">
        <w:rPr>
          <w:sz w:val="16"/>
          <w:szCs w:val="16"/>
        </w:rPr>
        <w:t>infection in Cameroon.</w:t>
      </w:r>
      <w:r w:rsidRPr="0041322E">
        <w:rPr>
          <w:rStyle w:val="apple-converted-space"/>
          <w:sz w:val="16"/>
          <w:szCs w:val="16"/>
        </w:rPr>
        <w:t> </w:t>
      </w:r>
      <w:r w:rsidRPr="0041322E">
        <w:rPr>
          <w:rStyle w:val="Emphasis"/>
          <w:sz w:val="16"/>
          <w:szCs w:val="16"/>
        </w:rPr>
        <w:t>Infection, Genetics and Evolution, 125</w:t>
      </w:r>
      <w:r w:rsidRPr="0041322E">
        <w:rPr>
          <w:sz w:val="16"/>
          <w:szCs w:val="16"/>
        </w:rPr>
        <w:t>, 105683.</w:t>
      </w:r>
      <w:r w:rsidRPr="0041322E">
        <w:rPr>
          <w:rStyle w:val="apple-converted-space"/>
          <w:sz w:val="16"/>
          <w:szCs w:val="16"/>
        </w:rPr>
        <w:t> </w:t>
      </w:r>
      <w:hyperlink r:id="rId33" w:tgtFrame="_new" w:history="1">
        <w:r w:rsidRPr="0041322E">
          <w:rPr>
            <w:rStyle w:val="Hyperlink"/>
            <w:sz w:val="16"/>
            <w:szCs w:val="16"/>
          </w:rPr>
          <w:t>https://doi.org/10.1016/j.meegid.2024.105683</w:t>
        </w:r>
      </w:hyperlink>
    </w:p>
    <w:p w14:paraId="71C24343" w14:textId="77777777" w:rsidR="004365A5" w:rsidRPr="0041322E" w:rsidRDefault="004365A5" w:rsidP="004365A5">
      <w:pPr>
        <w:pStyle w:val="NormalWeb"/>
        <w:numPr>
          <w:ilvl w:val="0"/>
          <w:numId w:val="55"/>
        </w:numPr>
        <w:rPr>
          <w:sz w:val="16"/>
          <w:szCs w:val="16"/>
        </w:rPr>
      </w:pPr>
      <w:r w:rsidRPr="0041322E">
        <w:rPr>
          <w:sz w:val="16"/>
          <w:szCs w:val="16"/>
        </w:rPr>
        <w:t>Elton, S., &amp; Cole, D. (2022). Eating for health and the environment: Food systems analysis and the ecological determinants of health (pp. 176–187). In</w:t>
      </w:r>
      <w:r w:rsidRPr="0041322E">
        <w:rPr>
          <w:rStyle w:val="apple-converted-space"/>
          <w:sz w:val="16"/>
          <w:szCs w:val="16"/>
        </w:rPr>
        <w:t> </w:t>
      </w:r>
      <w:r w:rsidRPr="0041322E">
        <w:rPr>
          <w:rStyle w:val="Emphasis"/>
          <w:sz w:val="16"/>
          <w:szCs w:val="16"/>
        </w:rPr>
        <w:t>Handbook of food systems analysis</w:t>
      </w:r>
      <w:r w:rsidRPr="0041322E">
        <w:rPr>
          <w:sz w:val="16"/>
          <w:szCs w:val="16"/>
        </w:rPr>
        <w:t>.</w:t>
      </w:r>
      <w:r w:rsidRPr="0041322E">
        <w:rPr>
          <w:rStyle w:val="apple-converted-space"/>
          <w:sz w:val="16"/>
          <w:szCs w:val="16"/>
        </w:rPr>
        <w:t> </w:t>
      </w:r>
      <w:hyperlink r:id="rId34" w:tgtFrame="_new" w:history="1">
        <w:r w:rsidRPr="0041322E">
          <w:rPr>
            <w:rStyle w:val="Hyperlink"/>
            <w:sz w:val="16"/>
            <w:szCs w:val="16"/>
          </w:rPr>
          <w:t>https://doi.org/10.4324/9781003174417-19</w:t>
        </w:r>
      </w:hyperlink>
    </w:p>
    <w:p w14:paraId="449B6151" w14:textId="77777777" w:rsidR="004365A5" w:rsidRPr="00A97BC7" w:rsidRDefault="004365A5" w:rsidP="004365A5">
      <w:pPr>
        <w:pStyle w:val="NormalWeb"/>
        <w:numPr>
          <w:ilvl w:val="0"/>
          <w:numId w:val="55"/>
        </w:numPr>
        <w:rPr>
          <w:sz w:val="16"/>
          <w:szCs w:val="16"/>
        </w:rPr>
      </w:pPr>
      <w:r w:rsidRPr="00A97BC7">
        <w:rPr>
          <w:sz w:val="16"/>
          <w:szCs w:val="16"/>
        </w:rPr>
        <w:t>Emch, M., Ali, M., Acosta, C., Yunus, M., Sack, D. A., &amp; Clemens, J. D. (2007). Efficacy calculation in randomized trials: Global or local measures?</w:t>
      </w:r>
      <w:r w:rsidRPr="00A97BC7">
        <w:rPr>
          <w:rStyle w:val="apple-converted-space"/>
          <w:sz w:val="16"/>
          <w:szCs w:val="16"/>
        </w:rPr>
        <w:t> </w:t>
      </w:r>
      <w:r w:rsidRPr="00A97BC7">
        <w:rPr>
          <w:rStyle w:val="Emphasis"/>
          <w:sz w:val="16"/>
          <w:szCs w:val="16"/>
        </w:rPr>
        <w:t>Health &amp; Place, 13</w:t>
      </w:r>
      <w:r w:rsidRPr="00A97BC7">
        <w:rPr>
          <w:sz w:val="16"/>
          <w:szCs w:val="16"/>
        </w:rPr>
        <w:t>(1), 238–248.</w:t>
      </w:r>
      <w:r w:rsidRPr="00A97BC7">
        <w:rPr>
          <w:rStyle w:val="apple-converted-space"/>
          <w:sz w:val="16"/>
          <w:szCs w:val="16"/>
        </w:rPr>
        <w:t> </w:t>
      </w:r>
      <w:hyperlink r:id="rId35" w:tgtFrame="_new" w:history="1">
        <w:r w:rsidRPr="00A97BC7">
          <w:rPr>
            <w:rStyle w:val="Hyperlink"/>
            <w:sz w:val="16"/>
            <w:szCs w:val="16"/>
          </w:rPr>
          <w:t>https://doi.org/10.1016/j.healthplace.2006.01.005</w:t>
        </w:r>
      </w:hyperlink>
    </w:p>
    <w:p w14:paraId="17F1438F" w14:textId="77777777" w:rsidR="004365A5" w:rsidRPr="00A97BC7" w:rsidRDefault="004365A5" w:rsidP="004365A5">
      <w:pPr>
        <w:pStyle w:val="NormalWeb"/>
        <w:numPr>
          <w:ilvl w:val="0"/>
          <w:numId w:val="55"/>
        </w:numPr>
        <w:rPr>
          <w:sz w:val="16"/>
          <w:szCs w:val="16"/>
        </w:rPr>
      </w:pPr>
      <w:r w:rsidRPr="00A97BC7">
        <w:rPr>
          <w:sz w:val="16"/>
          <w:szCs w:val="16"/>
        </w:rPr>
        <w:t>Enyinnaya, J. C., Anderson, A. A., Kelp, N. C., Long, M., &amp; Duncan, C. G. (2024). The social ecology of health beliefs and misinformation framework: Examining the impact of misinformation on vaccine uptake through individual and sociological factors.</w:t>
      </w:r>
      <w:r w:rsidRPr="00A97BC7">
        <w:rPr>
          <w:rStyle w:val="apple-converted-space"/>
          <w:sz w:val="16"/>
          <w:szCs w:val="16"/>
        </w:rPr>
        <w:t> </w:t>
      </w:r>
      <w:r w:rsidRPr="00A97BC7">
        <w:rPr>
          <w:rStyle w:val="Emphasis"/>
          <w:sz w:val="16"/>
          <w:szCs w:val="16"/>
        </w:rPr>
        <w:t>Vaccine, 42</w:t>
      </w:r>
      <w:r w:rsidRPr="00A97BC7">
        <w:rPr>
          <w:sz w:val="16"/>
          <w:szCs w:val="16"/>
        </w:rPr>
        <w:t>(3), 455–463.</w:t>
      </w:r>
      <w:r w:rsidRPr="00A97BC7">
        <w:rPr>
          <w:rStyle w:val="apple-converted-space"/>
          <w:sz w:val="16"/>
          <w:szCs w:val="16"/>
        </w:rPr>
        <w:t> </w:t>
      </w:r>
      <w:hyperlink r:id="rId36" w:tgtFrame="_new" w:history="1">
        <w:r w:rsidRPr="00A97BC7">
          <w:rPr>
            <w:rStyle w:val="Hyperlink"/>
            <w:sz w:val="16"/>
            <w:szCs w:val="16"/>
          </w:rPr>
          <w:t>https://doi.org/10.1016/j.vaccine.2024.01.001</w:t>
        </w:r>
      </w:hyperlink>
    </w:p>
    <w:p w14:paraId="1DB98457" w14:textId="77777777" w:rsidR="004365A5" w:rsidRPr="00A97BC7" w:rsidRDefault="004365A5" w:rsidP="004365A5">
      <w:pPr>
        <w:pStyle w:val="NormalWeb"/>
        <w:numPr>
          <w:ilvl w:val="0"/>
          <w:numId w:val="55"/>
        </w:numPr>
        <w:rPr>
          <w:sz w:val="16"/>
          <w:szCs w:val="16"/>
        </w:rPr>
      </w:pPr>
      <w:r w:rsidRPr="00A97BC7">
        <w:rPr>
          <w:sz w:val="16"/>
          <w:szCs w:val="16"/>
        </w:rPr>
        <w:t>Essayagh, F., Essayagh, M., Essayagh, S., Marc, I., Bukassa, G., &amp; El Otmani, I. (2023). The prevalence and risk factors for anxiety and depression symptoms among migrants in Morocco.</w:t>
      </w:r>
      <w:r w:rsidRPr="00A97BC7">
        <w:rPr>
          <w:rStyle w:val="apple-converted-space"/>
          <w:sz w:val="16"/>
          <w:szCs w:val="16"/>
        </w:rPr>
        <w:t> </w:t>
      </w:r>
      <w:r w:rsidRPr="00A97BC7">
        <w:rPr>
          <w:rStyle w:val="Emphasis"/>
          <w:sz w:val="16"/>
          <w:szCs w:val="16"/>
        </w:rPr>
        <w:t>Scientific Reports, 13</w:t>
      </w:r>
      <w:r w:rsidRPr="00A97BC7">
        <w:rPr>
          <w:sz w:val="16"/>
          <w:szCs w:val="16"/>
        </w:rPr>
        <w:t>, 3740.</w:t>
      </w:r>
      <w:r w:rsidRPr="00A97BC7">
        <w:rPr>
          <w:rStyle w:val="apple-converted-space"/>
          <w:sz w:val="16"/>
          <w:szCs w:val="16"/>
        </w:rPr>
        <w:t> </w:t>
      </w:r>
      <w:hyperlink r:id="rId37" w:tgtFrame="_new" w:history="1">
        <w:r w:rsidRPr="00A97BC7">
          <w:rPr>
            <w:rStyle w:val="Hyperlink"/>
            <w:sz w:val="16"/>
            <w:szCs w:val="16"/>
          </w:rPr>
          <w:t>https://doi.org/10.1038/s41598-023-30715-8</w:t>
        </w:r>
      </w:hyperlink>
    </w:p>
    <w:p w14:paraId="7116CAB4" w14:textId="77777777" w:rsidR="004365A5" w:rsidRPr="00A97BC7" w:rsidRDefault="004365A5" w:rsidP="004365A5">
      <w:pPr>
        <w:pStyle w:val="NormalWeb"/>
        <w:numPr>
          <w:ilvl w:val="0"/>
          <w:numId w:val="55"/>
        </w:numPr>
        <w:rPr>
          <w:sz w:val="16"/>
          <w:szCs w:val="16"/>
        </w:rPr>
      </w:pPr>
      <w:r w:rsidRPr="00A97BC7">
        <w:rPr>
          <w:sz w:val="16"/>
          <w:szCs w:val="16"/>
        </w:rPr>
        <w:t>Estrada-Peña, A., Alexander, N., &amp; Wint, G. R. (2016). Perspectives on modelling the distribution of ticks for large areas: So far so good?</w:t>
      </w:r>
      <w:r w:rsidRPr="00A97BC7">
        <w:rPr>
          <w:rStyle w:val="apple-converted-space"/>
          <w:sz w:val="16"/>
          <w:szCs w:val="16"/>
        </w:rPr>
        <w:t> </w:t>
      </w:r>
      <w:r w:rsidRPr="00A97BC7">
        <w:rPr>
          <w:rStyle w:val="Emphasis"/>
          <w:sz w:val="16"/>
          <w:szCs w:val="16"/>
        </w:rPr>
        <w:t>Parasites &amp; Vectors, 9</w:t>
      </w:r>
      <w:r w:rsidRPr="00A97BC7">
        <w:rPr>
          <w:sz w:val="16"/>
          <w:szCs w:val="16"/>
        </w:rPr>
        <w:t>, 179.</w:t>
      </w:r>
      <w:r w:rsidRPr="00A97BC7">
        <w:rPr>
          <w:rStyle w:val="apple-converted-space"/>
          <w:sz w:val="16"/>
          <w:szCs w:val="16"/>
        </w:rPr>
        <w:t> </w:t>
      </w:r>
      <w:hyperlink r:id="rId38" w:tgtFrame="_new" w:history="1">
        <w:r w:rsidRPr="00A97BC7">
          <w:rPr>
            <w:rStyle w:val="Hyperlink"/>
            <w:sz w:val="16"/>
            <w:szCs w:val="16"/>
          </w:rPr>
          <w:t>https://doi.org/10.1186/s13071-016-1474-9</w:t>
        </w:r>
      </w:hyperlink>
    </w:p>
    <w:p w14:paraId="126B5813" w14:textId="77777777" w:rsidR="004365A5" w:rsidRPr="00A97BC7" w:rsidRDefault="004365A5" w:rsidP="004365A5">
      <w:pPr>
        <w:pStyle w:val="NormalWeb"/>
        <w:numPr>
          <w:ilvl w:val="0"/>
          <w:numId w:val="55"/>
        </w:numPr>
        <w:rPr>
          <w:sz w:val="16"/>
          <w:szCs w:val="16"/>
        </w:rPr>
      </w:pPr>
      <w:r w:rsidRPr="00A97BC7">
        <w:rPr>
          <w:sz w:val="16"/>
          <w:szCs w:val="16"/>
        </w:rPr>
        <w:t>Fetherman, D. L., McGrane, T. G., &amp; Cebrick-Grossman, J. (2021). Health promotion for small workplaces: A community-based participatory research partnership.</w:t>
      </w:r>
      <w:r w:rsidRPr="00A97BC7">
        <w:rPr>
          <w:rStyle w:val="apple-converted-space"/>
          <w:sz w:val="16"/>
          <w:szCs w:val="16"/>
        </w:rPr>
        <w:t> </w:t>
      </w:r>
      <w:r w:rsidRPr="00A97BC7">
        <w:rPr>
          <w:rStyle w:val="Emphasis"/>
          <w:sz w:val="16"/>
          <w:szCs w:val="16"/>
        </w:rPr>
        <w:t>Workplace Health &amp; Safety, 69</w:t>
      </w:r>
      <w:r w:rsidRPr="00A97BC7">
        <w:rPr>
          <w:sz w:val="16"/>
          <w:szCs w:val="16"/>
        </w:rPr>
        <w:t>(1), 7–14.</w:t>
      </w:r>
      <w:r w:rsidRPr="00A97BC7">
        <w:rPr>
          <w:rStyle w:val="apple-converted-space"/>
          <w:sz w:val="16"/>
          <w:szCs w:val="16"/>
        </w:rPr>
        <w:t> </w:t>
      </w:r>
      <w:hyperlink r:id="rId39" w:tgtFrame="_new" w:history="1">
        <w:r w:rsidRPr="00A97BC7">
          <w:rPr>
            <w:rStyle w:val="Hyperlink"/>
            <w:sz w:val="16"/>
            <w:szCs w:val="16"/>
          </w:rPr>
          <w:t>https://doi.org/10.1177/2165079920938298</w:t>
        </w:r>
      </w:hyperlink>
    </w:p>
    <w:p w14:paraId="3B1E8DF8" w14:textId="77777777" w:rsidR="004365A5" w:rsidRPr="00A97BC7" w:rsidRDefault="004365A5" w:rsidP="004365A5">
      <w:pPr>
        <w:pStyle w:val="NormalWeb"/>
        <w:numPr>
          <w:ilvl w:val="0"/>
          <w:numId w:val="55"/>
        </w:numPr>
        <w:rPr>
          <w:sz w:val="16"/>
          <w:szCs w:val="16"/>
        </w:rPr>
      </w:pPr>
      <w:r w:rsidRPr="00A97BC7">
        <w:rPr>
          <w:sz w:val="16"/>
          <w:szCs w:val="16"/>
        </w:rPr>
        <w:t>Fok, C. L., Sulley, S., Aroche, A., McDaniel, D., &amp; Frazier, D. (2025). Barriers to preventive care: Analyzing the socio-ecological determinants of cardiovascular health in pregnant women.</w:t>
      </w:r>
      <w:r w:rsidRPr="00A97BC7">
        <w:rPr>
          <w:rStyle w:val="apple-converted-space"/>
          <w:sz w:val="16"/>
          <w:szCs w:val="16"/>
        </w:rPr>
        <w:t> </w:t>
      </w:r>
      <w:r w:rsidRPr="00A97BC7">
        <w:rPr>
          <w:rStyle w:val="Emphasis"/>
          <w:sz w:val="16"/>
          <w:szCs w:val="16"/>
        </w:rPr>
        <w:t>Discover Public Health, 22</w:t>
      </w:r>
      <w:r w:rsidRPr="00A97BC7">
        <w:rPr>
          <w:sz w:val="16"/>
          <w:szCs w:val="16"/>
        </w:rPr>
        <w:t>(1).</w:t>
      </w:r>
      <w:r>
        <w:rPr>
          <w:rStyle w:val="apple-converted-space"/>
          <w:rFonts w:eastAsiaTheme="majorEastAsia"/>
          <w:sz w:val="16"/>
          <w:szCs w:val="16"/>
        </w:rPr>
        <w:t xml:space="preserve"> </w:t>
      </w:r>
      <w:hyperlink r:id="rId40" w:tgtFrame="_new" w:history="1">
        <w:r w:rsidRPr="00A97BC7">
          <w:rPr>
            <w:rStyle w:val="Hyperlink"/>
            <w:sz w:val="16"/>
            <w:szCs w:val="16"/>
          </w:rPr>
          <w:t>https://doi.org/10.1186/s12982-025-00634-2</w:t>
        </w:r>
      </w:hyperlink>
      <w:r w:rsidRPr="00A97BC7">
        <w:rPr>
          <w:sz w:val="16"/>
          <w:szCs w:val="16"/>
        </w:rPr>
        <w:t xml:space="preserve"> </w:t>
      </w:r>
    </w:p>
    <w:p w14:paraId="1E393E5C" w14:textId="77777777" w:rsidR="004365A5" w:rsidRPr="00A97BC7" w:rsidRDefault="004365A5" w:rsidP="004365A5">
      <w:pPr>
        <w:pStyle w:val="NormalWeb"/>
        <w:numPr>
          <w:ilvl w:val="0"/>
          <w:numId w:val="55"/>
        </w:numPr>
        <w:rPr>
          <w:sz w:val="16"/>
          <w:szCs w:val="16"/>
        </w:rPr>
      </w:pPr>
      <w:r w:rsidRPr="00A97BC7">
        <w:rPr>
          <w:sz w:val="16"/>
          <w:szCs w:val="16"/>
        </w:rPr>
        <w:t>Fraser, S. L., Parent, V., &amp; Dupéré, V. (2018). Communities being well for family well-being: Exploring the socio-ecological determinants of well-being in an Inuit community of Northern Quebec.</w:t>
      </w:r>
      <w:r w:rsidRPr="00A97BC7">
        <w:rPr>
          <w:rStyle w:val="apple-converted-space"/>
          <w:sz w:val="16"/>
          <w:szCs w:val="16"/>
        </w:rPr>
        <w:t> </w:t>
      </w:r>
      <w:r w:rsidRPr="00A97BC7">
        <w:rPr>
          <w:rStyle w:val="Emphasis"/>
          <w:sz w:val="16"/>
          <w:szCs w:val="16"/>
        </w:rPr>
        <w:t>Transcultural Psychiatry, 55</w:t>
      </w:r>
      <w:r w:rsidRPr="00A97BC7">
        <w:rPr>
          <w:sz w:val="16"/>
          <w:szCs w:val="16"/>
        </w:rPr>
        <w:t>(1), 120–146.</w:t>
      </w:r>
      <w:r>
        <w:rPr>
          <w:rStyle w:val="apple-converted-space"/>
          <w:rFonts w:eastAsiaTheme="majorEastAsia"/>
          <w:sz w:val="16"/>
          <w:szCs w:val="16"/>
        </w:rPr>
        <w:t xml:space="preserve"> </w:t>
      </w:r>
      <w:hyperlink r:id="rId41" w:tgtFrame="_new" w:history="1">
        <w:r w:rsidRPr="00A97BC7">
          <w:rPr>
            <w:rStyle w:val="Hyperlink"/>
            <w:sz w:val="16"/>
            <w:szCs w:val="16"/>
          </w:rPr>
          <w:t>https://doi.org/10.1177/1363461517748814</w:t>
        </w:r>
      </w:hyperlink>
      <w:r w:rsidRPr="00A97BC7">
        <w:rPr>
          <w:sz w:val="16"/>
          <w:szCs w:val="16"/>
        </w:rPr>
        <w:t xml:space="preserve"> </w:t>
      </w:r>
    </w:p>
    <w:p w14:paraId="151A0C0B" w14:textId="77777777" w:rsidR="004365A5" w:rsidRPr="00A97BC7" w:rsidRDefault="004365A5" w:rsidP="004365A5">
      <w:pPr>
        <w:pStyle w:val="NormalWeb"/>
        <w:numPr>
          <w:ilvl w:val="0"/>
          <w:numId w:val="55"/>
        </w:numPr>
        <w:rPr>
          <w:sz w:val="16"/>
          <w:szCs w:val="16"/>
        </w:rPr>
      </w:pPr>
      <w:r w:rsidRPr="00A97BC7">
        <w:rPr>
          <w:sz w:val="16"/>
          <w:szCs w:val="16"/>
        </w:rPr>
        <w:t>Fung, S., &amp; Chiu, W.-K. (2024). Environmental and ecological determinants and population health. In</w:t>
      </w:r>
      <w:r w:rsidRPr="00A97BC7">
        <w:rPr>
          <w:rStyle w:val="apple-converted-space"/>
          <w:sz w:val="16"/>
          <w:szCs w:val="16"/>
        </w:rPr>
        <w:t> </w:t>
      </w:r>
      <w:r w:rsidRPr="00A97BC7">
        <w:rPr>
          <w:rStyle w:val="Emphasis"/>
          <w:sz w:val="16"/>
          <w:szCs w:val="16"/>
        </w:rPr>
        <w:t>Environmental and Ecological Health</w:t>
      </w:r>
      <w:r w:rsidRPr="00A97BC7">
        <w:rPr>
          <w:rStyle w:val="apple-converted-space"/>
          <w:sz w:val="16"/>
          <w:szCs w:val="16"/>
        </w:rPr>
        <w:t> </w:t>
      </w:r>
      <w:r w:rsidRPr="00A97BC7">
        <w:rPr>
          <w:sz w:val="16"/>
          <w:szCs w:val="16"/>
        </w:rPr>
        <w:t>(pp. 67–88). Routledge.</w:t>
      </w:r>
      <w:r w:rsidRPr="00A97BC7">
        <w:rPr>
          <w:rStyle w:val="apple-converted-space"/>
          <w:sz w:val="16"/>
          <w:szCs w:val="16"/>
        </w:rPr>
        <w:t> </w:t>
      </w:r>
      <w:hyperlink r:id="rId42" w:tgtFrame="_new" w:history="1">
        <w:r w:rsidRPr="00A97BC7">
          <w:rPr>
            <w:rStyle w:val="Hyperlink"/>
            <w:sz w:val="16"/>
            <w:szCs w:val="16"/>
          </w:rPr>
          <w:t>https://doi.org/10.4324/9781032701356-4</w:t>
        </w:r>
      </w:hyperlink>
    </w:p>
    <w:p w14:paraId="234CB373" w14:textId="77777777" w:rsidR="004365A5" w:rsidRPr="00A97BC7" w:rsidRDefault="004365A5" w:rsidP="004365A5">
      <w:pPr>
        <w:pStyle w:val="NormalWeb"/>
        <w:numPr>
          <w:ilvl w:val="0"/>
          <w:numId w:val="55"/>
        </w:numPr>
        <w:rPr>
          <w:sz w:val="16"/>
          <w:szCs w:val="16"/>
        </w:rPr>
      </w:pPr>
      <w:r w:rsidRPr="00A97BC7">
        <w:rPr>
          <w:sz w:val="16"/>
          <w:szCs w:val="16"/>
        </w:rPr>
        <w:t>Galagali, P. M. (2020). International considerations. In</w:t>
      </w:r>
      <w:r w:rsidRPr="00A97BC7">
        <w:rPr>
          <w:rStyle w:val="apple-converted-space"/>
          <w:sz w:val="16"/>
          <w:szCs w:val="16"/>
        </w:rPr>
        <w:t> </w:t>
      </w:r>
      <w:r w:rsidRPr="00A97BC7">
        <w:rPr>
          <w:rStyle w:val="Emphasis"/>
          <w:sz w:val="16"/>
          <w:szCs w:val="16"/>
        </w:rPr>
        <w:t>Global health perspectives</w:t>
      </w:r>
      <w:r w:rsidRPr="00A97BC7">
        <w:rPr>
          <w:rStyle w:val="apple-converted-space"/>
          <w:sz w:val="16"/>
          <w:szCs w:val="16"/>
        </w:rPr>
        <w:t> </w:t>
      </w:r>
      <w:r w:rsidRPr="00A97BC7">
        <w:rPr>
          <w:sz w:val="16"/>
          <w:szCs w:val="16"/>
        </w:rPr>
        <w:t>(pp. 301–316). Springer.</w:t>
      </w:r>
      <w:r>
        <w:rPr>
          <w:rStyle w:val="apple-converted-space"/>
          <w:rFonts w:eastAsiaTheme="majorEastAsia"/>
          <w:sz w:val="16"/>
          <w:szCs w:val="16"/>
        </w:rPr>
        <w:t xml:space="preserve"> </w:t>
      </w:r>
      <w:hyperlink r:id="rId43" w:tgtFrame="_new" w:history="1">
        <w:r w:rsidRPr="00A97BC7">
          <w:rPr>
            <w:rStyle w:val="Hyperlink"/>
            <w:sz w:val="16"/>
            <w:szCs w:val="16"/>
          </w:rPr>
          <w:t>https://doi.org/10.1007/978-3-030-45103-5_11</w:t>
        </w:r>
      </w:hyperlink>
      <w:r w:rsidRPr="00A97BC7">
        <w:rPr>
          <w:sz w:val="16"/>
          <w:szCs w:val="16"/>
        </w:rPr>
        <w:t xml:space="preserve"> </w:t>
      </w:r>
    </w:p>
    <w:p w14:paraId="508D181F" w14:textId="77777777" w:rsidR="004365A5" w:rsidRPr="00AC1833" w:rsidRDefault="004365A5" w:rsidP="004365A5">
      <w:pPr>
        <w:pStyle w:val="NormalWeb"/>
        <w:numPr>
          <w:ilvl w:val="0"/>
          <w:numId w:val="55"/>
        </w:numPr>
        <w:rPr>
          <w:sz w:val="16"/>
          <w:szCs w:val="16"/>
        </w:rPr>
      </w:pPr>
      <w:r w:rsidRPr="00A97BC7">
        <w:rPr>
          <w:sz w:val="16"/>
          <w:szCs w:val="16"/>
        </w:rPr>
        <w:t>Garg, M., Badiuddin, H. F., Begum, S., Kumar, P., Mohammed, C. A., Kalasuramath, S., et al. (2023). Evaluation of co-existence of overweight and anemia among young adults in Coastal Karnataka, India using an interprofessional approach.</w:t>
      </w:r>
      <w:r>
        <w:rPr>
          <w:rStyle w:val="apple-converted-space"/>
          <w:rFonts w:eastAsiaTheme="majorEastAsia"/>
          <w:sz w:val="16"/>
          <w:szCs w:val="16"/>
        </w:rPr>
        <w:t xml:space="preserve"> </w:t>
      </w:r>
      <w:r w:rsidRPr="00A97BC7">
        <w:rPr>
          <w:rStyle w:val="Emphasis"/>
          <w:sz w:val="16"/>
          <w:szCs w:val="16"/>
        </w:rPr>
        <w:t>Clinical Epidemiology and Global Health, 23</w:t>
      </w:r>
      <w:r w:rsidRPr="00A97BC7">
        <w:rPr>
          <w:sz w:val="16"/>
          <w:szCs w:val="16"/>
        </w:rPr>
        <w:t>, 101386.</w:t>
      </w:r>
      <w:r w:rsidRPr="00A97BC7">
        <w:rPr>
          <w:rStyle w:val="apple-converted-space"/>
          <w:sz w:val="16"/>
          <w:szCs w:val="16"/>
        </w:rPr>
        <w:t> </w:t>
      </w:r>
      <w:hyperlink r:id="rId44" w:tgtFrame="_new" w:history="1">
        <w:r w:rsidRPr="00A97BC7">
          <w:rPr>
            <w:rStyle w:val="Hyperlink"/>
            <w:sz w:val="16"/>
            <w:szCs w:val="16"/>
          </w:rPr>
          <w:t>https://doi.org/10.1016/j.cegh.2023.101386</w:t>
        </w:r>
      </w:hyperlink>
      <w:r w:rsidRPr="00AC1833">
        <w:rPr>
          <w:sz w:val="16"/>
          <w:szCs w:val="16"/>
        </w:rPr>
        <w:t xml:space="preserve"> </w:t>
      </w:r>
    </w:p>
    <w:p w14:paraId="4FE332D4" w14:textId="77777777" w:rsidR="004365A5" w:rsidRPr="00A97BC7" w:rsidRDefault="004365A5" w:rsidP="004365A5">
      <w:pPr>
        <w:pStyle w:val="NormalWeb"/>
        <w:numPr>
          <w:ilvl w:val="0"/>
          <w:numId w:val="55"/>
        </w:numPr>
        <w:rPr>
          <w:sz w:val="16"/>
          <w:szCs w:val="16"/>
        </w:rPr>
      </w:pPr>
      <w:r w:rsidRPr="00A97BC7">
        <w:rPr>
          <w:sz w:val="16"/>
          <w:szCs w:val="16"/>
        </w:rPr>
        <w:t>Godrich, S. L., Davies, C. R., Darby, J., &amp; Devine, A. (2018). Which ecological determinants influence Australian children’s</w:t>
      </w:r>
      <w:r>
        <w:rPr>
          <w:sz w:val="16"/>
          <w:szCs w:val="16"/>
        </w:rPr>
        <w:t xml:space="preserve"> </w:t>
      </w:r>
      <w:r w:rsidRPr="00A97BC7">
        <w:rPr>
          <w:sz w:val="16"/>
          <w:szCs w:val="16"/>
        </w:rPr>
        <w:t>fruit and vegetable consumption?</w:t>
      </w:r>
      <w:r w:rsidRPr="00A97BC7">
        <w:rPr>
          <w:rStyle w:val="apple-converted-space"/>
          <w:sz w:val="16"/>
          <w:szCs w:val="16"/>
        </w:rPr>
        <w:t> </w:t>
      </w:r>
      <w:r w:rsidRPr="00A97BC7">
        <w:rPr>
          <w:rStyle w:val="Emphasis"/>
          <w:sz w:val="16"/>
          <w:szCs w:val="16"/>
        </w:rPr>
        <w:t>Health Promotion International, 33</w:t>
      </w:r>
      <w:r w:rsidRPr="00A97BC7">
        <w:rPr>
          <w:sz w:val="16"/>
          <w:szCs w:val="16"/>
        </w:rPr>
        <w:t>(2), 229–238.</w:t>
      </w:r>
      <w:r w:rsidRPr="00A97BC7">
        <w:rPr>
          <w:rStyle w:val="apple-converted-space"/>
          <w:sz w:val="16"/>
          <w:szCs w:val="16"/>
        </w:rPr>
        <w:t> </w:t>
      </w:r>
      <w:hyperlink r:id="rId45" w:tgtFrame="_new" w:history="1">
        <w:r w:rsidRPr="00A97BC7">
          <w:rPr>
            <w:rStyle w:val="Hyperlink"/>
            <w:sz w:val="16"/>
            <w:szCs w:val="16"/>
          </w:rPr>
          <w:t>https://doi.org/10.1093/heapro/daw063</w:t>
        </w:r>
      </w:hyperlink>
    </w:p>
    <w:p w14:paraId="5A21D97D" w14:textId="77777777" w:rsidR="004365A5" w:rsidRPr="00A97BC7" w:rsidRDefault="004365A5" w:rsidP="004365A5">
      <w:pPr>
        <w:pStyle w:val="NormalWeb"/>
        <w:numPr>
          <w:ilvl w:val="0"/>
          <w:numId w:val="55"/>
        </w:numPr>
        <w:rPr>
          <w:sz w:val="16"/>
          <w:szCs w:val="16"/>
        </w:rPr>
      </w:pPr>
      <w:r w:rsidRPr="00A97BC7">
        <w:rPr>
          <w:sz w:val="16"/>
          <w:szCs w:val="16"/>
        </w:rPr>
        <w:t xml:space="preserve">Golden, C. D., Rice, B. L., Randriamady, H. J., Vonona, A. M., Randrianasolo, J. F., Tafangy, A. N., </w:t>
      </w:r>
      <w:r>
        <w:rPr>
          <w:sz w:val="16"/>
          <w:szCs w:val="16"/>
        </w:rPr>
        <w:t>et al.</w:t>
      </w:r>
      <w:r w:rsidRPr="00A97BC7">
        <w:rPr>
          <w:sz w:val="16"/>
          <w:szCs w:val="16"/>
        </w:rPr>
        <w:t xml:space="preserve"> (2020). Study protocol: A cross-sectional examination of socio-demographic and ecological determinants of nutrition and disease across Madagascar.</w:t>
      </w:r>
      <w:r w:rsidRPr="00A97BC7">
        <w:rPr>
          <w:rStyle w:val="apple-converted-space"/>
          <w:sz w:val="16"/>
          <w:szCs w:val="16"/>
        </w:rPr>
        <w:t> </w:t>
      </w:r>
      <w:r w:rsidRPr="00A97BC7">
        <w:rPr>
          <w:rStyle w:val="Emphasis"/>
          <w:sz w:val="16"/>
          <w:szCs w:val="16"/>
        </w:rPr>
        <w:t>Frontiers in Public Health, 8</w:t>
      </w:r>
      <w:r w:rsidRPr="00A97BC7">
        <w:rPr>
          <w:sz w:val="16"/>
          <w:szCs w:val="16"/>
        </w:rPr>
        <w:t>, 123.</w:t>
      </w:r>
      <w:r w:rsidRPr="00A97BC7">
        <w:rPr>
          <w:rStyle w:val="apple-converted-space"/>
          <w:sz w:val="16"/>
          <w:szCs w:val="16"/>
        </w:rPr>
        <w:t> </w:t>
      </w:r>
      <w:hyperlink r:id="rId46" w:tgtFrame="_new" w:history="1">
        <w:r w:rsidRPr="00A97BC7">
          <w:rPr>
            <w:rStyle w:val="Hyperlink"/>
            <w:sz w:val="16"/>
            <w:szCs w:val="16"/>
          </w:rPr>
          <w:t>https://doi.org/10.3389/fpubh.2020.00123</w:t>
        </w:r>
      </w:hyperlink>
    </w:p>
    <w:p w14:paraId="5FA16E85" w14:textId="77777777" w:rsidR="004365A5" w:rsidRPr="00A97BC7" w:rsidRDefault="004365A5" w:rsidP="004365A5">
      <w:pPr>
        <w:pStyle w:val="NormalWeb"/>
        <w:numPr>
          <w:ilvl w:val="0"/>
          <w:numId w:val="55"/>
        </w:numPr>
        <w:rPr>
          <w:sz w:val="16"/>
          <w:szCs w:val="16"/>
        </w:rPr>
      </w:pPr>
      <w:r w:rsidRPr="00A97BC7">
        <w:rPr>
          <w:sz w:val="16"/>
          <w:szCs w:val="16"/>
        </w:rPr>
        <w:t>Gopal, R. (2011). Social change communication: A panacea for HIV and AIDS? An outlook of a program manager.</w:t>
      </w:r>
      <w:r w:rsidRPr="00A97BC7">
        <w:rPr>
          <w:rStyle w:val="apple-converted-space"/>
          <w:sz w:val="16"/>
          <w:szCs w:val="16"/>
        </w:rPr>
        <w:t> </w:t>
      </w:r>
      <w:r w:rsidRPr="00A97BC7">
        <w:rPr>
          <w:rStyle w:val="Emphasis"/>
          <w:sz w:val="16"/>
          <w:szCs w:val="16"/>
        </w:rPr>
        <w:t>Eastern Journal of Medicine, 16</w:t>
      </w:r>
      <w:r w:rsidRPr="00A97BC7">
        <w:rPr>
          <w:sz w:val="16"/>
          <w:szCs w:val="16"/>
        </w:rPr>
        <w:t>(2), 133–136.</w:t>
      </w:r>
      <w:r w:rsidRPr="00A97BC7">
        <w:rPr>
          <w:rStyle w:val="apple-converted-space"/>
          <w:sz w:val="16"/>
          <w:szCs w:val="16"/>
        </w:rPr>
        <w:t> </w:t>
      </w:r>
      <w:hyperlink r:id="rId47" w:tgtFrame="_new" w:history="1">
        <w:r w:rsidRPr="00A97BC7">
          <w:rPr>
            <w:rStyle w:val="Hyperlink"/>
            <w:sz w:val="16"/>
            <w:szCs w:val="16"/>
          </w:rPr>
          <w:t>https://www.scopus.com/inward/record.uri?eid=2-s2.0-79960108839&amp;partnerID=40&amp;md5=6d5adb0cc702120000fe91fb71f7cd86</w:t>
        </w:r>
      </w:hyperlink>
    </w:p>
    <w:p w14:paraId="4F19C38D" w14:textId="77777777" w:rsidR="004365A5" w:rsidRPr="00A97BC7" w:rsidRDefault="004365A5" w:rsidP="004365A5">
      <w:pPr>
        <w:pStyle w:val="NormalWeb"/>
        <w:numPr>
          <w:ilvl w:val="0"/>
          <w:numId w:val="55"/>
        </w:numPr>
        <w:rPr>
          <w:sz w:val="16"/>
          <w:szCs w:val="16"/>
        </w:rPr>
      </w:pPr>
      <w:r w:rsidRPr="00A97BC7">
        <w:rPr>
          <w:sz w:val="16"/>
          <w:szCs w:val="16"/>
        </w:rPr>
        <w:t>Gorospe, E. C. (2006). Establishing palliative care for American Indians as a public health agenda.</w:t>
      </w:r>
      <w:r w:rsidRPr="00A97BC7">
        <w:rPr>
          <w:rStyle w:val="apple-converted-space"/>
          <w:sz w:val="16"/>
          <w:szCs w:val="16"/>
        </w:rPr>
        <w:t> </w:t>
      </w:r>
      <w:r w:rsidRPr="00A97BC7">
        <w:rPr>
          <w:rStyle w:val="Emphasis"/>
          <w:sz w:val="16"/>
          <w:szCs w:val="16"/>
        </w:rPr>
        <w:t>Internet Journal of Pain, Symptom Control and Palliative Care, 4</w:t>
      </w:r>
      <w:r w:rsidRPr="00A97BC7">
        <w:rPr>
          <w:sz w:val="16"/>
          <w:szCs w:val="16"/>
        </w:rPr>
        <w:t>(2), XVII–XVIII.</w:t>
      </w:r>
      <w:r w:rsidRPr="00A97BC7">
        <w:rPr>
          <w:rStyle w:val="apple-converted-space"/>
          <w:sz w:val="16"/>
          <w:szCs w:val="16"/>
        </w:rPr>
        <w:t> </w:t>
      </w:r>
      <w:hyperlink r:id="rId48" w:tgtFrame="_new" w:history="1">
        <w:r w:rsidRPr="00A97BC7">
          <w:rPr>
            <w:rStyle w:val="Hyperlink"/>
            <w:sz w:val="16"/>
            <w:szCs w:val="16"/>
          </w:rPr>
          <w:t>https://www.scopus.com/inward/record.uri?eid=2-s2.0-66249139916&amp;partnerID=40&amp;md5=c256561912aeb9cf11fe6c4182d3e9be</w:t>
        </w:r>
      </w:hyperlink>
    </w:p>
    <w:p w14:paraId="2A6FCCE5" w14:textId="77777777" w:rsidR="004365A5" w:rsidRPr="00A97BC7" w:rsidRDefault="004365A5" w:rsidP="004365A5">
      <w:pPr>
        <w:pStyle w:val="NormalWeb"/>
        <w:numPr>
          <w:ilvl w:val="0"/>
          <w:numId w:val="55"/>
        </w:numPr>
        <w:rPr>
          <w:sz w:val="16"/>
          <w:szCs w:val="16"/>
        </w:rPr>
      </w:pPr>
      <w:r w:rsidRPr="00A97BC7">
        <w:rPr>
          <w:sz w:val="16"/>
          <w:szCs w:val="16"/>
        </w:rPr>
        <w:t xml:space="preserve">Grace, D., Gilbert, J., Lapar, M., Unger, F., Fèvre, E. S., Nguyen-Viet, H., </w:t>
      </w:r>
      <w:r>
        <w:rPr>
          <w:sz w:val="16"/>
          <w:szCs w:val="16"/>
        </w:rPr>
        <w:t>et al.</w:t>
      </w:r>
      <w:r w:rsidRPr="00A97BC7">
        <w:rPr>
          <w:sz w:val="16"/>
          <w:szCs w:val="16"/>
        </w:rPr>
        <w:t xml:space="preserve"> (2011). Zoonotic emerging infectious disease in selected countries in Southeast Asia: Insights from Ecohealth.</w:t>
      </w:r>
      <w:r w:rsidRPr="00A97BC7">
        <w:rPr>
          <w:rStyle w:val="apple-converted-space"/>
          <w:sz w:val="16"/>
          <w:szCs w:val="16"/>
        </w:rPr>
        <w:t> </w:t>
      </w:r>
      <w:r w:rsidRPr="00A97BC7">
        <w:rPr>
          <w:rStyle w:val="Emphasis"/>
          <w:sz w:val="16"/>
          <w:szCs w:val="16"/>
        </w:rPr>
        <w:t>EcoHealth, 8</w:t>
      </w:r>
      <w:r w:rsidRPr="00A97BC7">
        <w:rPr>
          <w:sz w:val="16"/>
          <w:szCs w:val="16"/>
        </w:rPr>
        <w:t>(1), 55–62.</w:t>
      </w:r>
      <w:r w:rsidRPr="00A97BC7">
        <w:rPr>
          <w:rStyle w:val="apple-converted-space"/>
          <w:sz w:val="16"/>
          <w:szCs w:val="16"/>
        </w:rPr>
        <w:t> </w:t>
      </w:r>
      <w:hyperlink r:id="rId49" w:tgtFrame="_new" w:history="1">
        <w:r w:rsidRPr="00A97BC7">
          <w:rPr>
            <w:rStyle w:val="Hyperlink"/>
            <w:sz w:val="16"/>
            <w:szCs w:val="16"/>
          </w:rPr>
          <w:t>https://doi.org/10.1007/s10393-010-0357-3</w:t>
        </w:r>
      </w:hyperlink>
    </w:p>
    <w:p w14:paraId="1E142A69" w14:textId="77777777" w:rsidR="004365A5" w:rsidRPr="00A97BC7" w:rsidRDefault="004365A5" w:rsidP="004365A5">
      <w:pPr>
        <w:pStyle w:val="NormalWeb"/>
        <w:numPr>
          <w:ilvl w:val="0"/>
          <w:numId w:val="55"/>
        </w:numPr>
        <w:rPr>
          <w:sz w:val="16"/>
          <w:szCs w:val="16"/>
        </w:rPr>
      </w:pPr>
      <w:r w:rsidRPr="00A97BC7">
        <w:rPr>
          <w:sz w:val="16"/>
          <w:szCs w:val="16"/>
        </w:rPr>
        <w:t>Grebely, J., Hajarizadeh, B., Lazarus, J. V., Bruneau, J., Treloar, C., &amp; International Network on Hepatitis in Substance Users. (2019). Elimination of hepatitis C virus infection among people who use drugs: Ensuring equitable access to prevention, treatment, and care for all.</w:t>
      </w:r>
      <w:r w:rsidRPr="00A97BC7">
        <w:rPr>
          <w:rStyle w:val="apple-converted-space"/>
          <w:sz w:val="16"/>
          <w:szCs w:val="16"/>
        </w:rPr>
        <w:t> </w:t>
      </w:r>
      <w:r w:rsidRPr="00A97BC7">
        <w:rPr>
          <w:rStyle w:val="Emphasis"/>
          <w:sz w:val="16"/>
          <w:szCs w:val="16"/>
        </w:rPr>
        <w:t>The International Journal on Drug Policy, 72</w:t>
      </w:r>
      <w:r w:rsidRPr="00A97BC7">
        <w:rPr>
          <w:sz w:val="16"/>
          <w:szCs w:val="16"/>
        </w:rPr>
        <w:t>, 1–10.</w:t>
      </w:r>
      <w:r w:rsidRPr="00A97BC7">
        <w:rPr>
          <w:rStyle w:val="apple-converted-space"/>
          <w:sz w:val="16"/>
          <w:szCs w:val="16"/>
        </w:rPr>
        <w:t> </w:t>
      </w:r>
      <w:hyperlink r:id="rId50" w:tgtFrame="_new" w:history="1">
        <w:r w:rsidRPr="00A97BC7">
          <w:rPr>
            <w:rStyle w:val="Hyperlink"/>
            <w:sz w:val="16"/>
            <w:szCs w:val="16"/>
          </w:rPr>
          <w:t>https://doi.org/10.1016/j.drugpo.2019.07.016</w:t>
        </w:r>
      </w:hyperlink>
    </w:p>
    <w:p w14:paraId="06ABC0FC" w14:textId="77777777" w:rsidR="004365A5" w:rsidRPr="00A97BC7" w:rsidRDefault="004365A5" w:rsidP="004365A5">
      <w:pPr>
        <w:pStyle w:val="NormalWeb"/>
        <w:numPr>
          <w:ilvl w:val="0"/>
          <w:numId w:val="55"/>
        </w:numPr>
        <w:rPr>
          <w:sz w:val="16"/>
          <w:szCs w:val="16"/>
        </w:rPr>
      </w:pPr>
      <w:r w:rsidRPr="00A97BC7">
        <w:rPr>
          <w:sz w:val="16"/>
          <w:szCs w:val="16"/>
        </w:rPr>
        <w:t>Guerra, N. G. (2018). Can positive youth development programs prevent youth violence? The role of regulation of action and positive social engagement. In</w:t>
      </w:r>
      <w:r w:rsidRPr="00A97BC7">
        <w:rPr>
          <w:rStyle w:val="apple-converted-space"/>
          <w:sz w:val="16"/>
          <w:szCs w:val="16"/>
        </w:rPr>
        <w:t> </w:t>
      </w:r>
      <w:r w:rsidRPr="00A97BC7">
        <w:rPr>
          <w:rStyle w:val="Emphasis"/>
          <w:sz w:val="16"/>
          <w:szCs w:val="16"/>
        </w:rPr>
        <w:t>Handbook of child and adolescent aggression</w:t>
      </w:r>
      <w:r w:rsidRPr="00A97BC7">
        <w:rPr>
          <w:rStyle w:val="apple-converted-space"/>
          <w:sz w:val="16"/>
          <w:szCs w:val="16"/>
        </w:rPr>
        <w:t> </w:t>
      </w:r>
      <w:r w:rsidRPr="00A97BC7">
        <w:rPr>
          <w:sz w:val="16"/>
          <w:szCs w:val="16"/>
        </w:rPr>
        <w:t>(pp. 406–419). The Guilford Press.</w:t>
      </w:r>
      <w:r w:rsidRPr="00A97BC7">
        <w:rPr>
          <w:rStyle w:val="apple-converted-space"/>
          <w:sz w:val="16"/>
          <w:szCs w:val="16"/>
        </w:rPr>
        <w:t> </w:t>
      </w:r>
      <w:hyperlink r:id="rId51" w:tgtFrame="_new" w:history="1">
        <w:r w:rsidRPr="00A97BC7">
          <w:rPr>
            <w:rStyle w:val="Hyperlink"/>
            <w:sz w:val="16"/>
            <w:szCs w:val="16"/>
          </w:rPr>
          <w:t>https://search.ebscohost.com/login.aspx?direct=true&amp;db=psyh&amp;AN=2018-40417-020&amp;site=ehost-live</w:t>
        </w:r>
      </w:hyperlink>
    </w:p>
    <w:p w14:paraId="061737ED" w14:textId="77777777" w:rsidR="004365A5" w:rsidRPr="00A97BC7" w:rsidRDefault="004365A5" w:rsidP="004365A5">
      <w:pPr>
        <w:pStyle w:val="NormalWeb"/>
        <w:numPr>
          <w:ilvl w:val="0"/>
          <w:numId w:val="55"/>
        </w:numPr>
        <w:rPr>
          <w:sz w:val="16"/>
          <w:szCs w:val="16"/>
        </w:rPr>
      </w:pPr>
      <w:r w:rsidRPr="00A97BC7">
        <w:rPr>
          <w:sz w:val="16"/>
          <w:szCs w:val="16"/>
        </w:rPr>
        <w:t xml:space="preserve">Guzmán, V., Doyle, F., Foley, R., Craven, P., Crowe, N., Wilson, P., </w:t>
      </w:r>
      <w:r>
        <w:rPr>
          <w:sz w:val="16"/>
          <w:szCs w:val="16"/>
        </w:rPr>
        <w:t>et al</w:t>
      </w:r>
      <w:r w:rsidRPr="00A97BC7">
        <w:rPr>
          <w:sz w:val="16"/>
          <w:szCs w:val="16"/>
        </w:rPr>
        <w:t>. (2023). Socio-ecological determinants of older people’s mental health and well-being during COVID-19: A qualitative analysis within the Irish context.</w:t>
      </w:r>
      <w:r w:rsidRPr="00A97BC7">
        <w:rPr>
          <w:rStyle w:val="apple-converted-space"/>
          <w:sz w:val="16"/>
          <w:szCs w:val="16"/>
        </w:rPr>
        <w:t> </w:t>
      </w:r>
      <w:r w:rsidRPr="00A97BC7">
        <w:rPr>
          <w:rStyle w:val="Emphasis"/>
          <w:sz w:val="16"/>
          <w:szCs w:val="16"/>
        </w:rPr>
        <w:t>Frontiers in Public Health, 11</w:t>
      </w:r>
      <w:r w:rsidRPr="00A97BC7">
        <w:rPr>
          <w:sz w:val="16"/>
          <w:szCs w:val="16"/>
        </w:rPr>
        <w:t>, 1148758.</w:t>
      </w:r>
      <w:r w:rsidRPr="00A97BC7">
        <w:rPr>
          <w:rStyle w:val="apple-converted-space"/>
          <w:sz w:val="16"/>
          <w:szCs w:val="16"/>
        </w:rPr>
        <w:t> </w:t>
      </w:r>
      <w:hyperlink r:id="rId52" w:tgtFrame="_new" w:history="1">
        <w:r w:rsidRPr="00A97BC7">
          <w:rPr>
            <w:rStyle w:val="Hyperlink"/>
            <w:sz w:val="16"/>
            <w:szCs w:val="16"/>
          </w:rPr>
          <w:t>https://doi.org/10.3389/fpubh.2023.1148758</w:t>
        </w:r>
      </w:hyperlink>
    </w:p>
    <w:p w14:paraId="43C9314D" w14:textId="77777777" w:rsidR="004365A5" w:rsidRPr="00A97BC7" w:rsidRDefault="004365A5" w:rsidP="004365A5">
      <w:pPr>
        <w:pStyle w:val="NormalWeb"/>
        <w:numPr>
          <w:ilvl w:val="0"/>
          <w:numId w:val="55"/>
        </w:numPr>
        <w:rPr>
          <w:sz w:val="16"/>
          <w:szCs w:val="16"/>
        </w:rPr>
      </w:pPr>
      <w:r w:rsidRPr="00A97BC7">
        <w:rPr>
          <w:sz w:val="16"/>
          <w:szCs w:val="16"/>
        </w:rPr>
        <w:t>Hadley, C., Rudenstine, S., &amp; Galea, S. (2009). How vulnerabilities and capacities shape population health after disasters. In</w:t>
      </w:r>
      <w:r w:rsidRPr="00A97BC7">
        <w:rPr>
          <w:rStyle w:val="apple-converted-space"/>
          <w:sz w:val="16"/>
          <w:szCs w:val="16"/>
        </w:rPr>
        <w:t> </w:t>
      </w:r>
      <w:r w:rsidRPr="00A97BC7">
        <w:rPr>
          <w:rStyle w:val="Emphasis"/>
          <w:sz w:val="16"/>
          <w:szCs w:val="16"/>
        </w:rPr>
        <w:t>Urban health and society: Interdisciplinary approaches to research and practice</w:t>
      </w:r>
      <w:r w:rsidRPr="00A97BC7">
        <w:rPr>
          <w:rStyle w:val="apple-converted-space"/>
          <w:sz w:val="16"/>
          <w:szCs w:val="16"/>
        </w:rPr>
        <w:t> </w:t>
      </w:r>
      <w:r w:rsidRPr="00A97BC7">
        <w:rPr>
          <w:sz w:val="16"/>
          <w:szCs w:val="16"/>
        </w:rPr>
        <w:t>(pp. 217–237). Jossey-Bass/Wiley.</w:t>
      </w:r>
      <w:r w:rsidRPr="00A97BC7">
        <w:rPr>
          <w:rStyle w:val="apple-converted-space"/>
          <w:sz w:val="16"/>
          <w:szCs w:val="16"/>
        </w:rPr>
        <w:t> </w:t>
      </w:r>
      <w:hyperlink r:id="rId53" w:tgtFrame="_new" w:history="1">
        <w:r w:rsidRPr="00A97BC7">
          <w:rPr>
            <w:rStyle w:val="Hyperlink"/>
            <w:sz w:val="16"/>
            <w:szCs w:val="16"/>
          </w:rPr>
          <w:t>https://search.ebscohost.com/login.aspx?direct=true&amp;db=psyh&amp;AN=2009-06784-009&amp;site=ehost-live</w:t>
        </w:r>
      </w:hyperlink>
    </w:p>
    <w:p w14:paraId="18752547" w14:textId="77777777" w:rsidR="004365A5" w:rsidRPr="00A97BC7" w:rsidRDefault="004365A5" w:rsidP="004365A5">
      <w:pPr>
        <w:pStyle w:val="NormalWeb"/>
        <w:numPr>
          <w:ilvl w:val="0"/>
          <w:numId w:val="55"/>
        </w:numPr>
        <w:rPr>
          <w:sz w:val="16"/>
          <w:szCs w:val="16"/>
        </w:rPr>
      </w:pPr>
      <w:r w:rsidRPr="00A97BC7">
        <w:rPr>
          <w:sz w:val="16"/>
          <w:szCs w:val="16"/>
        </w:rPr>
        <w:t>Hagan, P., &amp; Gryseels, B. (1994). Schistosomiasis research and the European Community.</w:t>
      </w:r>
      <w:r w:rsidRPr="00A97BC7">
        <w:rPr>
          <w:rStyle w:val="apple-converted-space"/>
          <w:sz w:val="16"/>
          <w:szCs w:val="16"/>
        </w:rPr>
        <w:t> </w:t>
      </w:r>
      <w:r w:rsidRPr="00A97BC7">
        <w:rPr>
          <w:rStyle w:val="Emphasis"/>
          <w:sz w:val="16"/>
          <w:szCs w:val="16"/>
        </w:rPr>
        <w:t>Tropical and Geographical Medicine, 46</w:t>
      </w:r>
      <w:r w:rsidRPr="00A97BC7">
        <w:rPr>
          <w:sz w:val="16"/>
          <w:szCs w:val="16"/>
        </w:rPr>
        <w:t>(4), 259–268.</w:t>
      </w:r>
      <w:r w:rsidRPr="00A97BC7">
        <w:rPr>
          <w:rStyle w:val="apple-converted-space"/>
          <w:sz w:val="16"/>
          <w:szCs w:val="16"/>
        </w:rPr>
        <w:t> </w:t>
      </w:r>
      <w:hyperlink r:id="rId54" w:tgtFrame="_new" w:history="1">
        <w:r w:rsidRPr="00A97BC7">
          <w:rPr>
            <w:rStyle w:val="Hyperlink"/>
            <w:sz w:val="16"/>
            <w:szCs w:val="16"/>
          </w:rPr>
          <w:t>https://www.scopus.com/inward/record.uri?eid=2-s2.0-0027933037&amp;partnerID=40&amp;md5=9ef733cc25009d50513e52ce73bd5dbe</w:t>
        </w:r>
      </w:hyperlink>
    </w:p>
    <w:p w14:paraId="6123C126" w14:textId="77777777" w:rsidR="004365A5" w:rsidRPr="00A97BC7" w:rsidRDefault="004365A5" w:rsidP="004365A5">
      <w:pPr>
        <w:pStyle w:val="NormalWeb"/>
        <w:numPr>
          <w:ilvl w:val="0"/>
          <w:numId w:val="55"/>
        </w:numPr>
        <w:rPr>
          <w:sz w:val="16"/>
          <w:szCs w:val="16"/>
        </w:rPr>
      </w:pPr>
      <w:r w:rsidRPr="00A97BC7">
        <w:rPr>
          <w:sz w:val="16"/>
          <w:szCs w:val="16"/>
        </w:rPr>
        <w:t>Hall, P. A., &amp; Fong, G. T. (2013). Temporal self-regulation theory: Integrating biological, psychological, and ecological determinants of health behavior performance. In</w:t>
      </w:r>
      <w:r w:rsidRPr="00A97BC7">
        <w:rPr>
          <w:rStyle w:val="apple-converted-space"/>
          <w:sz w:val="16"/>
          <w:szCs w:val="16"/>
        </w:rPr>
        <w:t> </w:t>
      </w:r>
      <w:r w:rsidRPr="00A97BC7">
        <w:rPr>
          <w:rStyle w:val="Emphasis"/>
          <w:sz w:val="16"/>
          <w:szCs w:val="16"/>
        </w:rPr>
        <w:t>Advances in health psychology</w:t>
      </w:r>
      <w:r w:rsidRPr="00A97BC7">
        <w:rPr>
          <w:rStyle w:val="apple-converted-space"/>
          <w:sz w:val="16"/>
          <w:szCs w:val="16"/>
        </w:rPr>
        <w:t> </w:t>
      </w:r>
      <w:r w:rsidRPr="00A97BC7">
        <w:rPr>
          <w:sz w:val="16"/>
          <w:szCs w:val="16"/>
        </w:rPr>
        <w:t>(pp. 35–54). Springer.</w:t>
      </w:r>
      <w:r w:rsidRPr="00A97BC7">
        <w:rPr>
          <w:rStyle w:val="apple-converted-space"/>
          <w:sz w:val="16"/>
          <w:szCs w:val="16"/>
        </w:rPr>
        <w:t> </w:t>
      </w:r>
      <w:hyperlink r:id="rId55" w:tgtFrame="_new" w:history="1">
        <w:r w:rsidRPr="00A97BC7">
          <w:rPr>
            <w:rStyle w:val="Hyperlink"/>
            <w:sz w:val="16"/>
            <w:szCs w:val="16"/>
          </w:rPr>
          <w:t>https://doi.org/10.1007/978-1-4614-6852-3_3</w:t>
        </w:r>
      </w:hyperlink>
    </w:p>
    <w:p w14:paraId="33B5BD06" w14:textId="77777777" w:rsidR="004365A5" w:rsidRPr="00A97BC7" w:rsidRDefault="004365A5" w:rsidP="004365A5">
      <w:pPr>
        <w:pStyle w:val="NormalWeb"/>
        <w:numPr>
          <w:ilvl w:val="0"/>
          <w:numId w:val="55"/>
        </w:numPr>
        <w:rPr>
          <w:sz w:val="16"/>
          <w:szCs w:val="16"/>
        </w:rPr>
      </w:pPr>
      <w:r w:rsidRPr="00A97BC7">
        <w:rPr>
          <w:sz w:val="16"/>
          <w:szCs w:val="16"/>
        </w:rPr>
        <w:t xml:space="preserve">Halliday, J. E. B., Knobel, D. L., Agwanda, B., Bai, Y., Breiman, R. F., Cleaveland, S., </w:t>
      </w:r>
      <w:r>
        <w:rPr>
          <w:sz w:val="16"/>
          <w:szCs w:val="16"/>
        </w:rPr>
        <w:t>et al</w:t>
      </w:r>
      <w:r w:rsidRPr="00A97BC7">
        <w:rPr>
          <w:sz w:val="16"/>
          <w:szCs w:val="16"/>
        </w:rPr>
        <w:t>. (2015). Prevalence and diversity of small mammal-associated</w:t>
      </w:r>
      <w:r w:rsidRPr="00A97BC7">
        <w:rPr>
          <w:rStyle w:val="apple-converted-space"/>
          <w:sz w:val="16"/>
          <w:szCs w:val="16"/>
        </w:rPr>
        <w:t> </w:t>
      </w:r>
      <w:r w:rsidRPr="00A97BC7">
        <w:rPr>
          <w:rStyle w:val="Emphasis"/>
          <w:sz w:val="16"/>
          <w:szCs w:val="16"/>
        </w:rPr>
        <w:t>Bartonella</w:t>
      </w:r>
      <w:r w:rsidRPr="00A97BC7">
        <w:rPr>
          <w:rStyle w:val="apple-converted-space"/>
          <w:sz w:val="16"/>
          <w:szCs w:val="16"/>
        </w:rPr>
        <w:t> </w:t>
      </w:r>
      <w:r w:rsidRPr="00A97BC7">
        <w:rPr>
          <w:sz w:val="16"/>
          <w:szCs w:val="16"/>
        </w:rPr>
        <w:t>species in rural and urban Kenya.</w:t>
      </w:r>
      <w:r w:rsidRPr="00A97BC7">
        <w:rPr>
          <w:rStyle w:val="apple-converted-space"/>
          <w:sz w:val="16"/>
          <w:szCs w:val="16"/>
        </w:rPr>
        <w:t> </w:t>
      </w:r>
      <w:r w:rsidRPr="00A97BC7">
        <w:rPr>
          <w:rStyle w:val="Emphasis"/>
          <w:sz w:val="16"/>
          <w:szCs w:val="16"/>
        </w:rPr>
        <w:t>PLOS Neglected Tropical Diseases, 9</w:t>
      </w:r>
      <w:r w:rsidRPr="00A97BC7">
        <w:rPr>
          <w:sz w:val="16"/>
          <w:szCs w:val="16"/>
        </w:rPr>
        <w:t>(3), e0003608.</w:t>
      </w:r>
      <w:r>
        <w:rPr>
          <w:rStyle w:val="apple-converted-space"/>
          <w:rFonts w:eastAsiaTheme="majorEastAsia"/>
          <w:sz w:val="16"/>
          <w:szCs w:val="16"/>
        </w:rPr>
        <w:t xml:space="preserve"> </w:t>
      </w:r>
      <w:hyperlink r:id="rId56" w:tgtFrame="_new" w:history="1">
        <w:r w:rsidRPr="00A97BC7">
          <w:rPr>
            <w:rStyle w:val="Hyperlink"/>
            <w:sz w:val="16"/>
            <w:szCs w:val="16"/>
          </w:rPr>
          <w:t>https://doi.org/10.1371/journal.pntd.0003608</w:t>
        </w:r>
      </w:hyperlink>
      <w:r w:rsidRPr="00A97BC7">
        <w:rPr>
          <w:sz w:val="16"/>
          <w:szCs w:val="16"/>
        </w:rPr>
        <w:t xml:space="preserve"> </w:t>
      </w:r>
    </w:p>
    <w:p w14:paraId="5E21706F" w14:textId="77777777" w:rsidR="004365A5" w:rsidRPr="00A97BC7" w:rsidRDefault="004365A5" w:rsidP="004365A5">
      <w:pPr>
        <w:pStyle w:val="NormalWeb"/>
        <w:numPr>
          <w:ilvl w:val="0"/>
          <w:numId w:val="55"/>
        </w:numPr>
        <w:rPr>
          <w:sz w:val="16"/>
          <w:szCs w:val="16"/>
        </w:rPr>
      </w:pPr>
      <w:r w:rsidRPr="00A97BC7">
        <w:rPr>
          <w:sz w:val="16"/>
          <w:szCs w:val="16"/>
        </w:rPr>
        <w:lastRenderedPageBreak/>
        <w:t>Hamiduzzaman, M., de Bellis, A., Abigail, W., Harrington, A., &amp; Fletcher, A. (2023). “When I suffer from fever, I eat mangos”: Determinants of health-seeking beliefs and behaviors of rural older women in Sylhet, Bangladesh.</w:t>
      </w:r>
      <w:r w:rsidRPr="00A97BC7">
        <w:rPr>
          <w:rStyle w:val="apple-converted-space"/>
          <w:sz w:val="16"/>
          <w:szCs w:val="16"/>
        </w:rPr>
        <w:t> </w:t>
      </w:r>
      <w:r w:rsidRPr="00A97BC7">
        <w:rPr>
          <w:rStyle w:val="Emphasis"/>
          <w:sz w:val="16"/>
          <w:szCs w:val="16"/>
        </w:rPr>
        <w:t>Journal of Women &amp; Aging, 35</w:t>
      </w:r>
      <w:r w:rsidRPr="00A97BC7">
        <w:rPr>
          <w:sz w:val="16"/>
          <w:szCs w:val="16"/>
        </w:rPr>
        <w:t>(1), 4–21.</w:t>
      </w:r>
      <w:r w:rsidRPr="00A97BC7">
        <w:rPr>
          <w:rStyle w:val="apple-converted-space"/>
          <w:sz w:val="16"/>
          <w:szCs w:val="16"/>
        </w:rPr>
        <w:t> </w:t>
      </w:r>
      <w:hyperlink r:id="rId57" w:tgtFrame="_new" w:history="1">
        <w:r w:rsidRPr="00A97BC7">
          <w:rPr>
            <w:rStyle w:val="Hyperlink"/>
            <w:sz w:val="16"/>
            <w:szCs w:val="16"/>
          </w:rPr>
          <w:t>https://doi.org/10.1080/08952841.2021.1996195</w:t>
        </w:r>
      </w:hyperlink>
    </w:p>
    <w:p w14:paraId="43E349AF" w14:textId="77777777" w:rsidR="004365A5" w:rsidRPr="00A97BC7" w:rsidRDefault="004365A5" w:rsidP="004365A5">
      <w:pPr>
        <w:pStyle w:val="NormalWeb"/>
        <w:numPr>
          <w:ilvl w:val="0"/>
          <w:numId w:val="55"/>
        </w:numPr>
        <w:rPr>
          <w:sz w:val="16"/>
          <w:szCs w:val="16"/>
        </w:rPr>
      </w:pPr>
      <w:r w:rsidRPr="00A97BC7">
        <w:rPr>
          <w:sz w:val="16"/>
          <w:szCs w:val="16"/>
        </w:rPr>
        <w:t>Hancock, T. (2019). Health in the Anthropocene: From the global to the local. In</w:t>
      </w:r>
      <w:r w:rsidRPr="00A97BC7">
        <w:rPr>
          <w:rStyle w:val="apple-converted-space"/>
          <w:sz w:val="16"/>
          <w:szCs w:val="16"/>
        </w:rPr>
        <w:t> </w:t>
      </w:r>
      <w:r w:rsidRPr="00A97BC7">
        <w:rPr>
          <w:rStyle w:val="Emphasis"/>
          <w:sz w:val="16"/>
          <w:szCs w:val="16"/>
        </w:rPr>
        <w:t>Global health and sustainability</w:t>
      </w:r>
      <w:r w:rsidRPr="00A97BC7">
        <w:rPr>
          <w:rStyle w:val="apple-converted-space"/>
          <w:sz w:val="16"/>
          <w:szCs w:val="16"/>
        </w:rPr>
        <w:t> </w:t>
      </w:r>
      <w:r w:rsidRPr="00A97BC7">
        <w:rPr>
          <w:sz w:val="16"/>
          <w:szCs w:val="16"/>
        </w:rPr>
        <w:t>(pp. 323–328). Elsevier.</w:t>
      </w:r>
      <w:r w:rsidRPr="00A97BC7">
        <w:rPr>
          <w:rStyle w:val="apple-converted-space"/>
          <w:sz w:val="16"/>
          <w:szCs w:val="16"/>
        </w:rPr>
        <w:t> </w:t>
      </w:r>
      <w:hyperlink r:id="rId58" w:tgtFrame="_new" w:history="1">
        <w:r w:rsidRPr="00A97BC7">
          <w:rPr>
            <w:rStyle w:val="Hyperlink"/>
            <w:sz w:val="16"/>
            <w:szCs w:val="16"/>
          </w:rPr>
          <w:t>https://doi.org/10.1016/B978-0-08-102295-5.10991-6</w:t>
        </w:r>
      </w:hyperlink>
    </w:p>
    <w:p w14:paraId="018EA5FB" w14:textId="77777777" w:rsidR="004365A5" w:rsidRPr="00A97BC7" w:rsidRDefault="004365A5" w:rsidP="004365A5">
      <w:pPr>
        <w:pStyle w:val="NormalWeb"/>
        <w:numPr>
          <w:ilvl w:val="0"/>
          <w:numId w:val="55"/>
        </w:numPr>
        <w:rPr>
          <w:sz w:val="16"/>
          <w:szCs w:val="16"/>
        </w:rPr>
      </w:pPr>
      <w:r w:rsidRPr="00A97BC7">
        <w:rPr>
          <w:sz w:val="16"/>
          <w:szCs w:val="16"/>
        </w:rPr>
        <w:t>Hancock, T. (2021). Towards healthy One Planet cities and communities: Planetary health promotion at the local level.</w:t>
      </w:r>
      <w:r w:rsidRPr="00A97BC7">
        <w:rPr>
          <w:rStyle w:val="apple-converted-space"/>
          <w:sz w:val="16"/>
          <w:szCs w:val="16"/>
        </w:rPr>
        <w:t> </w:t>
      </w:r>
      <w:r w:rsidRPr="00A97BC7">
        <w:rPr>
          <w:rStyle w:val="Emphasis"/>
          <w:sz w:val="16"/>
          <w:szCs w:val="16"/>
        </w:rPr>
        <w:t>Health Promotion International, 36</w:t>
      </w:r>
      <w:r w:rsidRPr="00A97BC7">
        <w:rPr>
          <w:sz w:val="16"/>
          <w:szCs w:val="16"/>
        </w:rPr>
        <w:t>(Suppl. 1), i53–i63.</w:t>
      </w:r>
      <w:r w:rsidRPr="00A97BC7">
        <w:rPr>
          <w:rStyle w:val="apple-converted-space"/>
          <w:sz w:val="16"/>
          <w:szCs w:val="16"/>
        </w:rPr>
        <w:t> </w:t>
      </w:r>
      <w:hyperlink r:id="rId59" w:tgtFrame="_new" w:history="1">
        <w:r w:rsidRPr="00A97BC7">
          <w:rPr>
            <w:rStyle w:val="Hyperlink"/>
            <w:sz w:val="16"/>
            <w:szCs w:val="16"/>
          </w:rPr>
          <w:t>https://doi.org/10.1093/heapro/daab120</w:t>
        </w:r>
      </w:hyperlink>
    </w:p>
    <w:p w14:paraId="588234C5" w14:textId="77777777" w:rsidR="004365A5" w:rsidRPr="00A97BC7" w:rsidRDefault="004365A5" w:rsidP="004365A5">
      <w:pPr>
        <w:pStyle w:val="NormalWeb"/>
        <w:numPr>
          <w:ilvl w:val="0"/>
          <w:numId w:val="55"/>
        </w:numPr>
        <w:rPr>
          <w:sz w:val="16"/>
          <w:szCs w:val="16"/>
        </w:rPr>
      </w:pPr>
      <w:r w:rsidRPr="00A97BC7">
        <w:rPr>
          <w:sz w:val="16"/>
          <w:szCs w:val="16"/>
        </w:rPr>
        <w:t xml:space="preserve">Hernandez, C. J., Echegaray, F., Sundar, K., Yang, L. Z., Cambou, M. C., Segura, E. R., </w:t>
      </w:r>
      <w:r>
        <w:rPr>
          <w:sz w:val="16"/>
          <w:szCs w:val="16"/>
        </w:rPr>
        <w:t>et al</w:t>
      </w:r>
      <w:r w:rsidRPr="00A97BC7">
        <w:rPr>
          <w:sz w:val="16"/>
          <w:szCs w:val="16"/>
        </w:rPr>
        <w:t>. (2025). Socio-ecological determinants of detectable viremia among pregnant people living with HIV in South Brazil: The role of stimulant use disorder and homelessness.</w:t>
      </w:r>
      <w:r w:rsidRPr="00A97BC7">
        <w:rPr>
          <w:rStyle w:val="apple-converted-space"/>
          <w:sz w:val="16"/>
          <w:szCs w:val="16"/>
        </w:rPr>
        <w:t> </w:t>
      </w:r>
      <w:r w:rsidRPr="00A97BC7">
        <w:rPr>
          <w:rStyle w:val="Emphasis"/>
          <w:sz w:val="16"/>
          <w:szCs w:val="16"/>
        </w:rPr>
        <w:t>AIDS and Behavior, 29</w:t>
      </w:r>
      <w:r w:rsidRPr="00A97BC7">
        <w:rPr>
          <w:sz w:val="16"/>
          <w:szCs w:val="16"/>
        </w:rPr>
        <w:t>(7), 2066–2076.</w:t>
      </w:r>
      <w:r w:rsidRPr="00A97BC7">
        <w:rPr>
          <w:rStyle w:val="apple-converted-space"/>
          <w:sz w:val="16"/>
          <w:szCs w:val="16"/>
        </w:rPr>
        <w:t> </w:t>
      </w:r>
      <w:hyperlink r:id="rId60" w:tgtFrame="_new" w:history="1">
        <w:r w:rsidRPr="00A97BC7">
          <w:rPr>
            <w:rStyle w:val="Hyperlink"/>
            <w:sz w:val="16"/>
            <w:szCs w:val="16"/>
          </w:rPr>
          <w:t>https://doi.org/10.1007/s10461-025-04639-5</w:t>
        </w:r>
      </w:hyperlink>
    </w:p>
    <w:p w14:paraId="162F5851" w14:textId="77777777" w:rsidR="004365A5" w:rsidRPr="00A97BC7" w:rsidRDefault="004365A5" w:rsidP="004365A5">
      <w:pPr>
        <w:pStyle w:val="NormalWeb"/>
        <w:numPr>
          <w:ilvl w:val="0"/>
          <w:numId w:val="55"/>
        </w:numPr>
        <w:rPr>
          <w:sz w:val="16"/>
          <w:szCs w:val="16"/>
        </w:rPr>
      </w:pPr>
      <w:r w:rsidRPr="00A97BC7">
        <w:rPr>
          <w:sz w:val="16"/>
          <w:szCs w:val="16"/>
        </w:rPr>
        <w:t>Hill, K. X., Johnston, L. J., Blue, M. R., Probst, J., Staecker, M., &amp; Jennings, L. L. (2024). Rematriation and climate justice: Intersections of indigenous health and place.</w:t>
      </w:r>
      <w:r w:rsidRPr="00A97BC7">
        <w:rPr>
          <w:rStyle w:val="apple-converted-space"/>
          <w:sz w:val="16"/>
          <w:szCs w:val="16"/>
        </w:rPr>
        <w:t> </w:t>
      </w:r>
      <w:r w:rsidRPr="00A97BC7">
        <w:rPr>
          <w:rStyle w:val="Emphasis"/>
          <w:sz w:val="16"/>
          <w:szCs w:val="16"/>
        </w:rPr>
        <w:t>Journal of Climate Change and Health, 18</w:t>
      </w:r>
      <w:r w:rsidRPr="00A97BC7">
        <w:rPr>
          <w:sz w:val="16"/>
          <w:szCs w:val="16"/>
        </w:rPr>
        <w:t>, 100314.</w:t>
      </w:r>
      <w:r>
        <w:rPr>
          <w:rStyle w:val="apple-converted-space"/>
          <w:rFonts w:eastAsiaTheme="majorEastAsia"/>
          <w:sz w:val="16"/>
          <w:szCs w:val="16"/>
        </w:rPr>
        <w:t xml:space="preserve"> </w:t>
      </w:r>
      <w:hyperlink r:id="rId61" w:tgtFrame="_new" w:history="1">
        <w:r w:rsidRPr="00A97BC7">
          <w:rPr>
            <w:rStyle w:val="Hyperlink"/>
            <w:sz w:val="16"/>
            <w:szCs w:val="16"/>
          </w:rPr>
          <w:t>https://doi.org/10.1016/j.joclim.2024.100314</w:t>
        </w:r>
      </w:hyperlink>
      <w:r w:rsidRPr="00A97BC7">
        <w:rPr>
          <w:sz w:val="16"/>
          <w:szCs w:val="16"/>
        </w:rPr>
        <w:t xml:space="preserve"> </w:t>
      </w:r>
    </w:p>
    <w:p w14:paraId="315BC5D6" w14:textId="77777777" w:rsidR="004365A5" w:rsidRPr="00A97BC7" w:rsidRDefault="004365A5" w:rsidP="004365A5">
      <w:pPr>
        <w:pStyle w:val="NormalWeb"/>
        <w:numPr>
          <w:ilvl w:val="0"/>
          <w:numId w:val="55"/>
        </w:numPr>
        <w:rPr>
          <w:sz w:val="16"/>
          <w:szCs w:val="16"/>
        </w:rPr>
      </w:pPr>
      <w:r w:rsidRPr="00A97BC7">
        <w:rPr>
          <w:sz w:val="16"/>
          <w:szCs w:val="16"/>
        </w:rPr>
        <w:t>Holst, J. (2020). COVID-19: Special challenges for theoretical and practical public health.</w:t>
      </w:r>
      <w:r w:rsidRPr="00A97BC7">
        <w:rPr>
          <w:rStyle w:val="apple-converted-space"/>
          <w:sz w:val="16"/>
          <w:szCs w:val="16"/>
        </w:rPr>
        <w:t> </w:t>
      </w:r>
      <w:r w:rsidRPr="00A97BC7">
        <w:rPr>
          <w:rStyle w:val="Emphasis"/>
          <w:sz w:val="16"/>
          <w:szCs w:val="16"/>
        </w:rPr>
        <w:t>Gesundheitswesen, 82</w:t>
      </w:r>
      <w:r w:rsidRPr="00A97BC7">
        <w:rPr>
          <w:sz w:val="16"/>
          <w:szCs w:val="16"/>
        </w:rPr>
        <w:t>(11), 829–835.</w:t>
      </w:r>
      <w:r w:rsidRPr="00A97BC7">
        <w:rPr>
          <w:rStyle w:val="apple-converted-space"/>
          <w:sz w:val="16"/>
          <w:szCs w:val="16"/>
        </w:rPr>
        <w:t> </w:t>
      </w:r>
      <w:hyperlink r:id="rId62" w:tgtFrame="_new" w:history="1">
        <w:r w:rsidRPr="00A97BC7">
          <w:rPr>
            <w:rStyle w:val="Hyperlink"/>
            <w:sz w:val="16"/>
            <w:szCs w:val="16"/>
          </w:rPr>
          <w:t>https://doi.org/10.1055/a-1276-0847</w:t>
        </w:r>
      </w:hyperlink>
    </w:p>
    <w:p w14:paraId="28C1753D" w14:textId="77777777" w:rsidR="004365A5" w:rsidRPr="00A97BC7" w:rsidRDefault="004365A5" w:rsidP="004365A5">
      <w:pPr>
        <w:pStyle w:val="NormalWeb"/>
        <w:numPr>
          <w:ilvl w:val="0"/>
          <w:numId w:val="55"/>
        </w:numPr>
        <w:rPr>
          <w:sz w:val="16"/>
          <w:szCs w:val="16"/>
        </w:rPr>
      </w:pPr>
      <w:r w:rsidRPr="00A97BC7">
        <w:rPr>
          <w:sz w:val="16"/>
          <w:szCs w:val="16"/>
        </w:rPr>
        <w:t>Horwitz, P., &amp; Parkes, M. W. (2016). Scoping health impact assessment: Ecosystem services as a framing device. In</w:t>
      </w:r>
      <w:r w:rsidRPr="00A97BC7">
        <w:rPr>
          <w:rStyle w:val="apple-converted-space"/>
          <w:sz w:val="16"/>
          <w:szCs w:val="16"/>
        </w:rPr>
        <w:t> </w:t>
      </w:r>
      <w:r w:rsidRPr="00A97BC7">
        <w:rPr>
          <w:rStyle w:val="Emphasis"/>
          <w:sz w:val="16"/>
          <w:szCs w:val="16"/>
        </w:rPr>
        <w:t>Health impact assessment: Past, present and future</w:t>
      </w:r>
      <w:r w:rsidRPr="00A97BC7">
        <w:rPr>
          <w:rStyle w:val="apple-converted-space"/>
          <w:sz w:val="16"/>
          <w:szCs w:val="16"/>
        </w:rPr>
        <w:t> </w:t>
      </w:r>
      <w:r w:rsidRPr="00A97BC7">
        <w:rPr>
          <w:sz w:val="16"/>
          <w:szCs w:val="16"/>
        </w:rPr>
        <w:t>(pp. 62–85). Edward Elgar Publishing.</w:t>
      </w:r>
      <w:r>
        <w:rPr>
          <w:rStyle w:val="apple-converted-space"/>
          <w:rFonts w:eastAsiaTheme="majorEastAsia"/>
          <w:sz w:val="16"/>
          <w:szCs w:val="16"/>
        </w:rPr>
        <w:t xml:space="preserve"> </w:t>
      </w:r>
      <w:hyperlink r:id="rId63" w:tgtFrame="_new" w:history="1">
        <w:r w:rsidRPr="00A97BC7">
          <w:rPr>
            <w:rStyle w:val="Hyperlink"/>
            <w:sz w:val="16"/>
            <w:szCs w:val="16"/>
          </w:rPr>
          <w:t>https://doi.org/10.4337/9781783478996.00009</w:t>
        </w:r>
      </w:hyperlink>
      <w:r w:rsidRPr="00A97BC7">
        <w:rPr>
          <w:sz w:val="16"/>
          <w:szCs w:val="16"/>
        </w:rPr>
        <w:t xml:space="preserve"> </w:t>
      </w:r>
    </w:p>
    <w:p w14:paraId="20BB7E7A" w14:textId="77777777" w:rsidR="004365A5" w:rsidRPr="00A97BC7" w:rsidRDefault="004365A5" w:rsidP="004365A5">
      <w:pPr>
        <w:pStyle w:val="NormalWeb"/>
        <w:numPr>
          <w:ilvl w:val="0"/>
          <w:numId w:val="55"/>
        </w:numPr>
        <w:rPr>
          <w:sz w:val="16"/>
          <w:szCs w:val="16"/>
        </w:rPr>
      </w:pPr>
      <w:r w:rsidRPr="00A97BC7">
        <w:rPr>
          <w:sz w:val="16"/>
          <w:szCs w:val="16"/>
        </w:rPr>
        <w:t>Hubbard, S., &amp; Cornell, P. Y. (2025). Changes in dental care use following marital status change in the Health and Retirement</w:t>
      </w:r>
      <w:r>
        <w:rPr>
          <w:sz w:val="16"/>
          <w:szCs w:val="16"/>
        </w:rPr>
        <w:t xml:space="preserve"> </w:t>
      </w:r>
      <w:r w:rsidRPr="00A97BC7">
        <w:rPr>
          <w:sz w:val="16"/>
          <w:szCs w:val="16"/>
        </w:rPr>
        <w:t>Study.</w:t>
      </w:r>
      <w:r w:rsidRPr="00A97BC7">
        <w:rPr>
          <w:rStyle w:val="apple-converted-space"/>
          <w:sz w:val="16"/>
          <w:szCs w:val="16"/>
        </w:rPr>
        <w:t> </w:t>
      </w:r>
      <w:r w:rsidRPr="00A97BC7">
        <w:rPr>
          <w:rStyle w:val="Emphasis"/>
          <w:sz w:val="16"/>
          <w:szCs w:val="16"/>
        </w:rPr>
        <w:t>The Gerontologist, 65</w:t>
      </w:r>
      <w:r w:rsidRPr="00A97BC7">
        <w:rPr>
          <w:sz w:val="16"/>
          <w:szCs w:val="16"/>
        </w:rPr>
        <w:t>(2).</w:t>
      </w:r>
      <w:r w:rsidRPr="00A97BC7">
        <w:rPr>
          <w:rStyle w:val="apple-converted-space"/>
          <w:sz w:val="16"/>
          <w:szCs w:val="16"/>
        </w:rPr>
        <w:t> </w:t>
      </w:r>
      <w:hyperlink r:id="rId64" w:tgtFrame="_new" w:history="1">
        <w:r w:rsidRPr="00A97BC7">
          <w:rPr>
            <w:rStyle w:val="Hyperlink"/>
            <w:sz w:val="16"/>
            <w:szCs w:val="16"/>
          </w:rPr>
          <w:t>https://doi.org/10.1093/geront/gnae151</w:t>
        </w:r>
      </w:hyperlink>
    </w:p>
    <w:p w14:paraId="53EFD594" w14:textId="77777777" w:rsidR="004365A5" w:rsidRPr="00A97BC7" w:rsidRDefault="004365A5" w:rsidP="004365A5">
      <w:pPr>
        <w:pStyle w:val="NormalWeb"/>
        <w:numPr>
          <w:ilvl w:val="0"/>
          <w:numId w:val="55"/>
        </w:numPr>
        <w:rPr>
          <w:sz w:val="16"/>
          <w:szCs w:val="16"/>
        </w:rPr>
      </w:pPr>
      <w:r w:rsidRPr="00A97BC7">
        <w:rPr>
          <w:sz w:val="16"/>
          <w:szCs w:val="16"/>
        </w:rPr>
        <w:t>Hurtado, A. M., Hill, K., Hurtado, I., &amp; Kaplan, H. (1992). Trade-offs between female food acquisition and child care among Hiwi and Ache foragers.</w:t>
      </w:r>
      <w:r w:rsidRPr="00A97BC7">
        <w:rPr>
          <w:rStyle w:val="apple-converted-space"/>
          <w:sz w:val="16"/>
          <w:szCs w:val="16"/>
        </w:rPr>
        <w:t> </w:t>
      </w:r>
      <w:r w:rsidRPr="00A97BC7">
        <w:rPr>
          <w:rStyle w:val="Emphasis"/>
          <w:sz w:val="16"/>
          <w:szCs w:val="16"/>
        </w:rPr>
        <w:t>Human Nature, 3</w:t>
      </w:r>
      <w:r w:rsidRPr="00A97BC7">
        <w:rPr>
          <w:sz w:val="16"/>
          <w:szCs w:val="16"/>
        </w:rPr>
        <w:t>(3), 185–216.</w:t>
      </w:r>
      <w:r w:rsidRPr="00A97BC7">
        <w:rPr>
          <w:rStyle w:val="apple-converted-space"/>
          <w:sz w:val="16"/>
          <w:szCs w:val="16"/>
        </w:rPr>
        <w:t> </w:t>
      </w:r>
      <w:hyperlink r:id="rId65" w:tgtFrame="_new" w:history="1">
        <w:r w:rsidRPr="00A97BC7">
          <w:rPr>
            <w:rStyle w:val="Hyperlink"/>
            <w:sz w:val="16"/>
            <w:szCs w:val="16"/>
          </w:rPr>
          <w:t>https://doi.org/10.1007/BF02692239</w:t>
        </w:r>
      </w:hyperlink>
    </w:p>
    <w:p w14:paraId="32E15EA4" w14:textId="77777777" w:rsidR="004365A5" w:rsidRPr="00A97BC7" w:rsidRDefault="004365A5" w:rsidP="004365A5">
      <w:pPr>
        <w:pStyle w:val="NormalWeb"/>
        <w:numPr>
          <w:ilvl w:val="0"/>
          <w:numId w:val="55"/>
        </w:numPr>
        <w:rPr>
          <w:sz w:val="16"/>
          <w:szCs w:val="16"/>
        </w:rPr>
      </w:pPr>
      <w:r w:rsidRPr="00A97BC7">
        <w:rPr>
          <w:sz w:val="16"/>
          <w:szCs w:val="16"/>
        </w:rPr>
        <w:t>Imo, C. K., &amp; de Wet-Billings, N. (2023). Socio-ecological determinants of under-five mortality in Nigeria: Exploring the roles of neighbourhood poverty and use of solid cooking fuel.</w:t>
      </w:r>
      <w:r w:rsidRPr="00A97BC7">
        <w:rPr>
          <w:rStyle w:val="apple-converted-space"/>
          <w:sz w:val="16"/>
          <w:szCs w:val="16"/>
        </w:rPr>
        <w:t> </w:t>
      </w:r>
      <w:r w:rsidRPr="00A97BC7">
        <w:rPr>
          <w:rStyle w:val="Emphasis"/>
          <w:sz w:val="16"/>
          <w:szCs w:val="16"/>
        </w:rPr>
        <w:t>Journal of Biosocial Science, 55</w:t>
      </w:r>
      <w:r w:rsidRPr="00A97BC7">
        <w:rPr>
          <w:sz w:val="16"/>
          <w:szCs w:val="16"/>
        </w:rPr>
        <w:t>(1), 22–34.</w:t>
      </w:r>
      <w:r>
        <w:rPr>
          <w:rStyle w:val="apple-converted-space"/>
          <w:rFonts w:eastAsiaTheme="majorEastAsia"/>
          <w:sz w:val="16"/>
          <w:szCs w:val="16"/>
        </w:rPr>
        <w:t xml:space="preserve"> </w:t>
      </w:r>
      <w:hyperlink r:id="rId66" w:tgtFrame="_new" w:history="1">
        <w:r w:rsidRPr="00A97BC7">
          <w:rPr>
            <w:rStyle w:val="Hyperlink"/>
            <w:sz w:val="16"/>
            <w:szCs w:val="16"/>
          </w:rPr>
          <w:t>https://doi.org/10.1017/S0021932021000614</w:t>
        </w:r>
      </w:hyperlink>
      <w:r w:rsidRPr="00A97BC7">
        <w:rPr>
          <w:sz w:val="16"/>
          <w:szCs w:val="16"/>
        </w:rPr>
        <w:t xml:space="preserve"> </w:t>
      </w:r>
    </w:p>
    <w:p w14:paraId="0AF8852F" w14:textId="77777777" w:rsidR="004365A5" w:rsidRPr="00A97BC7" w:rsidRDefault="004365A5" w:rsidP="004365A5">
      <w:pPr>
        <w:pStyle w:val="NormalWeb"/>
        <w:numPr>
          <w:ilvl w:val="0"/>
          <w:numId w:val="55"/>
        </w:numPr>
        <w:rPr>
          <w:sz w:val="16"/>
          <w:szCs w:val="16"/>
        </w:rPr>
      </w:pPr>
      <w:r w:rsidRPr="00A97BC7">
        <w:rPr>
          <w:sz w:val="16"/>
          <w:szCs w:val="16"/>
        </w:rPr>
        <w:t>Iribhogbe, O. I., &amp; Tomini, S. (2021). Vaccination coverage in children resident in a rural community in Nigeria: Socio-ecological and contextual determinants.</w:t>
      </w:r>
      <w:r w:rsidRPr="00A97BC7">
        <w:rPr>
          <w:rStyle w:val="apple-converted-space"/>
          <w:sz w:val="16"/>
          <w:szCs w:val="16"/>
        </w:rPr>
        <w:t> </w:t>
      </w:r>
      <w:r w:rsidRPr="00A97BC7">
        <w:rPr>
          <w:rStyle w:val="Emphasis"/>
          <w:sz w:val="16"/>
          <w:szCs w:val="16"/>
        </w:rPr>
        <w:t>Journal of Pharmaceutical Health Services Research, 12</w:t>
      </w:r>
      <w:r w:rsidRPr="00A97BC7">
        <w:rPr>
          <w:sz w:val="16"/>
          <w:szCs w:val="16"/>
        </w:rPr>
        <w:t>(2), 213–229.</w:t>
      </w:r>
      <w:r>
        <w:rPr>
          <w:rStyle w:val="apple-converted-space"/>
          <w:rFonts w:eastAsiaTheme="majorEastAsia"/>
          <w:sz w:val="16"/>
          <w:szCs w:val="16"/>
        </w:rPr>
        <w:t xml:space="preserve"> </w:t>
      </w:r>
      <w:hyperlink r:id="rId67" w:tgtFrame="_new" w:history="1">
        <w:r w:rsidRPr="00A97BC7">
          <w:rPr>
            <w:rStyle w:val="Hyperlink"/>
            <w:sz w:val="16"/>
            <w:szCs w:val="16"/>
          </w:rPr>
          <w:t>https://doi.org/10.1093/jphsr/rmab011</w:t>
        </w:r>
      </w:hyperlink>
      <w:r w:rsidRPr="00A97BC7">
        <w:rPr>
          <w:sz w:val="16"/>
          <w:szCs w:val="16"/>
        </w:rPr>
        <w:t xml:space="preserve"> </w:t>
      </w:r>
    </w:p>
    <w:p w14:paraId="7B1A1A1D" w14:textId="77777777" w:rsidR="004365A5" w:rsidRPr="00A97BC7" w:rsidRDefault="004365A5" w:rsidP="004365A5">
      <w:pPr>
        <w:pStyle w:val="NormalWeb"/>
        <w:numPr>
          <w:ilvl w:val="0"/>
          <w:numId w:val="55"/>
        </w:numPr>
        <w:rPr>
          <w:sz w:val="16"/>
          <w:szCs w:val="16"/>
        </w:rPr>
      </w:pPr>
      <w:r w:rsidRPr="00A97BC7">
        <w:rPr>
          <w:sz w:val="16"/>
          <w:szCs w:val="16"/>
        </w:rPr>
        <w:t xml:space="preserve">Iro, S. M., Lagare, A., Maïga, A.-A., Nouhou, Z., Gagara, H., Ousmane, H., </w:t>
      </w:r>
      <w:r>
        <w:rPr>
          <w:sz w:val="16"/>
          <w:szCs w:val="16"/>
        </w:rPr>
        <w:t>et al</w:t>
      </w:r>
      <w:r w:rsidRPr="00A97BC7">
        <w:rPr>
          <w:sz w:val="16"/>
          <w:szCs w:val="16"/>
        </w:rPr>
        <w:t>. (2024). First detection of Rift Valley Fever Virus among</w:t>
      </w:r>
      <w:r w:rsidRPr="00A97BC7">
        <w:rPr>
          <w:rStyle w:val="apple-converted-space"/>
          <w:sz w:val="16"/>
          <w:szCs w:val="16"/>
        </w:rPr>
        <w:t> </w:t>
      </w:r>
      <w:r w:rsidRPr="00A97BC7">
        <w:rPr>
          <w:rStyle w:val="Emphasis"/>
          <w:sz w:val="16"/>
          <w:szCs w:val="16"/>
        </w:rPr>
        <w:t>Culex pipiens</w:t>
      </w:r>
      <w:r w:rsidRPr="00A97BC7">
        <w:rPr>
          <w:rStyle w:val="apple-converted-space"/>
          <w:sz w:val="16"/>
          <w:szCs w:val="16"/>
        </w:rPr>
        <w:t> </w:t>
      </w:r>
      <w:r w:rsidRPr="00A97BC7">
        <w:rPr>
          <w:sz w:val="16"/>
          <w:szCs w:val="16"/>
        </w:rPr>
        <w:t>in Tahoua, Niger.</w:t>
      </w:r>
      <w:r w:rsidRPr="00A97BC7">
        <w:rPr>
          <w:rStyle w:val="apple-converted-space"/>
          <w:sz w:val="16"/>
          <w:szCs w:val="16"/>
        </w:rPr>
        <w:t> </w:t>
      </w:r>
      <w:r w:rsidRPr="00A97BC7">
        <w:rPr>
          <w:rStyle w:val="Emphasis"/>
          <w:sz w:val="16"/>
          <w:szCs w:val="16"/>
        </w:rPr>
        <w:t>Medecine Tropicale et Sante Internationale (MTSI), 4</w:t>
      </w:r>
      <w:r w:rsidRPr="00A97BC7">
        <w:rPr>
          <w:sz w:val="16"/>
          <w:szCs w:val="16"/>
        </w:rPr>
        <w:t>(2).</w:t>
      </w:r>
      <w:r>
        <w:rPr>
          <w:rStyle w:val="apple-converted-space"/>
          <w:rFonts w:eastAsiaTheme="majorEastAsia"/>
          <w:sz w:val="16"/>
          <w:szCs w:val="16"/>
        </w:rPr>
        <w:t xml:space="preserve"> </w:t>
      </w:r>
      <w:hyperlink r:id="rId68" w:tgtFrame="_new" w:history="1">
        <w:r w:rsidRPr="00A97BC7">
          <w:rPr>
            <w:rStyle w:val="Hyperlink"/>
            <w:sz w:val="16"/>
            <w:szCs w:val="16"/>
          </w:rPr>
          <w:t>https://doi.org/10.48327/mtsi.v4i2.2024.512</w:t>
        </w:r>
      </w:hyperlink>
      <w:r w:rsidRPr="00A97BC7">
        <w:rPr>
          <w:sz w:val="16"/>
          <w:szCs w:val="16"/>
        </w:rPr>
        <w:t xml:space="preserve"> </w:t>
      </w:r>
    </w:p>
    <w:p w14:paraId="3368B3A9" w14:textId="77777777" w:rsidR="004365A5" w:rsidRPr="00A97BC7" w:rsidRDefault="004365A5" w:rsidP="004365A5">
      <w:pPr>
        <w:pStyle w:val="NormalWeb"/>
        <w:numPr>
          <w:ilvl w:val="0"/>
          <w:numId w:val="55"/>
        </w:numPr>
        <w:rPr>
          <w:sz w:val="16"/>
          <w:szCs w:val="16"/>
        </w:rPr>
      </w:pPr>
      <w:r w:rsidRPr="00A97BC7">
        <w:rPr>
          <w:sz w:val="16"/>
          <w:szCs w:val="16"/>
        </w:rPr>
        <w:t>Irwin, J. H., van Sluijs, E. M. F., Panter, J. R., &amp; Jones, A. (2021). The socio-ecological determinants of change in school travel mode over the transition from childhood to adolescence and the association with physical activity intensity.</w:t>
      </w:r>
      <w:r w:rsidRPr="00A97BC7">
        <w:rPr>
          <w:rStyle w:val="apple-converted-space"/>
          <w:sz w:val="16"/>
          <w:szCs w:val="16"/>
        </w:rPr>
        <w:t> </w:t>
      </w:r>
      <w:r w:rsidRPr="00A97BC7">
        <w:rPr>
          <w:rStyle w:val="Emphasis"/>
          <w:sz w:val="16"/>
          <w:szCs w:val="16"/>
        </w:rPr>
        <w:t>Health &amp; Place, 72</w:t>
      </w:r>
      <w:r w:rsidRPr="00A97BC7">
        <w:rPr>
          <w:sz w:val="16"/>
          <w:szCs w:val="16"/>
        </w:rPr>
        <w:t>, 102667.</w:t>
      </w:r>
      <w:r w:rsidRPr="00A97BC7">
        <w:rPr>
          <w:rStyle w:val="apple-converted-space"/>
          <w:sz w:val="16"/>
          <w:szCs w:val="16"/>
        </w:rPr>
        <w:t> </w:t>
      </w:r>
      <w:hyperlink r:id="rId69" w:tgtFrame="_new" w:history="1">
        <w:r w:rsidRPr="00A97BC7">
          <w:rPr>
            <w:rStyle w:val="Hyperlink"/>
            <w:sz w:val="16"/>
            <w:szCs w:val="16"/>
          </w:rPr>
          <w:t>https://doi.org/10.1016/j.healthplace.2021.102667</w:t>
        </w:r>
      </w:hyperlink>
    </w:p>
    <w:p w14:paraId="52C12E3D" w14:textId="77777777" w:rsidR="004365A5" w:rsidRPr="00A97BC7" w:rsidRDefault="004365A5" w:rsidP="004365A5">
      <w:pPr>
        <w:pStyle w:val="NormalWeb"/>
        <w:numPr>
          <w:ilvl w:val="0"/>
          <w:numId w:val="55"/>
        </w:numPr>
        <w:rPr>
          <w:sz w:val="16"/>
          <w:szCs w:val="16"/>
        </w:rPr>
      </w:pPr>
      <w:r w:rsidRPr="00A97BC7">
        <w:rPr>
          <w:sz w:val="16"/>
          <w:szCs w:val="16"/>
        </w:rPr>
        <w:t>Iyamu, I., McKee, G., Haag, D., &amp; Gilbert, M. (2024). Defining the role of digital public health in the evolving digital health landscape: Policy and practice implications in Canada.</w:t>
      </w:r>
      <w:r w:rsidRPr="00A97BC7">
        <w:rPr>
          <w:rStyle w:val="apple-converted-space"/>
          <w:sz w:val="16"/>
          <w:szCs w:val="16"/>
        </w:rPr>
        <w:t> </w:t>
      </w:r>
      <w:r w:rsidRPr="00A97BC7">
        <w:rPr>
          <w:rStyle w:val="Emphasis"/>
          <w:sz w:val="16"/>
          <w:szCs w:val="16"/>
        </w:rPr>
        <w:t>Health Promotion and Chronic Disease Prevention in Canada: Research, Policy and Practice, 44</w:t>
      </w:r>
      <w:r w:rsidRPr="00A97BC7">
        <w:rPr>
          <w:sz w:val="16"/>
          <w:szCs w:val="16"/>
        </w:rPr>
        <w:t>(2), 66–69.</w:t>
      </w:r>
      <w:r w:rsidRPr="00A97BC7">
        <w:rPr>
          <w:rStyle w:val="apple-converted-space"/>
          <w:sz w:val="16"/>
          <w:szCs w:val="16"/>
        </w:rPr>
        <w:t> </w:t>
      </w:r>
      <w:hyperlink r:id="rId70" w:tgtFrame="_new" w:history="1">
        <w:r w:rsidRPr="00A97BC7">
          <w:rPr>
            <w:rStyle w:val="Hyperlink"/>
            <w:sz w:val="16"/>
            <w:szCs w:val="16"/>
          </w:rPr>
          <w:t>https://doi.org/10.24095/hpcdp.44.2.04</w:t>
        </w:r>
      </w:hyperlink>
    </w:p>
    <w:p w14:paraId="5817BDD0" w14:textId="77777777" w:rsidR="004365A5" w:rsidRPr="00A97BC7" w:rsidRDefault="004365A5" w:rsidP="004365A5">
      <w:pPr>
        <w:pStyle w:val="NormalWeb"/>
        <w:numPr>
          <w:ilvl w:val="0"/>
          <w:numId w:val="55"/>
        </w:numPr>
        <w:rPr>
          <w:sz w:val="16"/>
          <w:szCs w:val="16"/>
        </w:rPr>
      </w:pPr>
      <w:r w:rsidRPr="00A97BC7">
        <w:rPr>
          <w:sz w:val="16"/>
          <w:szCs w:val="16"/>
        </w:rPr>
        <w:t xml:space="preserve">Jayakumar, S. S., Singh, S. K., Upadhye, V. J., Panigrahi, S., Bansal, S., Ojha, V., </w:t>
      </w:r>
      <w:r>
        <w:rPr>
          <w:sz w:val="16"/>
          <w:szCs w:val="16"/>
        </w:rPr>
        <w:t>et al</w:t>
      </w:r>
      <w:r w:rsidRPr="00A97BC7">
        <w:rPr>
          <w:sz w:val="16"/>
          <w:szCs w:val="16"/>
        </w:rPr>
        <w:t>. (2024). Assessing the role of environmental health in infectious disease control.</w:t>
      </w:r>
      <w:r w:rsidRPr="00A97BC7">
        <w:rPr>
          <w:rStyle w:val="apple-converted-space"/>
          <w:sz w:val="16"/>
          <w:szCs w:val="16"/>
        </w:rPr>
        <w:t> </w:t>
      </w:r>
      <w:r w:rsidRPr="00A97BC7">
        <w:rPr>
          <w:rStyle w:val="Emphasis"/>
          <w:sz w:val="16"/>
          <w:szCs w:val="16"/>
        </w:rPr>
        <w:t>Health Leadership and Quality of Life, 3</w:t>
      </w:r>
      <w:r w:rsidRPr="00A97BC7">
        <w:rPr>
          <w:sz w:val="16"/>
          <w:szCs w:val="16"/>
        </w:rPr>
        <w:t>.</w:t>
      </w:r>
      <w:r w:rsidRPr="00A97BC7">
        <w:rPr>
          <w:rStyle w:val="apple-converted-space"/>
          <w:sz w:val="16"/>
          <w:szCs w:val="16"/>
        </w:rPr>
        <w:t> </w:t>
      </w:r>
      <w:hyperlink r:id="rId71" w:tgtFrame="_new" w:history="1">
        <w:r w:rsidRPr="00A97BC7">
          <w:rPr>
            <w:rStyle w:val="Hyperlink"/>
            <w:sz w:val="16"/>
            <w:szCs w:val="16"/>
          </w:rPr>
          <w:t>https://doi.org/10.56294/hl2024.392</w:t>
        </w:r>
      </w:hyperlink>
    </w:p>
    <w:p w14:paraId="21D9C4BB" w14:textId="77777777" w:rsidR="004365A5" w:rsidRPr="00A97BC7" w:rsidRDefault="004365A5" w:rsidP="004365A5">
      <w:pPr>
        <w:pStyle w:val="NormalWeb"/>
        <w:numPr>
          <w:ilvl w:val="0"/>
          <w:numId w:val="55"/>
        </w:numPr>
        <w:rPr>
          <w:sz w:val="16"/>
          <w:szCs w:val="16"/>
        </w:rPr>
      </w:pPr>
      <w:r w:rsidRPr="00A97BC7">
        <w:rPr>
          <w:sz w:val="16"/>
          <w:szCs w:val="16"/>
        </w:rPr>
        <w:t>Kamaruddin, N., Said, S., Shahar, H., &amp; Lim, P. (2021). Socio-ecological determinants of dengue prevention practices: A cross-sectional study among wet market traders in a selected district in Perak, Malaysia.</w:t>
      </w:r>
      <w:r w:rsidRPr="00A97BC7">
        <w:rPr>
          <w:rStyle w:val="apple-converted-space"/>
          <w:sz w:val="16"/>
          <w:szCs w:val="16"/>
        </w:rPr>
        <w:t> </w:t>
      </w:r>
      <w:r w:rsidRPr="00A97BC7">
        <w:rPr>
          <w:rStyle w:val="Emphasis"/>
          <w:sz w:val="16"/>
          <w:szCs w:val="16"/>
        </w:rPr>
        <w:t>Asian Pacific Journal of Tropical Medicine, 14</w:t>
      </w:r>
      <w:r w:rsidRPr="00A97BC7">
        <w:rPr>
          <w:sz w:val="16"/>
          <w:szCs w:val="16"/>
        </w:rPr>
        <w:t>(12), 555–563.</w:t>
      </w:r>
      <w:r w:rsidRPr="00A97BC7">
        <w:rPr>
          <w:rStyle w:val="apple-converted-space"/>
          <w:sz w:val="16"/>
          <w:szCs w:val="16"/>
        </w:rPr>
        <w:t> </w:t>
      </w:r>
      <w:hyperlink r:id="rId72" w:tgtFrame="_new" w:history="1">
        <w:r w:rsidRPr="00A97BC7">
          <w:rPr>
            <w:rStyle w:val="Hyperlink"/>
            <w:sz w:val="16"/>
            <w:szCs w:val="16"/>
          </w:rPr>
          <w:t>https://doi.org/10.4103/1995-7645.332810</w:t>
        </w:r>
      </w:hyperlink>
    </w:p>
    <w:p w14:paraId="3A5D108D" w14:textId="77777777" w:rsidR="004365A5" w:rsidRPr="00AC1833" w:rsidRDefault="004365A5" w:rsidP="004365A5">
      <w:pPr>
        <w:pStyle w:val="NormalWeb"/>
        <w:numPr>
          <w:ilvl w:val="0"/>
          <w:numId w:val="55"/>
        </w:numPr>
        <w:rPr>
          <w:sz w:val="16"/>
          <w:szCs w:val="16"/>
        </w:rPr>
      </w:pPr>
      <w:r w:rsidRPr="00A97BC7">
        <w:rPr>
          <w:sz w:val="16"/>
          <w:szCs w:val="16"/>
        </w:rPr>
        <w:t>Kessy, A. T., Onuekwe, C. E., Mwengee, W. M., Saguti, G. E., &amp; Haonga, T. (2025). Exploring determinants of COVID-19 vaccine uptake in Tanzania: A socio-ecological perspective.</w:t>
      </w:r>
      <w:r w:rsidRPr="00A97BC7">
        <w:rPr>
          <w:rStyle w:val="apple-converted-space"/>
          <w:sz w:val="16"/>
          <w:szCs w:val="16"/>
        </w:rPr>
        <w:t> </w:t>
      </w:r>
      <w:r w:rsidRPr="00A97BC7">
        <w:rPr>
          <w:rStyle w:val="Emphasis"/>
          <w:sz w:val="16"/>
          <w:szCs w:val="16"/>
        </w:rPr>
        <w:t>Journal of Public Health in Africa, 16</w:t>
      </w:r>
      <w:r w:rsidRPr="00A97BC7">
        <w:rPr>
          <w:sz w:val="16"/>
          <w:szCs w:val="16"/>
        </w:rPr>
        <w:t>(3), 709.</w:t>
      </w:r>
      <w:r>
        <w:rPr>
          <w:rStyle w:val="apple-converted-space"/>
          <w:rFonts w:eastAsiaTheme="majorEastAsia"/>
          <w:sz w:val="16"/>
          <w:szCs w:val="16"/>
        </w:rPr>
        <w:t xml:space="preserve"> </w:t>
      </w:r>
      <w:hyperlink r:id="rId73" w:tgtFrame="_new" w:history="1">
        <w:r w:rsidRPr="00A97BC7">
          <w:rPr>
            <w:rStyle w:val="Hyperlink"/>
            <w:sz w:val="16"/>
            <w:szCs w:val="16"/>
          </w:rPr>
          <w:t>https://doi.org/10.4102/jphia.v16i3.709</w:t>
        </w:r>
      </w:hyperlink>
      <w:r w:rsidRPr="00AC1833">
        <w:rPr>
          <w:sz w:val="16"/>
          <w:szCs w:val="16"/>
        </w:rPr>
        <w:t xml:space="preserve"> </w:t>
      </w:r>
    </w:p>
    <w:p w14:paraId="1F50CA2A" w14:textId="77777777" w:rsidR="004365A5" w:rsidRDefault="004365A5" w:rsidP="004365A5">
      <w:pPr>
        <w:pStyle w:val="NormalWeb"/>
        <w:numPr>
          <w:ilvl w:val="0"/>
          <w:numId w:val="55"/>
        </w:numPr>
        <w:rPr>
          <w:sz w:val="16"/>
          <w:szCs w:val="16"/>
        </w:rPr>
      </w:pPr>
      <w:r w:rsidRPr="00AC1833">
        <w:rPr>
          <w:sz w:val="16"/>
          <w:szCs w:val="16"/>
        </w:rPr>
        <w:t>Khatod, L. (2020). </w:t>
      </w:r>
      <w:r w:rsidRPr="00AC1833">
        <w:rPr>
          <w:i/>
          <w:iCs/>
          <w:sz w:val="16"/>
          <w:szCs w:val="16"/>
        </w:rPr>
        <w:t>A phenomenological qualitative study investigating the social and ecological determinants that influence military childhood overweight and obesity behaviors</w:t>
      </w:r>
      <w:r w:rsidRPr="00AC1833">
        <w:rPr>
          <w:sz w:val="16"/>
          <w:szCs w:val="16"/>
        </w:rPr>
        <w:t> (Doctoral dissertation). University of Oklahoma.</w:t>
      </w:r>
    </w:p>
    <w:p w14:paraId="79687808" w14:textId="77777777" w:rsidR="004365A5" w:rsidRPr="00A97BC7" w:rsidRDefault="004365A5" w:rsidP="004365A5">
      <w:pPr>
        <w:pStyle w:val="NormalWeb"/>
        <w:numPr>
          <w:ilvl w:val="0"/>
          <w:numId w:val="55"/>
        </w:numPr>
        <w:rPr>
          <w:sz w:val="16"/>
          <w:szCs w:val="16"/>
        </w:rPr>
      </w:pPr>
      <w:r w:rsidRPr="00A97BC7">
        <w:rPr>
          <w:sz w:val="16"/>
          <w:szCs w:val="16"/>
        </w:rPr>
        <w:t>King, B. (2015). Environment and health (pp. 815–819).</w:t>
      </w:r>
      <w:r w:rsidRPr="00A97BC7">
        <w:rPr>
          <w:rStyle w:val="apple-converted-space"/>
          <w:sz w:val="16"/>
          <w:szCs w:val="16"/>
        </w:rPr>
        <w:t> </w:t>
      </w:r>
      <w:hyperlink r:id="rId74" w:tgtFrame="_new" w:history="1">
        <w:r w:rsidRPr="00A97BC7">
          <w:rPr>
            <w:rStyle w:val="Hyperlink"/>
            <w:sz w:val="16"/>
            <w:szCs w:val="16"/>
          </w:rPr>
          <w:t>https://doi.org/10.1016/B978-0-08-097086-8.91004-3</w:t>
        </w:r>
      </w:hyperlink>
    </w:p>
    <w:p w14:paraId="37D1D5C0" w14:textId="77777777" w:rsidR="004365A5" w:rsidRPr="00A97BC7" w:rsidRDefault="004365A5" w:rsidP="004365A5">
      <w:pPr>
        <w:pStyle w:val="NormalWeb"/>
        <w:numPr>
          <w:ilvl w:val="0"/>
          <w:numId w:val="55"/>
        </w:numPr>
        <w:rPr>
          <w:sz w:val="16"/>
          <w:szCs w:val="16"/>
        </w:rPr>
      </w:pPr>
      <w:r w:rsidRPr="00A97BC7">
        <w:rPr>
          <w:sz w:val="16"/>
          <w:szCs w:val="16"/>
        </w:rPr>
        <w:t>Kingsley, J., Foenander, E., &amp; Bailey, A. (2019). “You feel like you’re part of something bigger”: Exploring motivations for community garden participation in Melbourne, Australia.</w:t>
      </w:r>
      <w:r w:rsidRPr="00A97BC7">
        <w:rPr>
          <w:rStyle w:val="apple-converted-space"/>
          <w:sz w:val="16"/>
          <w:szCs w:val="16"/>
        </w:rPr>
        <w:t> </w:t>
      </w:r>
      <w:r w:rsidRPr="00A97BC7">
        <w:rPr>
          <w:rStyle w:val="Emphasis"/>
          <w:sz w:val="16"/>
          <w:szCs w:val="16"/>
        </w:rPr>
        <w:t>BMC Public Health, 19</w:t>
      </w:r>
      <w:r w:rsidRPr="00A97BC7">
        <w:rPr>
          <w:sz w:val="16"/>
          <w:szCs w:val="16"/>
        </w:rPr>
        <w:t>, 745.</w:t>
      </w:r>
      <w:r w:rsidRPr="00A97BC7">
        <w:rPr>
          <w:rStyle w:val="apple-converted-space"/>
          <w:sz w:val="16"/>
          <w:szCs w:val="16"/>
        </w:rPr>
        <w:t> </w:t>
      </w:r>
      <w:hyperlink r:id="rId75" w:tgtFrame="_new" w:history="1">
        <w:r w:rsidRPr="00A97BC7">
          <w:rPr>
            <w:rStyle w:val="Hyperlink"/>
            <w:sz w:val="16"/>
            <w:szCs w:val="16"/>
          </w:rPr>
          <w:t>https://doi.org/10.1186/s12889-019-7108-3</w:t>
        </w:r>
      </w:hyperlink>
    </w:p>
    <w:p w14:paraId="0801F08F" w14:textId="77777777" w:rsidR="004365A5" w:rsidRPr="00A97BC7" w:rsidRDefault="004365A5" w:rsidP="004365A5">
      <w:pPr>
        <w:pStyle w:val="NormalWeb"/>
        <w:numPr>
          <w:ilvl w:val="0"/>
          <w:numId w:val="55"/>
        </w:numPr>
        <w:rPr>
          <w:sz w:val="16"/>
          <w:szCs w:val="16"/>
        </w:rPr>
      </w:pPr>
      <w:r w:rsidRPr="00A97BC7">
        <w:rPr>
          <w:sz w:val="16"/>
          <w:szCs w:val="16"/>
        </w:rPr>
        <w:t>Krafft, T., &amp; Gatzweiler, F. W. (2019). Urban health and systems thinking (pp. 65–67).</w:t>
      </w:r>
      <w:r w:rsidRPr="00A97BC7">
        <w:rPr>
          <w:rStyle w:val="apple-converted-space"/>
          <w:sz w:val="16"/>
          <w:szCs w:val="16"/>
        </w:rPr>
        <w:t> </w:t>
      </w:r>
      <w:hyperlink r:id="rId76" w:tgtFrame="_new" w:history="1">
        <w:r w:rsidRPr="00A97BC7">
          <w:rPr>
            <w:rStyle w:val="Hyperlink"/>
            <w:sz w:val="16"/>
            <w:szCs w:val="16"/>
          </w:rPr>
          <w:t>https://doi.org/10.1016/B978-0-08-102295-5.10433-0</w:t>
        </w:r>
      </w:hyperlink>
    </w:p>
    <w:p w14:paraId="4D764E34" w14:textId="77777777" w:rsidR="004365A5" w:rsidRPr="00A97BC7" w:rsidRDefault="004365A5" w:rsidP="004365A5">
      <w:pPr>
        <w:pStyle w:val="NormalWeb"/>
        <w:numPr>
          <w:ilvl w:val="0"/>
          <w:numId w:val="55"/>
        </w:numPr>
        <w:rPr>
          <w:sz w:val="16"/>
          <w:szCs w:val="16"/>
        </w:rPr>
      </w:pPr>
      <w:r w:rsidRPr="00A97BC7">
        <w:rPr>
          <w:sz w:val="16"/>
          <w:szCs w:val="16"/>
        </w:rPr>
        <w:t>Kuehn, D., Plagemann, K., &amp; Schmitz-Scherzer, R. (1975). Ecological determinants of mobility: The problem of adjustment.</w:t>
      </w:r>
      <w:r w:rsidRPr="00A97BC7">
        <w:rPr>
          <w:rStyle w:val="apple-converted-space"/>
          <w:sz w:val="16"/>
          <w:szCs w:val="16"/>
        </w:rPr>
        <w:t> </w:t>
      </w:r>
      <w:r w:rsidRPr="00A97BC7">
        <w:rPr>
          <w:rStyle w:val="Emphasis"/>
          <w:sz w:val="16"/>
          <w:szCs w:val="16"/>
        </w:rPr>
        <w:t>Aktuelle Gerontologie, 5</w:t>
      </w:r>
      <w:r w:rsidRPr="00A97BC7">
        <w:rPr>
          <w:sz w:val="16"/>
          <w:szCs w:val="16"/>
        </w:rPr>
        <w:t xml:space="preserve">(1), 47–50. </w:t>
      </w:r>
    </w:p>
    <w:p w14:paraId="4EA2F9D4" w14:textId="77777777" w:rsidR="004365A5" w:rsidRPr="00A97BC7" w:rsidRDefault="004365A5" w:rsidP="004365A5">
      <w:pPr>
        <w:pStyle w:val="NormalWeb"/>
        <w:numPr>
          <w:ilvl w:val="0"/>
          <w:numId w:val="55"/>
        </w:numPr>
        <w:rPr>
          <w:sz w:val="16"/>
          <w:szCs w:val="16"/>
        </w:rPr>
      </w:pPr>
      <w:r w:rsidRPr="00A97BC7">
        <w:rPr>
          <w:sz w:val="16"/>
          <w:szCs w:val="16"/>
        </w:rPr>
        <w:t>Laaser, U. (2002). The institutionalization of public health training and the health sciences.</w:t>
      </w:r>
      <w:r w:rsidRPr="00A97BC7">
        <w:rPr>
          <w:rStyle w:val="apple-converted-space"/>
          <w:sz w:val="16"/>
          <w:szCs w:val="16"/>
        </w:rPr>
        <w:t> </w:t>
      </w:r>
      <w:r w:rsidRPr="00A97BC7">
        <w:rPr>
          <w:rStyle w:val="Emphasis"/>
          <w:sz w:val="16"/>
          <w:szCs w:val="16"/>
        </w:rPr>
        <w:t>Public Health Reviews, 30</w:t>
      </w:r>
      <w:r w:rsidRPr="00A97BC7">
        <w:rPr>
          <w:sz w:val="16"/>
          <w:szCs w:val="16"/>
        </w:rPr>
        <w:t>(1), 71–95.</w:t>
      </w:r>
      <w:r w:rsidRPr="00A97BC7">
        <w:rPr>
          <w:rStyle w:val="apple-converted-space"/>
          <w:sz w:val="16"/>
          <w:szCs w:val="16"/>
        </w:rPr>
        <w:t> </w:t>
      </w:r>
      <w:hyperlink r:id="rId77" w:tgtFrame="_new" w:history="1">
        <w:r w:rsidRPr="00A97BC7">
          <w:rPr>
            <w:rStyle w:val="Hyperlink"/>
            <w:sz w:val="16"/>
            <w:szCs w:val="16"/>
          </w:rPr>
          <w:t>https://pubmed.ncbi.nlm.nih.gov/12613698/</w:t>
        </w:r>
      </w:hyperlink>
    </w:p>
    <w:p w14:paraId="5D572B28" w14:textId="77777777" w:rsidR="004365A5" w:rsidRPr="00AC1833" w:rsidRDefault="004365A5" w:rsidP="004365A5">
      <w:pPr>
        <w:pStyle w:val="NormalWeb"/>
        <w:numPr>
          <w:ilvl w:val="0"/>
          <w:numId w:val="55"/>
        </w:numPr>
        <w:rPr>
          <w:sz w:val="16"/>
          <w:szCs w:val="16"/>
        </w:rPr>
      </w:pPr>
      <w:r w:rsidRPr="00A97BC7">
        <w:rPr>
          <w:sz w:val="16"/>
          <w:szCs w:val="16"/>
        </w:rPr>
        <w:t>Labuda, M., &amp; Nuttall, P. A. (2004). Tick-borne viruses.</w:t>
      </w:r>
      <w:r w:rsidRPr="00A97BC7">
        <w:rPr>
          <w:rStyle w:val="apple-converted-space"/>
          <w:sz w:val="16"/>
          <w:szCs w:val="16"/>
        </w:rPr>
        <w:t> </w:t>
      </w:r>
      <w:r w:rsidRPr="00A97BC7">
        <w:rPr>
          <w:rStyle w:val="Emphasis"/>
          <w:sz w:val="16"/>
          <w:szCs w:val="16"/>
        </w:rPr>
        <w:t>Parasitology, 129</w:t>
      </w:r>
      <w:r w:rsidRPr="00A97BC7">
        <w:rPr>
          <w:sz w:val="16"/>
          <w:szCs w:val="16"/>
        </w:rPr>
        <w:t>, S221–S245.</w:t>
      </w:r>
      <w:r>
        <w:rPr>
          <w:rStyle w:val="apple-converted-space"/>
          <w:rFonts w:eastAsiaTheme="majorEastAsia"/>
          <w:sz w:val="16"/>
          <w:szCs w:val="16"/>
        </w:rPr>
        <w:t xml:space="preserve"> </w:t>
      </w:r>
      <w:hyperlink r:id="rId78" w:tgtFrame="_new" w:history="1">
        <w:r w:rsidRPr="00A97BC7">
          <w:rPr>
            <w:rStyle w:val="Hyperlink"/>
            <w:sz w:val="16"/>
            <w:szCs w:val="16"/>
          </w:rPr>
          <w:t>https://doi.org/10.1017/S0031182004005220</w:t>
        </w:r>
      </w:hyperlink>
      <w:r w:rsidRPr="00AC1833">
        <w:rPr>
          <w:sz w:val="16"/>
          <w:szCs w:val="16"/>
        </w:rPr>
        <w:t xml:space="preserve"> </w:t>
      </w:r>
    </w:p>
    <w:p w14:paraId="741F8202" w14:textId="77777777" w:rsidR="004365A5" w:rsidRPr="00A97BC7" w:rsidRDefault="004365A5" w:rsidP="004365A5">
      <w:pPr>
        <w:pStyle w:val="NormalWeb"/>
        <w:numPr>
          <w:ilvl w:val="0"/>
          <w:numId w:val="55"/>
        </w:numPr>
        <w:rPr>
          <w:sz w:val="16"/>
          <w:szCs w:val="16"/>
        </w:rPr>
      </w:pPr>
      <w:r w:rsidRPr="00A97BC7">
        <w:rPr>
          <w:sz w:val="16"/>
          <w:szCs w:val="16"/>
        </w:rPr>
        <w:t>Laviada-Molina, H., Huchim-Lara, O., &amp; Mendez Dominguez, N. (2019). Health and well-being in the Yucatan Peninsula revisited with a human ecology perspective (pp. 259–276).</w:t>
      </w:r>
      <w:r w:rsidRPr="00A97BC7">
        <w:rPr>
          <w:rStyle w:val="apple-converted-space"/>
          <w:sz w:val="16"/>
          <w:szCs w:val="16"/>
        </w:rPr>
        <w:t> </w:t>
      </w:r>
      <w:hyperlink r:id="rId79" w:tgtFrame="_new" w:history="1">
        <w:r w:rsidRPr="00A97BC7">
          <w:rPr>
            <w:rStyle w:val="Hyperlink"/>
            <w:sz w:val="16"/>
            <w:szCs w:val="16"/>
          </w:rPr>
          <w:t>https://doi.org/10.1007/978-3-030-27001-8_14</w:t>
        </w:r>
      </w:hyperlink>
    </w:p>
    <w:p w14:paraId="77CB76D1" w14:textId="77777777" w:rsidR="004365A5" w:rsidRPr="00A97BC7" w:rsidRDefault="004365A5" w:rsidP="004365A5">
      <w:pPr>
        <w:pStyle w:val="NormalWeb"/>
        <w:numPr>
          <w:ilvl w:val="0"/>
          <w:numId w:val="55"/>
        </w:numPr>
        <w:rPr>
          <w:sz w:val="16"/>
          <w:szCs w:val="16"/>
        </w:rPr>
      </w:pPr>
      <w:r w:rsidRPr="00096D7E">
        <w:rPr>
          <w:sz w:val="16"/>
          <w:szCs w:val="16"/>
        </w:rPr>
        <w:t>Lawson, J., &amp; Kingsley, J. (2019). The language of Australian human–ecological relationships: Identity, place, and landscape. In L. C. Manley &amp; S. A. Parker (Eds.), </w:t>
      </w:r>
      <w:r w:rsidRPr="00096D7E">
        <w:rPr>
          <w:i/>
          <w:iCs/>
          <w:sz w:val="16"/>
          <w:szCs w:val="16"/>
        </w:rPr>
        <w:t>Handbook of human ecology</w:t>
      </w:r>
      <w:r w:rsidRPr="00096D7E">
        <w:rPr>
          <w:sz w:val="16"/>
          <w:szCs w:val="16"/>
        </w:rPr>
        <w:t> (Vol. 1, pp. 3333–3347). Springer.</w:t>
      </w:r>
      <w:r>
        <w:rPr>
          <w:sz w:val="16"/>
          <w:szCs w:val="16"/>
        </w:rPr>
        <w:t xml:space="preserve"> </w:t>
      </w:r>
      <w:hyperlink r:id="rId80" w:tgtFrame="_new" w:history="1">
        <w:r w:rsidRPr="00A97BC7">
          <w:rPr>
            <w:rStyle w:val="Hyperlink"/>
            <w:sz w:val="16"/>
            <w:szCs w:val="16"/>
          </w:rPr>
          <w:t>https://doi.org/10.1007/978-3-030-02438-3_54</w:t>
        </w:r>
      </w:hyperlink>
    </w:p>
    <w:p w14:paraId="539A25F0" w14:textId="77777777" w:rsidR="004365A5" w:rsidRPr="00A97BC7" w:rsidRDefault="004365A5" w:rsidP="004365A5">
      <w:pPr>
        <w:pStyle w:val="NormalWeb"/>
        <w:numPr>
          <w:ilvl w:val="0"/>
          <w:numId w:val="55"/>
        </w:numPr>
        <w:rPr>
          <w:sz w:val="16"/>
          <w:szCs w:val="16"/>
        </w:rPr>
      </w:pPr>
      <w:r w:rsidRPr="00A97BC7">
        <w:rPr>
          <w:sz w:val="16"/>
          <w:szCs w:val="16"/>
        </w:rPr>
        <w:t>Lee, J. G. L. (2009). Social ecology of tobacco surveillance data for sexual and gender minority populations.</w:t>
      </w:r>
      <w:r w:rsidRPr="00A97BC7">
        <w:rPr>
          <w:rStyle w:val="apple-converted-space"/>
          <w:sz w:val="16"/>
          <w:szCs w:val="16"/>
        </w:rPr>
        <w:t> </w:t>
      </w:r>
      <w:r w:rsidRPr="00A97BC7">
        <w:rPr>
          <w:rStyle w:val="Emphasis"/>
          <w:sz w:val="16"/>
          <w:szCs w:val="16"/>
        </w:rPr>
        <w:t>Nicotine &amp; Tobacco Research, 11</w:t>
      </w:r>
      <w:r w:rsidRPr="00A97BC7">
        <w:rPr>
          <w:sz w:val="16"/>
          <w:szCs w:val="16"/>
        </w:rPr>
        <w:t>(7), 908–909.</w:t>
      </w:r>
    </w:p>
    <w:p w14:paraId="5BAE4552" w14:textId="77777777" w:rsidR="004365A5" w:rsidRPr="00A97BC7" w:rsidRDefault="004365A5" w:rsidP="004365A5">
      <w:pPr>
        <w:pStyle w:val="NormalWeb"/>
        <w:numPr>
          <w:ilvl w:val="0"/>
          <w:numId w:val="55"/>
        </w:numPr>
        <w:rPr>
          <w:sz w:val="16"/>
          <w:szCs w:val="16"/>
        </w:rPr>
      </w:pPr>
      <w:r w:rsidRPr="00A97BC7">
        <w:rPr>
          <w:sz w:val="16"/>
          <w:szCs w:val="16"/>
        </w:rPr>
        <w:t>Levy, M., Israel, S., &amp; Pauzner, M. (2022). Multifaceted requirements engineering: Developing a MESH (Municipal Environmental Social Health) platform. In</w:t>
      </w:r>
      <w:r w:rsidRPr="00A97BC7">
        <w:rPr>
          <w:rStyle w:val="apple-converted-space"/>
          <w:sz w:val="16"/>
          <w:szCs w:val="16"/>
        </w:rPr>
        <w:t> </w:t>
      </w:r>
      <w:r w:rsidRPr="00A97BC7">
        <w:rPr>
          <w:rStyle w:val="Emphasis"/>
          <w:sz w:val="16"/>
          <w:szCs w:val="16"/>
        </w:rPr>
        <w:t>2022 IEEE 30th International Requirements Engineering Conference Workshops (REW)</w:t>
      </w:r>
      <w:r w:rsidRPr="00A97BC7">
        <w:rPr>
          <w:rStyle w:val="apple-converted-space"/>
          <w:sz w:val="16"/>
          <w:szCs w:val="16"/>
        </w:rPr>
        <w:t> </w:t>
      </w:r>
      <w:r w:rsidRPr="00A97BC7">
        <w:rPr>
          <w:sz w:val="16"/>
          <w:szCs w:val="16"/>
        </w:rPr>
        <w:t>(pp. 24–29). IEEE.</w:t>
      </w:r>
      <w:r w:rsidRPr="00A97BC7">
        <w:rPr>
          <w:rStyle w:val="apple-converted-space"/>
          <w:sz w:val="16"/>
          <w:szCs w:val="16"/>
        </w:rPr>
        <w:t> </w:t>
      </w:r>
      <w:hyperlink r:id="rId81" w:tgtFrame="_new" w:history="1">
        <w:r w:rsidRPr="00A97BC7">
          <w:rPr>
            <w:rStyle w:val="Hyperlink"/>
            <w:sz w:val="16"/>
            <w:szCs w:val="16"/>
          </w:rPr>
          <w:t>https://doi.org/10.1109/REW56159.2022.00014</w:t>
        </w:r>
      </w:hyperlink>
    </w:p>
    <w:p w14:paraId="47A65286" w14:textId="77777777" w:rsidR="004365A5" w:rsidRPr="00A97BC7" w:rsidRDefault="004365A5" w:rsidP="004365A5">
      <w:pPr>
        <w:pStyle w:val="NormalWeb"/>
        <w:numPr>
          <w:ilvl w:val="0"/>
          <w:numId w:val="55"/>
        </w:numPr>
        <w:rPr>
          <w:sz w:val="16"/>
          <w:szCs w:val="16"/>
        </w:rPr>
      </w:pPr>
      <w:r w:rsidRPr="00A97BC7">
        <w:rPr>
          <w:sz w:val="16"/>
          <w:szCs w:val="16"/>
        </w:rPr>
        <w:t>Levy, M., Spitzer, S., &amp; Pauzner, M. (2022). Transdisciplinary educational case: Developing a MESH (Municipal Environmental Social Health) platform. In</w:t>
      </w:r>
      <w:r w:rsidRPr="00A97BC7">
        <w:rPr>
          <w:rStyle w:val="apple-converted-space"/>
          <w:sz w:val="16"/>
          <w:szCs w:val="16"/>
        </w:rPr>
        <w:t> </w:t>
      </w:r>
      <w:r w:rsidRPr="00A97BC7">
        <w:rPr>
          <w:rStyle w:val="Emphasis"/>
          <w:sz w:val="16"/>
          <w:szCs w:val="16"/>
        </w:rPr>
        <w:t>Proceedings of the 16th International Conference on Computer Graphics, Visualization, Computer Vision and Image Processing (CGVCVIP 2022), the 8th International Conference on Connected Smart Cities (CSC 2022), the 7th International Conference on Big Data Analytics, Data Mining and Computational Intelligence (BigDaCI 2022), and the 11th International Conference on Theory and Practice in Modern Computing (TPMC 2022)</w:t>
      </w:r>
      <w:r w:rsidRPr="00A97BC7">
        <w:rPr>
          <w:rStyle w:val="apple-converted-space"/>
          <w:sz w:val="16"/>
          <w:szCs w:val="16"/>
        </w:rPr>
        <w:t> </w:t>
      </w:r>
      <w:r w:rsidRPr="00A97BC7">
        <w:rPr>
          <w:sz w:val="16"/>
          <w:szCs w:val="16"/>
        </w:rPr>
        <w:t>(pp. 203–207). IADIS Press.</w:t>
      </w:r>
    </w:p>
    <w:p w14:paraId="52B8C28F" w14:textId="77777777" w:rsidR="004365A5" w:rsidRPr="00A97BC7" w:rsidRDefault="004365A5" w:rsidP="004365A5">
      <w:pPr>
        <w:pStyle w:val="NormalWeb"/>
        <w:numPr>
          <w:ilvl w:val="0"/>
          <w:numId w:val="55"/>
        </w:numPr>
        <w:rPr>
          <w:sz w:val="16"/>
          <w:szCs w:val="16"/>
        </w:rPr>
      </w:pPr>
      <w:r w:rsidRPr="00A97BC7">
        <w:rPr>
          <w:sz w:val="16"/>
          <w:szCs w:val="16"/>
        </w:rPr>
        <w:lastRenderedPageBreak/>
        <w:t xml:space="preserve">Lourenço, J., de Lima, M. M., Faria, N. R., Walker, A., Kraemer, M. U. G., Villabona-Arenas, C. J., </w:t>
      </w:r>
      <w:r>
        <w:rPr>
          <w:sz w:val="16"/>
          <w:szCs w:val="16"/>
        </w:rPr>
        <w:t>et al.</w:t>
      </w:r>
      <w:r w:rsidRPr="00A97BC7">
        <w:rPr>
          <w:sz w:val="16"/>
          <w:szCs w:val="16"/>
        </w:rPr>
        <w:t xml:space="preserve"> (2017). Epidemiological and ecological determinants of Zika virus transmission in an urban setting.</w:t>
      </w:r>
      <w:r w:rsidRPr="00A97BC7">
        <w:rPr>
          <w:rStyle w:val="apple-converted-space"/>
          <w:sz w:val="16"/>
          <w:szCs w:val="16"/>
        </w:rPr>
        <w:t> </w:t>
      </w:r>
      <w:r w:rsidRPr="00A97BC7">
        <w:rPr>
          <w:rStyle w:val="Emphasis"/>
          <w:sz w:val="16"/>
          <w:szCs w:val="16"/>
        </w:rPr>
        <w:t>eLife, 6</w:t>
      </w:r>
      <w:r w:rsidRPr="00A97BC7">
        <w:rPr>
          <w:sz w:val="16"/>
          <w:szCs w:val="16"/>
        </w:rPr>
        <w:t>.</w:t>
      </w:r>
      <w:r w:rsidRPr="00A97BC7">
        <w:rPr>
          <w:rStyle w:val="apple-converted-space"/>
          <w:sz w:val="16"/>
          <w:szCs w:val="16"/>
        </w:rPr>
        <w:t> </w:t>
      </w:r>
      <w:hyperlink r:id="rId82" w:tgtFrame="_new" w:history="1">
        <w:r w:rsidRPr="00A97BC7">
          <w:rPr>
            <w:rStyle w:val="Hyperlink"/>
            <w:sz w:val="16"/>
            <w:szCs w:val="16"/>
          </w:rPr>
          <w:t>https://doi.org/10.7554/eLife.29820</w:t>
        </w:r>
      </w:hyperlink>
    </w:p>
    <w:p w14:paraId="150CC6A9" w14:textId="77777777" w:rsidR="004365A5" w:rsidRPr="00A97BC7" w:rsidRDefault="004365A5" w:rsidP="004365A5">
      <w:pPr>
        <w:pStyle w:val="NormalWeb"/>
        <w:numPr>
          <w:ilvl w:val="0"/>
          <w:numId w:val="55"/>
        </w:numPr>
        <w:rPr>
          <w:sz w:val="16"/>
          <w:szCs w:val="16"/>
        </w:rPr>
      </w:pPr>
      <w:r w:rsidRPr="00A97BC7">
        <w:rPr>
          <w:sz w:val="16"/>
          <w:szCs w:val="16"/>
        </w:rPr>
        <w:t xml:space="preserve">Lubans, D. R., Smith, J. J., Plotnikoff, R. C., Dally, K. A., Okely, A. D., Salmon, J., </w:t>
      </w:r>
      <w:r>
        <w:rPr>
          <w:sz w:val="16"/>
          <w:szCs w:val="16"/>
        </w:rPr>
        <w:t>et al.</w:t>
      </w:r>
      <w:r w:rsidRPr="00A97BC7">
        <w:rPr>
          <w:sz w:val="16"/>
          <w:szCs w:val="16"/>
        </w:rPr>
        <w:t xml:space="preserve"> (2016). Assessing the sustained impact of a school-based obesity prevention program for adolescent boys: The ATLAS cluster randomized controlled trial.</w:t>
      </w:r>
      <w:r w:rsidRPr="00A97BC7">
        <w:rPr>
          <w:rStyle w:val="apple-converted-space"/>
          <w:sz w:val="16"/>
          <w:szCs w:val="16"/>
        </w:rPr>
        <w:t> </w:t>
      </w:r>
      <w:r w:rsidRPr="00A97BC7">
        <w:rPr>
          <w:rStyle w:val="Emphasis"/>
          <w:sz w:val="16"/>
          <w:szCs w:val="16"/>
        </w:rPr>
        <w:t>International Journal of Behavioral Nutrition and Physical Activity, 13</w:t>
      </w:r>
      <w:r w:rsidRPr="00A97BC7">
        <w:rPr>
          <w:sz w:val="16"/>
          <w:szCs w:val="16"/>
        </w:rPr>
        <w:t>(1).</w:t>
      </w:r>
      <w:r w:rsidRPr="00A97BC7">
        <w:rPr>
          <w:rStyle w:val="apple-converted-space"/>
          <w:sz w:val="16"/>
          <w:szCs w:val="16"/>
        </w:rPr>
        <w:t> </w:t>
      </w:r>
      <w:hyperlink r:id="rId83" w:tgtFrame="_new" w:history="1">
        <w:r w:rsidRPr="00A97BC7">
          <w:rPr>
            <w:rStyle w:val="Hyperlink"/>
            <w:sz w:val="16"/>
            <w:szCs w:val="16"/>
          </w:rPr>
          <w:t>https://doi.org/10.1186/s12966-016-0420-8</w:t>
        </w:r>
      </w:hyperlink>
    </w:p>
    <w:p w14:paraId="262E0BA6" w14:textId="77777777" w:rsidR="004365A5" w:rsidRPr="00A97BC7" w:rsidRDefault="004365A5" w:rsidP="004365A5">
      <w:pPr>
        <w:pStyle w:val="NormalWeb"/>
        <w:numPr>
          <w:ilvl w:val="0"/>
          <w:numId w:val="55"/>
        </w:numPr>
        <w:rPr>
          <w:sz w:val="16"/>
          <w:szCs w:val="16"/>
        </w:rPr>
      </w:pPr>
      <w:r w:rsidRPr="00A97BC7">
        <w:rPr>
          <w:sz w:val="16"/>
          <w:szCs w:val="16"/>
        </w:rPr>
        <w:t>Luo, D., Cai, X., Wang, H., Xu, J., Wang, Y., &amp; Li, M. (2024). An ecological resilience model for adolescents with type 1 diabetes: A cross-sectional study.</w:t>
      </w:r>
      <w:r w:rsidRPr="00A97BC7">
        <w:rPr>
          <w:rStyle w:val="apple-converted-space"/>
          <w:sz w:val="16"/>
          <w:szCs w:val="16"/>
        </w:rPr>
        <w:t> </w:t>
      </w:r>
      <w:r w:rsidRPr="00A97BC7">
        <w:rPr>
          <w:rStyle w:val="Emphasis"/>
          <w:sz w:val="16"/>
          <w:szCs w:val="16"/>
        </w:rPr>
        <w:t>BMC Psychiatry, 24</w:t>
      </w:r>
      <w:r w:rsidRPr="00A97BC7">
        <w:rPr>
          <w:sz w:val="16"/>
          <w:szCs w:val="16"/>
        </w:rPr>
        <w:t>(1).</w:t>
      </w:r>
      <w:r w:rsidRPr="00A97BC7">
        <w:rPr>
          <w:rStyle w:val="apple-converted-space"/>
          <w:sz w:val="16"/>
          <w:szCs w:val="16"/>
        </w:rPr>
        <w:t> </w:t>
      </w:r>
      <w:hyperlink r:id="rId84" w:tgtFrame="_new" w:history="1">
        <w:r w:rsidRPr="00A97BC7">
          <w:rPr>
            <w:rStyle w:val="Hyperlink"/>
            <w:sz w:val="16"/>
            <w:szCs w:val="16"/>
          </w:rPr>
          <w:t>https://doi.org/10.1186/s12888-024-05634-1</w:t>
        </w:r>
      </w:hyperlink>
    </w:p>
    <w:p w14:paraId="4F81B95E" w14:textId="77777777" w:rsidR="004365A5" w:rsidRPr="00A97BC7" w:rsidRDefault="004365A5" w:rsidP="004365A5">
      <w:pPr>
        <w:pStyle w:val="NormalWeb"/>
        <w:numPr>
          <w:ilvl w:val="0"/>
          <w:numId w:val="55"/>
        </w:numPr>
        <w:rPr>
          <w:sz w:val="16"/>
          <w:szCs w:val="16"/>
        </w:rPr>
      </w:pPr>
      <w:r w:rsidRPr="00A97BC7">
        <w:rPr>
          <w:sz w:val="16"/>
          <w:szCs w:val="16"/>
        </w:rPr>
        <w:t xml:space="preserve">MacHalaba, C., Romanelli, C., Stoett, P., Baum, S. E., Bouley, T. A., Daszak, P., </w:t>
      </w:r>
      <w:r>
        <w:rPr>
          <w:sz w:val="16"/>
          <w:szCs w:val="16"/>
        </w:rPr>
        <w:t>et al.</w:t>
      </w:r>
      <w:r w:rsidRPr="00A97BC7">
        <w:rPr>
          <w:sz w:val="16"/>
          <w:szCs w:val="16"/>
        </w:rPr>
        <w:t xml:space="preserve"> (2015). Climate change and health: Transcending silos to find solutions.</w:t>
      </w:r>
      <w:r w:rsidRPr="00A97BC7">
        <w:rPr>
          <w:rStyle w:val="apple-converted-space"/>
          <w:sz w:val="16"/>
          <w:szCs w:val="16"/>
        </w:rPr>
        <w:t> </w:t>
      </w:r>
      <w:r w:rsidRPr="00A97BC7">
        <w:rPr>
          <w:rStyle w:val="Emphasis"/>
          <w:sz w:val="16"/>
          <w:szCs w:val="16"/>
        </w:rPr>
        <w:t>Annals of Global Health, 81</w:t>
      </w:r>
      <w:r w:rsidRPr="00A97BC7">
        <w:rPr>
          <w:sz w:val="16"/>
          <w:szCs w:val="16"/>
        </w:rPr>
        <w:t>(3), 445–458.</w:t>
      </w:r>
      <w:r w:rsidRPr="00A97BC7">
        <w:rPr>
          <w:rStyle w:val="apple-converted-space"/>
          <w:sz w:val="16"/>
          <w:szCs w:val="16"/>
        </w:rPr>
        <w:t> </w:t>
      </w:r>
      <w:hyperlink r:id="rId85" w:tgtFrame="_new" w:history="1">
        <w:r w:rsidRPr="00A97BC7">
          <w:rPr>
            <w:rStyle w:val="Hyperlink"/>
            <w:sz w:val="16"/>
            <w:szCs w:val="16"/>
          </w:rPr>
          <w:t>https://doi.org/10.1016/j.aogh.2015.08.002</w:t>
        </w:r>
      </w:hyperlink>
    </w:p>
    <w:p w14:paraId="3EB131BA" w14:textId="77777777" w:rsidR="004365A5" w:rsidRPr="00A97BC7" w:rsidRDefault="004365A5" w:rsidP="004365A5">
      <w:pPr>
        <w:pStyle w:val="NormalWeb"/>
        <w:numPr>
          <w:ilvl w:val="0"/>
          <w:numId w:val="55"/>
        </w:numPr>
        <w:rPr>
          <w:sz w:val="16"/>
          <w:szCs w:val="16"/>
        </w:rPr>
      </w:pPr>
      <w:r w:rsidRPr="00A97BC7">
        <w:rPr>
          <w:sz w:val="16"/>
          <w:szCs w:val="16"/>
        </w:rPr>
        <w:t>Maganga, G. D., Rougeron, V., &amp; Leroy, E. M. (2015). Bat filoviruses (pp. 157–175).</w:t>
      </w:r>
      <w:r>
        <w:rPr>
          <w:rStyle w:val="apple-converted-space"/>
          <w:rFonts w:eastAsiaTheme="majorEastAsia"/>
          <w:sz w:val="16"/>
          <w:szCs w:val="16"/>
        </w:rPr>
        <w:t xml:space="preserve"> </w:t>
      </w:r>
      <w:hyperlink r:id="rId86" w:tgtFrame="_new" w:history="1">
        <w:r w:rsidRPr="00A97BC7">
          <w:rPr>
            <w:rStyle w:val="Hyperlink"/>
            <w:sz w:val="16"/>
            <w:szCs w:val="16"/>
          </w:rPr>
          <w:t>https://doi.org/10.1002/9781118818824.ch6</w:t>
        </w:r>
      </w:hyperlink>
      <w:r w:rsidRPr="00A97BC7">
        <w:rPr>
          <w:sz w:val="16"/>
          <w:szCs w:val="16"/>
        </w:rPr>
        <w:t xml:space="preserve"> </w:t>
      </w:r>
    </w:p>
    <w:p w14:paraId="2ECD7999" w14:textId="77777777" w:rsidR="004365A5" w:rsidRPr="00A97BC7" w:rsidRDefault="004365A5" w:rsidP="004365A5">
      <w:pPr>
        <w:pStyle w:val="NormalWeb"/>
        <w:numPr>
          <w:ilvl w:val="0"/>
          <w:numId w:val="55"/>
        </w:numPr>
        <w:rPr>
          <w:sz w:val="16"/>
          <w:szCs w:val="16"/>
        </w:rPr>
      </w:pPr>
      <w:r w:rsidRPr="00A97BC7">
        <w:rPr>
          <w:sz w:val="16"/>
          <w:szCs w:val="16"/>
        </w:rPr>
        <w:t>Mahmudiono, T., Segalita, C., &amp; Rosenkranz, R. R. (2019). Socio-ecological model of correlates of double burden of malnutrition in developing countries: A narrative review.</w:t>
      </w:r>
      <w:r w:rsidRPr="00A97BC7">
        <w:rPr>
          <w:rStyle w:val="apple-converted-space"/>
          <w:sz w:val="16"/>
          <w:szCs w:val="16"/>
        </w:rPr>
        <w:t> </w:t>
      </w:r>
      <w:r w:rsidRPr="00A97BC7">
        <w:rPr>
          <w:rStyle w:val="Emphasis"/>
          <w:sz w:val="16"/>
          <w:szCs w:val="16"/>
        </w:rPr>
        <w:t>International Journal of Environmental Research and Public Health, 16</w:t>
      </w:r>
      <w:r w:rsidRPr="00A97BC7">
        <w:rPr>
          <w:sz w:val="16"/>
          <w:szCs w:val="16"/>
        </w:rPr>
        <w:t>(19), 3730.</w:t>
      </w:r>
      <w:r w:rsidRPr="00A97BC7">
        <w:rPr>
          <w:rStyle w:val="apple-converted-space"/>
          <w:sz w:val="16"/>
          <w:szCs w:val="16"/>
        </w:rPr>
        <w:t> </w:t>
      </w:r>
      <w:hyperlink r:id="rId87" w:tgtFrame="_new" w:history="1">
        <w:r w:rsidRPr="00A97BC7">
          <w:rPr>
            <w:rStyle w:val="Hyperlink"/>
            <w:sz w:val="16"/>
            <w:szCs w:val="16"/>
          </w:rPr>
          <w:t>https://doi.org/10.3390/ijerph16193730</w:t>
        </w:r>
      </w:hyperlink>
    </w:p>
    <w:p w14:paraId="1BBEB1EF" w14:textId="77777777" w:rsidR="004365A5" w:rsidRPr="00A97BC7" w:rsidRDefault="004365A5" w:rsidP="004365A5">
      <w:pPr>
        <w:pStyle w:val="NormalWeb"/>
        <w:numPr>
          <w:ilvl w:val="0"/>
          <w:numId w:val="55"/>
        </w:numPr>
        <w:rPr>
          <w:sz w:val="16"/>
          <w:szCs w:val="16"/>
        </w:rPr>
      </w:pPr>
      <w:r w:rsidRPr="00A97BC7">
        <w:rPr>
          <w:sz w:val="16"/>
          <w:szCs w:val="16"/>
        </w:rPr>
        <w:t>Mak, C., Lewis, D. C., &amp; Seponski, D. M. (2021). Intergenerational transmission of traumatic stress and resilience among Cambodian immigrant families along coastal Alabama: Family narratives.</w:t>
      </w:r>
      <w:r w:rsidRPr="00A97BC7">
        <w:rPr>
          <w:rStyle w:val="apple-converted-space"/>
          <w:sz w:val="16"/>
          <w:szCs w:val="16"/>
        </w:rPr>
        <w:t> </w:t>
      </w:r>
      <w:r w:rsidRPr="00A97BC7">
        <w:rPr>
          <w:rStyle w:val="Emphasis"/>
          <w:sz w:val="16"/>
          <w:szCs w:val="16"/>
        </w:rPr>
        <w:t>Health Equity, 5</w:t>
      </w:r>
      <w:r w:rsidRPr="00A97BC7">
        <w:rPr>
          <w:sz w:val="16"/>
          <w:szCs w:val="16"/>
        </w:rPr>
        <w:t>(1), 431–438.</w:t>
      </w:r>
      <w:r>
        <w:rPr>
          <w:rStyle w:val="apple-converted-space"/>
          <w:rFonts w:eastAsiaTheme="majorEastAsia"/>
          <w:sz w:val="16"/>
          <w:szCs w:val="16"/>
        </w:rPr>
        <w:t xml:space="preserve"> </w:t>
      </w:r>
      <w:hyperlink r:id="rId88" w:tgtFrame="_new" w:history="1">
        <w:r w:rsidRPr="00A97BC7">
          <w:rPr>
            <w:rStyle w:val="Hyperlink"/>
            <w:sz w:val="16"/>
            <w:szCs w:val="16"/>
          </w:rPr>
          <w:t>https://doi.org/10.1089/heq.2020.0142</w:t>
        </w:r>
      </w:hyperlink>
      <w:r w:rsidRPr="00A97BC7">
        <w:rPr>
          <w:sz w:val="16"/>
          <w:szCs w:val="16"/>
        </w:rPr>
        <w:t xml:space="preserve"> </w:t>
      </w:r>
    </w:p>
    <w:p w14:paraId="7DBCDF02" w14:textId="77777777" w:rsidR="004365A5" w:rsidRPr="00A97BC7" w:rsidRDefault="004365A5" w:rsidP="004365A5">
      <w:pPr>
        <w:pStyle w:val="NormalWeb"/>
        <w:numPr>
          <w:ilvl w:val="0"/>
          <w:numId w:val="55"/>
        </w:numPr>
        <w:rPr>
          <w:sz w:val="16"/>
          <w:szCs w:val="16"/>
        </w:rPr>
      </w:pPr>
      <w:r w:rsidRPr="00A97BC7">
        <w:rPr>
          <w:sz w:val="16"/>
          <w:szCs w:val="16"/>
        </w:rPr>
        <w:t>Margolis, E., &amp; Fredricks, D. N. (2014). Bacterial vaginosis-associated bacteria (pp. 1487–1496).</w:t>
      </w:r>
      <w:r w:rsidRPr="00A97BC7">
        <w:rPr>
          <w:rStyle w:val="apple-converted-space"/>
          <w:sz w:val="16"/>
          <w:szCs w:val="16"/>
        </w:rPr>
        <w:t> </w:t>
      </w:r>
      <w:hyperlink r:id="rId89" w:tgtFrame="_new" w:history="1">
        <w:r w:rsidRPr="00A97BC7">
          <w:rPr>
            <w:rStyle w:val="Hyperlink"/>
            <w:sz w:val="16"/>
            <w:szCs w:val="16"/>
          </w:rPr>
          <w:t>https://doi.org/10.1016/B978-0-12-397169-2.00083-4</w:t>
        </w:r>
      </w:hyperlink>
    </w:p>
    <w:p w14:paraId="51C450FA" w14:textId="77777777" w:rsidR="004365A5" w:rsidRPr="00A97BC7" w:rsidRDefault="004365A5" w:rsidP="004365A5">
      <w:pPr>
        <w:pStyle w:val="NormalWeb"/>
        <w:numPr>
          <w:ilvl w:val="0"/>
          <w:numId w:val="55"/>
        </w:numPr>
        <w:rPr>
          <w:sz w:val="16"/>
          <w:szCs w:val="16"/>
        </w:rPr>
      </w:pPr>
      <w:r w:rsidRPr="00A97BC7">
        <w:rPr>
          <w:sz w:val="16"/>
          <w:szCs w:val="16"/>
        </w:rPr>
        <w:t xml:space="preserve">Marino, J. L., Tait, R. J., Straker, L. M., Schofield, D. J., Doherty, D. A., Ivers, R. Q., </w:t>
      </w:r>
      <w:r>
        <w:rPr>
          <w:sz w:val="16"/>
          <w:szCs w:val="16"/>
        </w:rPr>
        <w:t>et al</w:t>
      </w:r>
      <w:r w:rsidRPr="00A97BC7">
        <w:rPr>
          <w:sz w:val="16"/>
          <w:szCs w:val="16"/>
        </w:rPr>
        <w:t>. (2022). Health, social and economic implications of adolescent risk behaviours/states: Protocol for Raine Study Gen2 cohort data linkage study.</w:t>
      </w:r>
      <w:r w:rsidRPr="00A97BC7">
        <w:rPr>
          <w:rStyle w:val="apple-converted-space"/>
          <w:sz w:val="16"/>
          <w:szCs w:val="16"/>
        </w:rPr>
        <w:t> </w:t>
      </w:r>
      <w:r w:rsidRPr="00A97BC7">
        <w:rPr>
          <w:rStyle w:val="Emphasis"/>
          <w:sz w:val="16"/>
          <w:szCs w:val="16"/>
        </w:rPr>
        <w:t>Longitudinal and Life Course Studies, 13</w:t>
      </w:r>
      <w:r w:rsidRPr="00A97BC7">
        <w:rPr>
          <w:sz w:val="16"/>
          <w:szCs w:val="16"/>
        </w:rPr>
        <w:t>(4), 647</w:t>
      </w:r>
      <w:r>
        <w:rPr>
          <w:sz w:val="16"/>
          <w:szCs w:val="16"/>
        </w:rPr>
        <w:t>-</w:t>
      </w:r>
      <w:r w:rsidRPr="00A97BC7">
        <w:rPr>
          <w:sz w:val="16"/>
          <w:szCs w:val="16"/>
        </w:rPr>
        <w:t>666.</w:t>
      </w:r>
      <w:r w:rsidRPr="00A97BC7">
        <w:rPr>
          <w:rStyle w:val="apple-converted-space"/>
          <w:sz w:val="16"/>
          <w:szCs w:val="16"/>
        </w:rPr>
        <w:t> </w:t>
      </w:r>
      <w:hyperlink r:id="rId90" w:tgtFrame="_new" w:history="1">
        <w:r w:rsidRPr="00A97BC7">
          <w:rPr>
            <w:rStyle w:val="Hyperlink"/>
            <w:sz w:val="16"/>
            <w:szCs w:val="16"/>
          </w:rPr>
          <w:t>https://doi.org/10.1332/175795921X16424353247247</w:t>
        </w:r>
      </w:hyperlink>
    </w:p>
    <w:p w14:paraId="73636D65" w14:textId="77777777" w:rsidR="004365A5" w:rsidRPr="00150464" w:rsidRDefault="004365A5" w:rsidP="004365A5">
      <w:pPr>
        <w:pStyle w:val="NormalWeb"/>
        <w:numPr>
          <w:ilvl w:val="0"/>
          <w:numId w:val="55"/>
        </w:numPr>
        <w:rPr>
          <w:sz w:val="16"/>
          <w:szCs w:val="16"/>
        </w:rPr>
      </w:pPr>
      <w:r w:rsidRPr="00150464">
        <w:rPr>
          <w:sz w:val="16"/>
          <w:szCs w:val="16"/>
        </w:rPr>
        <w:t>Martens, P., &amp; Huynen, M. (2003). A future without health? Health dimension in global scenario studies.</w:t>
      </w:r>
      <w:r w:rsidRPr="00150464">
        <w:rPr>
          <w:rStyle w:val="apple-converted-space"/>
          <w:sz w:val="16"/>
          <w:szCs w:val="16"/>
        </w:rPr>
        <w:t> </w:t>
      </w:r>
      <w:r w:rsidRPr="00150464">
        <w:rPr>
          <w:rStyle w:val="Emphasis"/>
          <w:sz w:val="16"/>
          <w:szCs w:val="16"/>
        </w:rPr>
        <w:t>Bulletin of the World Health Organization, 81</w:t>
      </w:r>
      <w:r w:rsidRPr="00150464">
        <w:rPr>
          <w:sz w:val="16"/>
          <w:szCs w:val="16"/>
        </w:rPr>
        <w:t>(12), 896–901.</w:t>
      </w:r>
      <w:r w:rsidRPr="00150464">
        <w:rPr>
          <w:rStyle w:val="apple-converted-space"/>
          <w:sz w:val="16"/>
          <w:szCs w:val="16"/>
        </w:rPr>
        <w:t> </w:t>
      </w:r>
      <w:hyperlink r:id="rId91" w:tgtFrame="_new" w:history="1">
        <w:r w:rsidRPr="00150464">
          <w:rPr>
            <w:rStyle w:val="Hyperlink"/>
            <w:sz w:val="16"/>
            <w:szCs w:val="16"/>
          </w:rPr>
          <w:t>https://www.scopus.com/inward/record.uri?eid=2-s2.0-0345743617&amp;partnerID=40&amp;md5=4bde343ce35bb73540777e8823989e31</w:t>
        </w:r>
      </w:hyperlink>
    </w:p>
    <w:p w14:paraId="4868AF15" w14:textId="77777777" w:rsidR="004365A5" w:rsidRPr="00150464" w:rsidRDefault="004365A5" w:rsidP="004365A5">
      <w:pPr>
        <w:pStyle w:val="NormalWeb"/>
        <w:numPr>
          <w:ilvl w:val="0"/>
          <w:numId w:val="55"/>
        </w:numPr>
        <w:rPr>
          <w:sz w:val="16"/>
          <w:szCs w:val="16"/>
        </w:rPr>
      </w:pPr>
      <w:r w:rsidRPr="00150464">
        <w:rPr>
          <w:sz w:val="16"/>
          <w:szCs w:val="16"/>
        </w:rPr>
        <w:t xml:space="preserve">Martinez-Donate, A. P., Zumaeta-Castillo, C., Yamasaki, Y., Perez, C., Martinez, O., Hassrick, E. M., </w:t>
      </w:r>
      <w:r>
        <w:rPr>
          <w:sz w:val="16"/>
          <w:szCs w:val="16"/>
        </w:rPr>
        <w:t>et al.</w:t>
      </w:r>
      <w:r w:rsidRPr="00150464">
        <w:rPr>
          <w:sz w:val="16"/>
          <w:szCs w:val="16"/>
        </w:rPr>
        <w:t xml:space="preserve"> (2023). Feasibility and acceptability of CRiSOL: A pilot peer-based intervention to address syndemic health issues afflicting Latino immigrants in the US.</w:t>
      </w:r>
      <w:r w:rsidRPr="00150464">
        <w:rPr>
          <w:rStyle w:val="apple-converted-space"/>
          <w:sz w:val="16"/>
          <w:szCs w:val="16"/>
        </w:rPr>
        <w:t> </w:t>
      </w:r>
      <w:r w:rsidRPr="00150464">
        <w:rPr>
          <w:rStyle w:val="Emphasis"/>
          <w:sz w:val="16"/>
          <w:szCs w:val="16"/>
        </w:rPr>
        <w:t>PLoS ONE, 18</w:t>
      </w:r>
      <w:r w:rsidRPr="00150464">
        <w:rPr>
          <w:sz w:val="16"/>
          <w:szCs w:val="16"/>
        </w:rPr>
        <w:t>(10).</w:t>
      </w:r>
      <w:r w:rsidRPr="00150464">
        <w:rPr>
          <w:rStyle w:val="apple-converted-space"/>
          <w:sz w:val="16"/>
          <w:szCs w:val="16"/>
        </w:rPr>
        <w:t> </w:t>
      </w:r>
      <w:hyperlink r:id="rId92" w:tgtFrame="_new" w:history="1">
        <w:r w:rsidRPr="00150464">
          <w:rPr>
            <w:rStyle w:val="Hyperlink"/>
            <w:sz w:val="16"/>
            <w:szCs w:val="16"/>
          </w:rPr>
          <w:t>https://doi.org/10.1371/journal.pone.0287248</w:t>
        </w:r>
      </w:hyperlink>
    </w:p>
    <w:p w14:paraId="731187FA" w14:textId="77777777" w:rsidR="004365A5" w:rsidRDefault="004365A5" w:rsidP="004365A5">
      <w:pPr>
        <w:pStyle w:val="NormalWeb"/>
        <w:numPr>
          <w:ilvl w:val="0"/>
          <w:numId w:val="55"/>
        </w:numPr>
        <w:rPr>
          <w:sz w:val="16"/>
          <w:szCs w:val="16"/>
        </w:rPr>
      </w:pPr>
      <w:r w:rsidRPr="00096D7E">
        <w:rPr>
          <w:sz w:val="16"/>
          <w:szCs w:val="16"/>
        </w:rPr>
        <w:t>Mburu, G. (2019). </w:t>
      </w:r>
      <w:r w:rsidRPr="00096D7E">
        <w:rPr>
          <w:i/>
          <w:iCs/>
          <w:sz w:val="16"/>
          <w:szCs w:val="16"/>
        </w:rPr>
        <w:t>Determinants of drug use trajectories and HIV risks among women who inject drugs in coastal Kenya</w:t>
      </w:r>
      <w:r w:rsidRPr="00096D7E">
        <w:rPr>
          <w:sz w:val="16"/>
          <w:szCs w:val="16"/>
        </w:rPr>
        <w:t>(Doctoral dissertation). London School of Hygiene &amp; Tropical Medicine.</w:t>
      </w:r>
    </w:p>
    <w:p w14:paraId="029A6960" w14:textId="77777777" w:rsidR="004365A5" w:rsidRPr="00150464" w:rsidRDefault="004365A5" w:rsidP="004365A5">
      <w:pPr>
        <w:pStyle w:val="NormalWeb"/>
        <w:numPr>
          <w:ilvl w:val="0"/>
          <w:numId w:val="55"/>
        </w:numPr>
        <w:rPr>
          <w:sz w:val="16"/>
          <w:szCs w:val="16"/>
        </w:rPr>
      </w:pPr>
      <w:r w:rsidRPr="00150464">
        <w:rPr>
          <w:sz w:val="16"/>
          <w:szCs w:val="16"/>
        </w:rPr>
        <w:t>Mburu, G., Ram, M., Oxenham, D., Haamujompa, C., Iorpenda, K., &amp; Ferguson, L. (2014). Responding to adolescents living with HIV in Zambia: A social-ecological approach.</w:t>
      </w:r>
      <w:r w:rsidRPr="00150464">
        <w:rPr>
          <w:rStyle w:val="apple-converted-space"/>
          <w:sz w:val="16"/>
          <w:szCs w:val="16"/>
        </w:rPr>
        <w:t> </w:t>
      </w:r>
      <w:r w:rsidRPr="00150464">
        <w:rPr>
          <w:rStyle w:val="Emphasis"/>
          <w:sz w:val="16"/>
          <w:szCs w:val="16"/>
        </w:rPr>
        <w:t>Children and Youth Services Review, 45</w:t>
      </w:r>
      <w:r w:rsidRPr="00150464">
        <w:rPr>
          <w:sz w:val="16"/>
          <w:szCs w:val="16"/>
        </w:rPr>
        <w:t>, 9–17.</w:t>
      </w:r>
      <w:r>
        <w:rPr>
          <w:rStyle w:val="apple-converted-space"/>
          <w:rFonts w:eastAsiaTheme="majorEastAsia"/>
          <w:sz w:val="16"/>
          <w:szCs w:val="16"/>
        </w:rPr>
        <w:t xml:space="preserve"> </w:t>
      </w:r>
      <w:hyperlink r:id="rId93" w:tgtFrame="_new" w:history="1">
        <w:r w:rsidRPr="00150464">
          <w:rPr>
            <w:rStyle w:val="Hyperlink"/>
            <w:sz w:val="16"/>
            <w:szCs w:val="16"/>
          </w:rPr>
          <w:t>https://doi.org/10.1016/j.childyouth.2014.03.033</w:t>
        </w:r>
      </w:hyperlink>
      <w:r w:rsidRPr="00150464">
        <w:rPr>
          <w:sz w:val="16"/>
          <w:szCs w:val="16"/>
        </w:rPr>
        <w:t xml:space="preserve"> </w:t>
      </w:r>
    </w:p>
    <w:p w14:paraId="78C93C66" w14:textId="77777777" w:rsidR="004365A5" w:rsidRPr="00150464" w:rsidRDefault="004365A5" w:rsidP="004365A5">
      <w:pPr>
        <w:pStyle w:val="NormalWeb"/>
        <w:numPr>
          <w:ilvl w:val="0"/>
          <w:numId w:val="55"/>
        </w:numPr>
        <w:rPr>
          <w:sz w:val="16"/>
          <w:szCs w:val="16"/>
        </w:rPr>
      </w:pPr>
      <w:r w:rsidRPr="00150464">
        <w:rPr>
          <w:sz w:val="16"/>
          <w:szCs w:val="16"/>
        </w:rPr>
        <w:t>Mburu, G., Limmer, M., &amp; Holland, P. (2019). HIV risk behaviours among women who inject drugs in coastal Kenya: Findings from secondary analysis of qualitative data.</w:t>
      </w:r>
      <w:r w:rsidRPr="00150464">
        <w:rPr>
          <w:rStyle w:val="apple-converted-space"/>
          <w:sz w:val="16"/>
          <w:szCs w:val="16"/>
        </w:rPr>
        <w:t> </w:t>
      </w:r>
      <w:r w:rsidRPr="00150464">
        <w:rPr>
          <w:rStyle w:val="Emphasis"/>
          <w:sz w:val="16"/>
          <w:szCs w:val="16"/>
        </w:rPr>
        <w:t>Harm Reduction Journal, 16</w:t>
      </w:r>
      <w:r w:rsidRPr="00150464">
        <w:rPr>
          <w:sz w:val="16"/>
          <w:szCs w:val="16"/>
        </w:rPr>
        <w:t>(1), 10.</w:t>
      </w:r>
      <w:r w:rsidRPr="00150464">
        <w:rPr>
          <w:rStyle w:val="apple-converted-space"/>
          <w:sz w:val="16"/>
          <w:szCs w:val="16"/>
        </w:rPr>
        <w:t> </w:t>
      </w:r>
      <w:hyperlink r:id="rId94" w:tgtFrame="_new" w:history="1">
        <w:r w:rsidRPr="00150464">
          <w:rPr>
            <w:rStyle w:val="Hyperlink"/>
            <w:sz w:val="16"/>
            <w:szCs w:val="16"/>
          </w:rPr>
          <w:t>https://doi.org/10.1186/s12954-019-0281-y</w:t>
        </w:r>
      </w:hyperlink>
    </w:p>
    <w:p w14:paraId="5B1EFB8F" w14:textId="77777777" w:rsidR="004365A5" w:rsidRPr="00150464" w:rsidRDefault="004365A5" w:rsidP="004365A5">
      <w:pPr>
        <w:pStyle w:val="NormalWeb"/>
        <w:numPr>
          <w:ilvl w:val="0"/>
          <w:numId w:val="55"/>
        </w:numPr>
        <w:rPr>
          <w:sz w:val="16"/>
          <w:szCs w:val="16"/>
        </w:rPr>
      </w:pPr>
      <w:r w:rsidRPr="00150464">
        <w:rPr>
          <w:sz w:val="16"/>
          <w:szCs w:val="16"/>
        </w:rPr>
        <w:t>Mmako, N. J., Capetola, T., &amp; Henderson-Wilson, C. (2019). Sowing social inclusion for marginalised residents of a social housing development through a community garden.</w:t>
      </w:r>
      <w:r w:rsidRPr="00150464">
        <w:rPr>
          <w:rStyle w:val="apple-converted-space"/>
          <w:sz w:val="16"/>
          <w:szCs w:val="16"/>
        </w:rPr>
        <w:t> </w:t>
      </w:r>
      <w:r w:rsidRPr="00150464">
        <w:rPr>
          <w:rStyle w:val="Emphasis"/>
          <w:sz w:val="16"/>
          <w:szCs w:val="16"/>
        </w:rPr>
        <w:t>Health Promotion Journal of Australia, 30</w:t>
      </w:r>
      <w:r w:rsidRPr="00150464">
        <w:rPr>
          <w:sz w:val="16"/>
          <w:szCs w:val="16"/>
        </w:rPr>
        <w:t>(3), 350–358.</w:t>
      </w:r>
      <w:r>
        <w:rPr>
          <w:rStyle w:val="apple-converted-space"/>
          <w:rFonts w:eastAsiaTheme="majorEastAsia"/>
          <w:sz w:val="16"/>
          <w:szCs w:val="16"/>
        </w:rPr>
        <w:t xml:space="preserve"> </w:t>
      </w:r>
      <w:hyperlink r:id="rId95" w:tgtFrame="_new" w:history="1">
        <w:r w:rsidRPr="00150464">
          <w:rPr>
            <w:rStyle w:val="Hyperlink"/>
            <w:sz w:val="16"/>
            <w:szCs w:val="16"/>
          </w:rPr>
          <w:t>https://doi.org/10.1002/hpja.225</w:t>
        </w:r>
      </w:hyperlink>
      <w:r w:rsidRPr="00150464">
        <w:rPr>
          <w:sz w:val="16"/>
          <w:szCs w:val="16"/>
        </w:rPr>
        <w:t xml:space="preserve"> </w:t>
      </w:r>
    </w:p>
    <w:p w14:paraId="4EA579EF" w14:textId="77777777" w:rsidR="004365A5" w:rsidRPr="00150464" w:rsidRDefault="004365A5" w:rsidP="004365A5">
      <w:pPr>
        <w:pStyle w:val="NormalWeb"/>
        <w:numPr>
          <w:ilvl w:val="0"/>
          <w:numId w:val="55"/>
        </w:numPr>
        <w:rPr>
          <w:sz w:val="16"/>
          <w:szCs w:val="16"/>
        </w:rPr>
      </w:pPr>
      <w:r w:rsidRPr="00150464">
        <w:rPr>
          <w:sz w:val="16"/>
          <w:szCs w:val="16"/>
        </w:rPr>
        <w:t>Moxley, E., Webber-Ritchey, K. J., &amp; Hayman, L. L. (2022). Global impact of physical inactivity and implications for public health nursing.</w:t>
      </w:r>
      <w:r w:rsidRPr="00150464">
        <w:rPr>
          <w:rStyle w:val="apple-converted-space"/>
          <w:sz w:val="16"/>
          <w:szCs w:val="16"/>
        </w:rPr>
        <w:t> </w:t>
      </w:r>
      <w:r w:rsidRPr="00150464">
        <w:rPr>
          <w:rStyle w:val="Emphasis"/>
          <w:sz w:val="16"/>
          <w:szCs w:val="16"/>
        </w:rPr>
        <w:t>Public Health Nursing, 39</w:t>
      </w:r>
      <w:r w:rsidRPr="00150464">
        <w:rPr>
          <w:sz w:val="16"/>
          <w:szCs w:val="16"/>
        </w:rPr>
        <w:t>(1), 180–188.</w:t>
      </w:r>
      <w:r w:rsidRPr="00150464">
        <w:rPr>
          <w:rStyle w:val="apple-converted-space"/>
          <w:sz w:val="16"/>
          <w:szCs w:val="16"/>
        </w:rPr>
        <w:t> </w:t>
      </w:r>
      <w:hyperlink r:id="rId96" w:tgtFrame="_new" w:history="1">
        <w:r w:rsidRPr="00150464">
          <w:rPr>
            <w:rStyle w:val="Hyperlink"/>
            <w:sz w:val="16"/>
            <w:szCs w:val="16"/>
          </w:rPr>
          <w:t>https://doi.org/10.1111/phn.12958</w:t>
        </w:r>
      </w:hyperlink>
    </w:p>
    <w:p w14:paraId="3D43AFA0" w14:textId="77777777" w:rsidR="004365A5" w:rsidRPr="00150464" w:rsidRDefault="004365A5" w:rsidP="004365A5">
      <w:pPr>
        <w:pStyle w:val="NormalWeb"/>
        <w:numPr>
          <w:ilvl w:val="0"/>
          <w:numId w:val="55"/>
        </w:numPr>
        <w:rPr>
          <w:sz w:val="16"/>
          <w:szCs w:val="16"/>
        </w:rPr>
      </w:pPr>
      <w:r w:rsidRPr="00150464">
        <w:rPr>
          <w:sz w:val="16"/>
          <w:szCs w:val="16"/>
        </w:rPr>
        <w:t>Muleia, R., Banze, A. R., Damião, S. L., &amp; Semá-Baltazar, C. S. (2024). Patterns of inconsistent condom use and risky sexual behaviors among female sex workers in Mozambique.</w:t>
      </w:r>
      <w:r w:rsidRPr="00150464">
        <w:rPr>
          <w:rStyle w:val="apple-converted-space"/>
          <w:sz w:val="16"/>
          <w:szCs w:val="16"/>
        </w:rPr>
        <w:t> </w:t>
      </w:r>
      <w:r w:rsidRPr="00150464">
        <w:rPr>
          <w:rStyle w:val="Emphasis"/>
          <w:sz w:val="16"/>
          <w:szCs w:val="16"/>
        </w:rPr>
        <w:t>BMC Public Health, 24</w:t>
      </w:r>
      <w:r w:rsidRPr="00150464">
        <w:rPr>
          <w:sz w:val="16"/>
          <w:szCs w:val="16"/>
        </w:rPr>
        <w:t>(1).</w:t>
      </w:r>
      <w:r w:rsidRPr="00150464">
        <w:rPr>
          <w:rStyle w:val="apple-converted-space"/>
          <w:sz w:val="16"/>
          <w:szCs w:val="16"/>
        </w:rPr>
        <w:t> </w:t>
      </w:r>
      <w:hyperlink r:id="rId97" w:tgtFrame="_new" w:history="1">
        <w:r w:rsidRPr="00150464">
          <w:rPr>
            <w:rStyle w:val="Hyperlink"/>
            <w:sz w:val="16"/>
            <w:szCs w:val="16"/>
          </w:rPr>
          <w:t>https://doi.org/10.1186/s12889-024-20236-y</w:t>
        </w:r>
      </w:hyperlink>
    </w:p>
    <w:p w14:paraId="68B552E2" w14:textId="77777777" w:rsidR="004365A5" w:rsidRPr="00150464" w:rsidRDefault="004365A5" w:rsidP="004365A5">
      <w:pPr>
        <w:pStyle w:val="NormalWeb"/>
        <w:numPr>
          <w:ilvl w:val="0"/>
          <w:numId w:val="55"/>
        </w:numPr>
        <w:rPr>
          <w:sz w:val="16"/>
          <w:szCs w:val="16"/>
        </w:rPr>
      </w:pPr>
      <w:r w:rsidRPr="00150464">
        <w:rPr>
          <w:sz w:val="16"/>
          <w:szCs w:val="16"/>
        </w:rPr>
        <w:t>Nakabazzi, B., Wachira, L.-J. M., Oyeyemi, A. L., Ssenyonga, R., &amp; Onywera, V. O. (2021). Parental-perceived home and neighborhood environmental correlates of accelerometer-measured physical activity among school-going children in Uganda.</w:t>
      </w:r>
      <w:r w:rsidRPr="00150464">
        <w:rPr>
          <w:rStyle w:val="apple-converted-space"/>
          <w:sz w:val="16"/>
          <w:szCs w:val="16"/>
        </w:rPr>
        <w:t> </w:t>
      </w:r>
      <w:r w:rsidRPr="00150464">
        <w:rPr>
          <w:rStyle w:val="Emphasis"/>
          <w:sz w:val="16"/>
          <w:szCs w:val="16"/>
        </w:rPr>
        <w:t>PLOS Global Public Health, 1</w:t>
      </w:r>
      <w:r w:rsidRPr="00150464">
        <w:rPr>
          <w:sz w:val="16"/>
          <w:szCs w:val="16"/>
        </w:rPr>
        <w:t>(12).</w:t>
      </w:r>
      <w:r w:rsidRPr="00150464">
        <w:rPr>
          <w:rStyle w:val="apple-converted-space"/>
          <w:sz w:val="16"/>
          <w:szCs w:val="16"/>
        </w:rPr>
        <w:t> </w:t>
      </w:r>
      <w:hyperlink r:id="rId98" w:tgtFrame="_new" w:history="1">
        <w:r w:rsidRPr="00150464">
          <w:rPr>
            <w:rStyle w:val="Hyperlink"/>
            <w:sz w:val="16"/>
            <w:szCs w:val="16"/>
          </w:rPr>
          <w:t>https://doi.org/10.1371/journal.pgph.0000089</w:t>
        </w:r>
      </w:hyperlink>
    </w:p>
    <w:p w14:paraId="0F398611" w14:textId="77777777" w:rsidR="004365A5" w:rsidRPr="00150464" w:rsidRDefault="004365A5" w:rsidP="004365A5">
      <w:pPr>
        <w:pStyle w:val="NormalWeb"/>
        <w:numPr>
          <w:ilvl w:val="0"/>
          <w:numId w:val="55"/>
        </w:numPr>
        <w:rPr>
          <w:sz w:val="16"/>
          <w:szCs w:val="16"/>
        </w:rPr>
      </w:pPr>
      <w:r w:rsidRPr="00150464">
        <w:rPr>
          <w:sz w:val="16"/>
          <w:szCs w:val="16"/>
        </w:rPr>
        <w:t>Nuttman, S., Patrick, R., &amp; Townsend, M. (2020). Addressing food insecurity in Australia through education for sustainability.</w:t>
      </w:r>
      <w:r w:rsidRPr="00150464">
        <w:rPr>
          <w:rStyle w:val="apple-converted-space"/>
          <w:sz w:val="16"/>
          <w:szCs w:val="16"/>
        </w:rPr>
        <w:t> </w:t>
      </w:r>
      <w:r w:rsidRPr="00150464">
        <w:rPr>
          <w:rStyle w:val="Emphasis"/>
          <w:sz w:val="16"/>
          <w:szCs w:val="16"/>
        </w:rPr>
        <w:t>Health Promotion International, 35</w:t>
      </w:r>
      <w:r w:rsidRPr="00150464">
        <w:rPr>
          <w:sz w:val="16"/>
          <w:szCs w:val="16"/>
        </w:rPr>
        <w:t>(6), 1601–1611.</w:t>
      </w:r>
      <w:r w:rsidRPr="00150464">
        <w:rPr>
          <w:rStyle w:val="apple-converted-space"/>
          <w:sz w:val="16"/>
          <w:szCs w:val="16"/>
        </w:rPr>
        <w:t> </w:t>
      </w:r>
      <w:hyperlink r:id="rId99" w:tgtFrame="_new" w:history="1">
        <w:r w:rsidRPr="00150464">
          <w:rPr>
            <w:rStyle w:val="Hyperlink"/>
            <w:sz w:val="16"/>
            <w:szCs w:val="16"/>
          </w:rPr>
          <w:t>https://doi.org/10.1093/heapro/daz119</w:t>
        </w:r>
      </w:hyperlink>
    </w:p>
    <w:p w14:paraId="2CD8E51C" w14:textId="77777777" w:rsidR="004365A5" w:rsidRPr="00150464" w:rsidRDefault="004365A5" w:rsidP="004365A5">
      <w:pPr>
        <w:pStyle w:val="NormalWeb"/>
        <w:numPr>
          <w:ilvl w:val="0"/>
          <w:numId w:val="55"/>
        </w:numPr>
        <w:rPr>
          <w:sz w:val="16"/>
          <w:szCs w:val="16"/>
        </w:rPr>
      </w:pPr>
      <w:r w:rsidRPr="00150464">
        <w:rPr>
          <w:sz w:val="16"/>
          <w:szCs w:val="16"/>
        </w:rPr>
        <w:t>Nuttman, S., Patrick, R., Townsend, M., &amp; Lawson, J. (2020). Health promotion and food insecurity: Exploring environmental sustainability principles to guide practice within Australia.</w:t>
      </w:r>
      <w:r w:rsidRPr="00150464">
        <w:rPr>
          <w:rStyle w:val="apple-converted-space"/>
          <w:sz w:val="16"/>
          <w:szCs w:val="16"/>
        </w:rPr>
        <w:t> </w:t>
      </w:r>
      <w:r w:rsidRPr="00150464">
        <w:rPr>
          <w:rStyle w:val="Emphasis"/>
          <w:sz w:val="16"/>
          <w:szCs w:val="16"/>
        </w:rPr>
        <w:t>Health Promotion Journal of Australia, 31</w:t>
      </w:r>
      <w:r w:rsidRPr="00150464">
        <w:rPr>
          <w:sz w:val="16"/>
          <w:szCs w:val="16"/>
        </w:rPr>
        <w:t>(1), 68–76.</w:t>
      </w:r>
      <w:r>
        <w:rPr>
          <w:rStyle w:val="apple-converted-space"/>
          <w:rFonts w:eastAsiaTheme="majorEastAsia"/>
          <w:sz w:val="16"/>
          <w:szCs w:val="16"/>
        </w:rPr>
        <w:t xml:space="preserve"> </w:t>
      </w:r>
      <w:hyperlink r:id="rId100" w:tgtFrame="_new" w:history="1">
        <w:r w:rsidRPr="00150464">
          <w:rPr>
            <w:rStyle w:val="Hyperlink"/>
            <w:sz w:val="16"/>
            <w:szCs w:val="16"/>
          </w:rPr>
          <w:t>https://doi.org/10.1002/hpja.249</w:t>
        </w:r>
      </w:hyperlink>
      <w:r w:rsidRPr="00150464">
        <w:rPr>
          <w:sz w:val="16"/>
          <w:szCs w:val="16"/>
        </w:rPr>
        <w:t xml:space="preserve"> </w:t>
      </w:r>
    </w:p>
    <w:p w14:paraId="17DA4016" w14:textId="77777777" w:rsidR="004365A5" w:rsidRPr="00150464" w:rsidRDefault="004365A5" w:rsidP="004365A5">
      <w:pPr>
        <w:pStyle w:val="NormalWeb"/>
        <w:numPr>
          <w:ilvl w:val="0"/>
          <w:numId w:val="55"/>
        </w:numPr>
        <w:rPr>
          <w:sz w:val="16"/>
          <w:szCs w:val="16"/>
        </w:rPr>
      </w:pPr>
      <w:r w:rsidRPr="00150464">
        <w:rPr>
          <w:sz w:val="16"/>
          <w:szCs w:val="16"/>
        </w:rPr>
        <w:t>Obidoa, C., Thompson, P. O., Thitsa, M., Martin, C. F., &amp; Katner, H. (2023). Socio-ecologic correlates of HIV/AIDS-related sexual risk behavior of African American emerging adults.</w:t>
      </w:r>
      <w:r w:rsidRPr="00150464">
        <w:rPr>
          <w:rStyle w:val="apple-converted-space"/>
          <w:sz w:val="16"/>
          <w:szCs w:val="16"/>
        </w:rPr>
        <w:t> </w:t>
      </w:r>
      <w:r w:rsidRPr="00150464">
        <w:rPr>
          <w:rStyle w:val="Emphasis"/>
          <w:sz w:val="16"/>
          <w:szCs w:val="16"/>
        </w:rPr>
        <w:t>AIDS and Behavior, 27</w:t>
      </w:r>
      <w:r w:rsidRPr="00150464">
        <w:rPr>
          <w:sz w:val="16"/>
          <w:szCs w:val="16"/>
        </w:rPr>
        <w:t>(10), 3392–3400.</w:t>
      </w:r>
      <w:r>
        <w:rPr>
          <w:rStyle w:val="apple-converted-space"/>
          <w:rFonts w:eastAsiaTheme="majorEastAsia"/>
          <w:sz w:val="16"/>
          <w:szCs w:val="16"/>
        </w:rPr>
        <w:t xml:space="preserve"> </w:t>
      </w:r>
      <w:hyperlink r:id="rId101" w:tgtFrame="_new" w:history="1">
        <w:r w:rsidRPr="00150464">
          <w:rPr>
            <w:rStyle w:val="Hyperlink"/>
            <w:sz w:val="16"/>
            <w:szCs w:val="16"/>
          </w:rPr>
          <w:t>https://doi.org/10.1007/s10461-023-04055-7</w:t>
        </w:r>
      </w:hyperlink>
      <w:r w:rsidRPr="00150464">
        <w:rPr>
          <w:sz w:val="16"/>
          <w:szCs w:val="16"/>
        </w:rPr>
        <w:t xml:space="preserve"> </w:t>
      </w:r>
    </w:p>
    <w:p w14:paraId="2AD94876" w14:textId="77777777" w:rsidR="004365A5" w:rsidRPr="00150464" w:rsidRDefault="004365A5" w:rsidP="004365A5">
      <w:pPr>
        <w:pStyle w:val="NormalWeb"/>
        <w:numPr>
          <w:ilvl w:val="0"/>
          <w:numId w:val="55"/>
        </w:numPr>
        <w:rPr>
          <w:sz w:val="16"/>
          <w:szCs w:val="16"/>
        </w:rPr>
      </w:pPr>
      <w:r w:rsidRPr="00150464">
        <w:rPr>
          <w:sz w:val="16"/>
          <w:szCs w:val="16"/>
        </w:rPr>
        <w:t>Paat, Y.-F., &amp; Torres-Hostos, L. R. (2019). Pathogens without borders: Ecological determinants of sexual risk-taking behaviors among international travelers across the life course.</w:t>
      </w:r>
      <w:r w:rsidRPr="00150464">
        <w:rPr>
          <w:rStyle w:val="apple-converted-space"/>
          <w:sz w:val="16"/>
          <w:szCs w:val="16"/>
        </w:rPr>
        <w:t> </w:t>
      </w:r>
      <w:r w:rsidRPr="00150464">
        <w:rPr>
          <w:rStyle w:val="Emphasis"/>
          <w:sz w:val="16"/>
          <w:szCs w:val="16"/>
        </w:rPr>
        <w:t>Journal of Health Research, 33</w:t>
      </w:r>
      <w:r w:rsidRPr="00150464">
        <w:rPr>
          <w:sz w:val="16"/>
          <w:szCs w:val="16"/>
        </w:rPr>
        <w:t>(4), 301–313.</w:t>
      </w:r>
      <w:r w:rsidRPr="00150464">
        <w:rPr>
          <w:rStyle w:val="apple-converted-space"/>
          <w:sz w:val="16"/>
          <w:szCs w:val="16"/>
        </w:rPr>
        <w:t> </w:t>
      </w:r>
      <w:hyperlink r:id="rId102" w:tgtFrame="_new" w:history="1">
        <w:r w:rsidRPr="00150464">
          <w:rPr>
            <w:rStyle w:val="Hyperlink"/>
            <w:sz w:val="16"/>
            <w:szCs w:val="16"/>
          </w:rPr>
          <w:t>https://doi.org/10.1108/JHR-09-2018-0095</w:t>
        </w:r>
      </w:hyperlink>
    </w:p>
    <w:p w14:paraId="6CBDA0BE" w14:textId="77777777" w:rsidR="004365A5" w:rsidRPr="00150464" w:rsidRDefault="004365A5" w:rsidP="004365A5">
      <w:pPr>
        <w:pStyle w:val="NormalWeb"/>
        <w:numPr>
          <w:ilvl w:val="0"/>
          <w:numId w:val="55"/>
        </w:numPr>
        <w:rPr>
          <w:sz w:val="16"/>
          <w:szCs w:val="16"/>
        </w:rPr>
      </w:pPr>
      <w:r w:rsidRPr="00150464">
        <w:rPr>
          <w:sz w:val="16"/>
          <w:szCs w:val="16"/>
        </w:rPr>
        <w:t>Palmer, R., Smith, B. J., Kite, J., &amp; Phongsavan, P. (2024). The socio-ecological determinants of help-seeking practices and healthcare access among young men: A systematic review.</w:t>
      </w:r>
      <w:r w:rsidRPr="00150464">
        <w:rPr>
          <w:rStyle w:val="apple-converted-space"/>
          <w:sz w:val="16"/>
          <w:szCs w:val="16"/>
        </w:rPr>
        <w:t> </w:t>
      </w:r>
      <w:r w:rsidRPr="00150464">
        <w:rPr>
          <w:rStyle w:val="Emphasis"/>
          <w:sz w:val="16"/>
          <w:szCs w:val="16"/>
        </w:rPr>
        <w:t>Health Promotion International, 39</w:t>
      </w:r>
      <w:r w:rsidRPr="00150464">
        <w:rPr>
          <w:sz w:val="16"/>
          <w:szCs w:val="16"/>
        </w:rPr>
        <w:t>(2).</w:t>
      </w:r>
      <w:r>
        <w:rPr>
          <w:rStyle w:val="apple-converted-space"/>
          <w:rFonts w:eastAsiaTheme="majorEastAsia"/>
          <w:sz w:val="16"/>
          <w:szCs w:val="16"/>
        </w:rPr>
        <w:t xml:space="preserve"> </w:t>
      </w:r>
      <w:hyperlink r:id="rId103" w:tgtFrame="_new" w:history="1">
        <w:r w:rsidRPr="00150464">
          <w:rPr>
            <w:rStyle w:val="Hyperlink"/>
            <w:sz w:val="16"/>
            <w:szCs w:val="16"/>
          </w:rPr>
          <w:t>https://doi.org/10.1093/heapro/daae024</w:t>
        </w:r>
      </w:hyperlink>
      <w:r w:rsidRPr="00150464">
        <w:rPr>
          <w:sz w:val="16"/>
          <w:szCs w:val="16"/>
        </w:rPr>
        <w:t xml:space="preserve"> </w:t>
      </w:r>
    </w:p>
    <w:p w14:paraId="41CC9CF9" w14:textId="77777777" w:rsidR="004365A5" w:rsidRPr="00150464" w:rsidRDefault="004365A5" w:rsidP="004365A5">
      <w:pPr>
        <w:pStyle w:val="NormalWeb"/>
        <w:numPr>
          <w:ilvl w:val="0"/>
          <w:numId w:val="55"/>
        </w:numPr>
        <w:rPr>
          <w:sz w:val="16"/>
          <w:szCs w:val="16"/>
        </w:rPr>
      </w:pPr>
      <w:r w:rsidRPr="00150464">
        <w:rPr>
          <w:sz w:val="16"/>
          <w:szCs w:val="16"/>
        </w:rPr>
        <w:t>Palmer, R., Smith, B. J., Kite, J., &amp; Phongsavan, P. (2024). Correction to: The socio-ecological determinants of help-seeking practices and healthcare access among young men: A systematic review.</w:t>
      </w:r>
      <w:r w:rsidRPr="00150464">
        <w:rPr>
          <w:rStyle w:val="apple-converted-space"/>
          <w:sz w:val="16"/>
          <w:szCs w:val="16"/>
        </w:rPr>
        <w:t> </w:t>
      </w:r>
      <w:r w:rsidRPr="00150464">
        <w:rPr>
          <w:rStyle w:val="Emphasis"/>
          <w:sz w:val="16"/>
          <w:szCs w:val="16"/>
        </w:rPr>
        <w:t>Health Promotion International, 39</w:t>
      </w:r>
      <w:r w:rsidRPr="00150464">
        <w:rPr>
          <w:sz w:val="16"/>
          <w:szCs w:val="16"/>
        </w:rPr>
        <w:t>(4), daae084.</w:t>
      </w:r>
      <w:r>
        <w:rPr>
          <w:rStyle w:val="apple-converted-space"/>
          <w:rFonts w:eastAsiaTheme="majorEastAsia"/>
          <w:sz w:val="16"/>
          <w:szCs w:val="16"/>
        </w:rPr>
        <w:t xml:space="preserve"> </w:t>
      </w:r>
      <w:hyperlink r:id="rId104" w:tgtFrame="_new" w:history="1">
        <w:r w:rsidRPr="00150464">
          <w:rPr>
            <w:rStyle w:val="Hyperlink"/>
            <w:sz w:val="16"/>
            <w:szCs w:val="16"/>
          </w:rPr>
          <w:t>https://doi.org/10.1093/heapro/daae084</w:t>
        </w:r>
      </w:hyperlink>
      <w:r w:rsidRPr="00150464">
        <w:rPr>
          <w:sz w:val="16"/>
          <w:szCs w:val="16"/>
        </w:rPr>
        <w:t xml:space="preserve"> </w:t>
      </w:r>
    </w:p>
    <w:p w14:paraId="61AED159" w14:textId="77777777" w:rsidR="004365A5" w:rsidRPr="00150464" w:rsidRDefault="004365A5" w:rsidP="004365A5">
      <w:pPr>
        <w:pStyle w:val="NormalWeb"/>
        <w:numPr>
          <w:ilvl w:val="0"/>
          <w:numId w:val="55"/>
        </w:numPr>
        <w:rPr>
          <w:sz w:val="16"/>
          <w:szCs w:val="16"/>
        </w:rPr>
      </w:pPr>
      <w:r w:rsidRPr="00150464">
        <w:rPr>
          <w:sz w:val="16"/>
          <w:szCs w:val="16"/>
        </w:rPr>
        <w:t>Palstam, A., Sehdev, S., Barna, S., Andersson, M., &amp; Liebenberg, N. (2022). Sustainability in physiotherapy and rehabilitation.</w:t>
      </w:r>
      <w:r w:rsidRPr="00150464">
        <w:rPr>
          <w:rStyle w:val="apple-converted-space"/>
          <w:sz w:val="16"/>
          <w:szCs w:val="16"/>
        </w:rPr>
        <w:t> </w:t>
      </w:r>
      <w:r w:rsidRPr="00150464">
        <w:rPr>
          <w:rStyle w:val="Emphasis"/>
          <w:sz w:val="16"/>
          <w:szCs w:val="16"/>
        </w:rPr>
        <w:t>Orthopaedics and Trauma, 36</w:t>
      </w:r>
      <w:r w:rsidRPr="00150464">
        <w:rPr>
          <w:sz w:val="16"/>
          <w:szCs w:val="16"/>
        </w:rPr>
        <w:t>(5), 279–283.</w:t>
      </w:r>
      <w:r w:rsidRPr="00150464">
        <w:rPr>
          <w:rStyle w:val="apple-converted-space"/>
          <w:sz w:val="16"/>
          <w:szCs w:val="16"/>
        </w:rPr>
        <w:t> </w:t>
      </w:r>
      <w:hyperlink r:id="rId105" w:tgtFrame="_new" w:history="1">
        <w:r w:rsidRPr="00150464">
          <w:rPr>
            <w:rStyle w:val="Hyperlink"/>
            <w:sz w:val="16"/>
            <w:szCs w:val="16"/>
          </w:rPr>
          <w:t>https://doi.org/10.1016/j.mporth.2022.07.005</w:t>
        </w:r>
      </w:hyperlink>
    </w:p>
    <w:p w14:paraId="0AA23BD2" w14:textId="77777777" w:rsidR="004365A5" w:rsidRPr="00150464" w:rsidRDefault="004365A5" w:rsidP="004365A5">
      <w:pPr>
        <w:pStyle w:val="NormalWeb"/>
        <w:numPr>
          <w:ilvl w:val="0"/>
          <w:numId w:val="55"/>
        </w:numPr>
        <w:rPr>
          <w:sz w:val="16"/>
          <w:szCs w:val="16"/>
        </w:rPr>
      </w:pPr>
      <w:r w:rsidRPr="00150464">
        <w:rPr>
          <w:sz w:val="16"/>
          <w:szCs w:val="16"/>
        </w:rPr>
        <w:t xml:space="preserve">Panneer, S., Kantamaneni, K., Palaniswamy, U., Bhat, L., Pushparaj, R. R. B., Nayar, K. R., </w:t>
      </w:r>
      <w:r>
        <w:rPr>
          <w:sz w:val="16"/>
          <w:szCs w:val="16"/>
        </w:rPr>
        <w:t>et al</w:t>
      </w:r>
      <w:r w:rsidRPr="00150464">
        <w:rPr>
          <w:sz w:val="16"/>
          <w:szCs w:val="16"/>
        </w:rPr>
        <w:t>. (2022). Health, economic and social development challenges of the COVID-19 pandemic: Strategies for multiple and interconnected issues.</w:t>
      </w:r>
      <w:r w:rsidRPr="00150464">
        <w:rPr>
          <w:rStyle w:val="apple-converted-space"/>
          <w:sz w:val="16"/>
          <w:szCs w:val="16"/>
        </w:rPr>
        <w:t> </w:t>
      </w:r>
      <w:r w:rsidRPr="00150464">
        <w:rPr>
          <w:rStyle w:val="Emphasis"/>
          <w:sz w:val="16"/>
          <w:szCs w:val="16"/>
        </w:rPr>
        <w:t>Healthcare (Switzerland), 10</w:t>
      </w:r>
      <w:r w:rsidRPr="00150464">
        <w:rPr>
          <w:sz w:val="16"/>
          <w:szCs w:val="16"/>
        </w:rPr>
        <w:t>(5).</w:t>
      </w:r>
      <w:r w:rsidRPr="00150464">
        <w:rPr>
          <w:rStyle w:val="apple-converted-space"/>
          <w:sz w:val="16"/>
          <w:szCs w:val="16"/>
        </w:rPr>
        <w:t> </w:t>
      </w:r>
      <w:hyperlink r:id="rId106" w:tgtFrame="_new" w:history="1">
        <w:r w:rsidRPr="00150464">
          <w:rPr>
            <w:rStyle w:val="Hyperlink"/>
            <w:sz w:val="16"/>
            <w:szCs w:val="16"/>
          </w:rPr>
          <w:t>https://doi.org/10.3390/healthcare10050770</w:t>
        </w:r>
      </w:hyperlink>
    </w:p>
    <w:p w14:paraId="0CDD9DC4" w14:textId="77777777" w:rsidR="004365A5" w:rsidRPr="00150464" w:rsidRDefault="004365A5" w:rsidP="004365A5">
      <w:pPr>
        <w:pStyle w:val="NormalWeb"/>
        <w:numPr>
          <w:ilvl w:val="0"/>
          <w:numId w:val="55"/>
        </w:numPr>
        <w:rPr>
          <w:sz w:val="16"/>
          <w:szCs w:val="16"/>
        </w:rPr>
      </w:pPr>
      <w:r w:rsidRPr="00150464">
        <w:rPr>
          <w:sz w:val="16"/>
          <w:szCs w:val="16"/>
        </w:rPr>
        <w:t>Park, J., ten Hoor, G. A., Hwang, G., &amp; Ryu, S. (2025). Associations between ecological determinants and weight status changes among children from vulnerable populations: Empirical findings from a national panel survey in South Korea.</w:t>
      </w:r>
      <w:r w:rsidRPr="00150464">
        <w:rPr>
          <w:rStyle w:val="apple-converted-space"/>
          <w:sz w:val="16"/>
          <w:szCs w:val="16"/>
        </w:rPr>
        <w:t> </w:t>
      </w:r>
      <w:r w:rsidRPr="00150464">
        <w:rPr>
          <w:rStyle w:val="Emphasis"/>
          <w:sz w:val="16"/>
          <w:szCs w:val="16"/>
        </w:rPr>
        <w:t>Western Journal of Nursing Research, 47</w:t>
      </w:r>
      <w:r w:rsidRPr="00150464">
        <w:rPr>
          <w:sz w:val="16"/>
          <w:szCs w:val="16"/>
        </w:rPr>
        <w:t>(4), 231–240.</w:t>
      </w:r>
      <w:r w:rsidRPr="00150464">
        <w:rPr>
          <w:rStyle w:val="apple-converted-space"/>
          <w:sz w:val="16"/>
          <w:szCs w:val="16"/>
        </w:rPr>
        <w:t> </w:t>
      </w:r>
      <w:hyperlink r:id="rId107" w:tgtFrame="_new" w:history="1">
        <w:r w:rsidRPr="00150464">
          <w:rPr>
            <w:rStyle w:val="Hyperlink"/>
            <w:sz w:val="16"/>
            <w:szCs w:val="16"/>
          </w:rPr>
          <w:t>https://doi.org/10.1177/01939459251314943</w:t>
        </w:r>
      </w:hyperlink>
    </w:p>
    <w:p w14:paraId="2CFA1DB4" w14:textId="77777777" w:rsidR="004365A5" w:rsidRPr="00150464" w:rsidRDefault="004365A5" w:rsidP="004365A5">
      <w:pPr>
        <w:pStyle w:val="NormalWeb"/>
        <w:numPr>
          <w:ilvl w:val="0"/>
          <w:numId w:val="55"/>
        </w:numPr>
        <w:rPr>
          <w:sz w:val="16"/>
          <w:szCs w:val="16"/>
        </w:rPr>
      </w:pPr>
      <w:r w:rsidRPr="00150464">
        <w:rPr>
          <w:sz w:val="16"/>
          <w:szCs w:val="16"/>
        </w:rPr>
        <w:t xml:space="preserve">Parke, R. D., O’Neil, R., Isley, S., Spitzer, S., Welsh, M., Wang, S., </w:t>
      </w:r>
      <w:r>
        <w:rPr>
          <w:sz w:val="16"/>
          <w:szCs w:val="16"/>
        </w:rPr>
        <w:t xml:space="preserve">et al. </w:t>
      </w:r>
      <w:r w:rsidRPr="00150464">
        <w:rPr>
          <w:sz w:val="16"/>
          <w:szCs w:val="16"/>
        </w:rPr>
        <w:t>(2014). Family-peer relationships: Cognitive, emotional, and ecological determinants (pp. 89–112).</w:t>
      </w:r>
      <w:r w:rsidRPr="00150464">
        <w:rPr>
          <w:rStyle w:val="apple-converted-space"/>
          <w:sz w:val="16"/>
          <w:szCs w:val="16"/>
        </w:rPr>
        <w:t> </w:t>
      </w:r>
      <w:hyperlink r:id="rId108" w:tgtFrame="_new" w:history="1">
        <w:r w:rsidRPr="00150464">
          <w:rPr>
            <w:rStyle w:val="Hyperlink"/>
            <w:sz w:val="16"/>
            <w:szCs w:val="16"/>
          </w:rPr>
          <w:t>https://doi.org/10.4324/9781315805863-11</w:t>
        </w:r>
      </w:hyperlink>
    </w:p>
    <w:p w14:paraId="12525065" w14:textId="77777777" w:rsidR="004365A5" w:rsidRPr="00287B8D" w:rsidRDefault="004365A5" w:rsidP="004365A5">
      <w:pPr>
        <w:pStyle w:val="NormalWeb"/>
        <w:numPr>
          <w:ilvl w:val="0"/>
          <w:numId w:val="55"/>
        </w:numPr>
        <w:rPr>
          <w:sz w:val="16"/>
          <w:szCs w:val="16"/>
        </w:rPr>
      </w:pPr>
      <w:r w:rsidRPr="00150464">
        <w:rPr>
          <w:sz w:val="16"/>
          <w:szCs w:val="16"/>
        </w:rPr>
        <w:t>Patrick, R., Henderson-Wilson, C., &amp; Ebden, M. (2022). Exploring the co-benefits of environmental volunteering for human and planetary health promotion.</w:t>
      </w:r>
      <w:r w:rsidRPr="00150464">
        <w:rPr>
          <w:rStyle w:val="apple-converted-space"/>
          <w:sz w:val="16"/>
          <w:szCs w:val="16"/>
        </w:rPr>
        <w:t> </w:t>
      </w:r>
      <w:r w:rsidRPr="00150464">
        <w:rPr>
          <w:rStyle w:val="Emphasis"/>
          <w:sz w:val="16"/>
          <w:szCs w:val="16"/>
        </w:rPr>
        <w:t xml:space="preserve">Health Promotion </w:t>
      </w:r>
      <w:r w:rsidRPr="00287B8D">
        <w:rPr>
          <w:rStyle w:val="Emphasis"/>
          <w:sz w:val="16"/>
          <w:szCs w:val="16"/>
        </w:rPr>
        <w:t>Journal of Australia, 33</w:t>
      </w:r>
      <w:r w:rsidRPr="00287B8D">
        <w:rPr>
          <w:sz w:val="16"/>
          <w:szCs w:val="16"/>
        </w:rPr>
        <w:t>(1), 57–67.</w:t>
      </w:r>
      <w:r w:rsidRPr="00287B8D">
        <w:rPr>
          <w:rStyle w:val="apple-converted-space"/>
          <w:sz w:val="16"/>
          <w:szCs w:val="16"/>
        </w:rPr>
        <w:t> </w:t>
      </w:r>
      <w:hyperlink r:id="rId109" w:tgtFrame="_new" w:history="1">
        <w:r w:rsidRPr="00287B8D">
          <w:rPr>
            <w:rStyle w:val="Hyperlink"/>
            <w:sz w:val="16"/>
            <w:szCs w:val="16"/>
          </w:rPr>
          <w:t>https://doi.org/10.1002/hpja.460</w:t>
        </w:r>
      </w:hyperlink>
    </w:p>
    <w:p w14:paraId="7AE2E989" w14:textId="77777777" w:rsidR="004365A5" w:rsidRPr="00287B8D" w:rsidRDefault="004365A5" w:rsidP="004365A5">
      <w:pPr>
        <w:pStyle w:val="NormalWeb"/>
        <w:numPr>
          <w:ilvl w:val="0"/>
          <w:numId w:val="55"/>
        </w:numPr>
        <w:rPr>
          <w:sz w:val="16"/>
          <w:szCs w:val="16"/>
        </w:rPr>
      </w:pPr>
      <w:r w:rsidRPr="00287B8D">
        <w:rPr>
          <w:sz w:val="16"/>
          <w:szCs w:val="16"/>
        </w:rPr>
        <w:lastRenderedPageBreak/>
        <w:t>Patz, J. A., Epstein, P. R., Burke, T. A., &amp; Balbus, J. M. (1996). Global climate change and emerging infectious diseases.</w:t>
      </w:r>
      <w:r w:rsidRPr="00287B8D">
        <w:rPr>
          <w:rStyle w:val="apple-converted-space"/>
          <w:sz w:val="16"/>
          <w:szCs w:val="16"/>
        </w:rPr>
        <w:t> </w:t>
      </w:r>
      <w:r w:rsidRPr="00287B8D">
        <w:rPr>
          <w:rStyle w:val="Emphasis"/>
          <w:sz w:val="16"/>
          <w:szCs w:val="16"/>
        </w:rPr>
        <w:t>JAMA, 275</w:t>
      </w:r>
      <w:r w:rsidRPr="00287B8D">
        <w:rPr>
          <w:sz w:val="16"/>
          <w:szCs w:val="16"/>
        </w:rPr>
        <w:t>(3), 217–223.</w:t>
      </w:r>
      <w:r w:rsidRPr="00287B8D">
        <w:rPr>
          <w:rStyle w:val="apple-converted-space"/>
          <w:sz w:val="16"/>
          <w:szCs w:val="16"/>
        </w:rPr>
        <w:t> </w:t>
      </w:r>
      <w:hyperlink r:id="rId110" w:tgtFrame="_new" w:history="1">
        <w:r w:rsidRPr="00287B8D">
          <w:rPr>
            <w:rStyle w:val="Hyperlink"/>
            <w:sz w:val="16"/>
            <w:szCs w:val="16"/>
          </w:rPr>
          <w:t>https://doi.org/10.1001/jama.275.3.217</w:t>
        </w:r>
      </w:hyperlink>
    </w:p>
    <w:p w14:paraId="6E262B79" w14:textId="77777777" w:rsidR="004365A5" w:rsidRDefault="004365A5" w:rsidP="004365A5">
      <w:pPr>
        <w:pStyle w:val="NormalWeb"/>
        <w:numPr>
          <w:ilvl w:val="0"/>
          <w:numId w:val="55"/>
        </w:numPr>
        <w:rPr>
          <w:sz w:val="16"/>
          <w:szCs w:val="16"/>
        </w:rPr>
      </w:pPr>
      <w:r w:rsidRPr="00096D7E">
        <w:rPr>
          <w:sz w:val="16"/>
          <w:szCs w:val="16"/>
        </w:rPr>
        <w:t>Peiris, J. S. M., &amp; Guan, Y. (2008). Emerging infectious diseases and the animal–human interface. </w:t>
      </w:r>
      <w:r w:rsidRPr="00096D7E">
        <w:rPr>
          <w:i/>
          <w:iCs/>
          <w:sz w:val="16"/>
          <w:szCs w:val="16"/>
        </w:rPr>
        <w:t>Novartis Foundation Symposium, 290</w:t>
      </w:r>
      <w:r w:rsidRPr="00096D7E">
        <w:rPr>
          <w:sz w:val="16"/>
          <w:szCs w:val="16"/>
        </w:rPr>
        <w:t>, 113–122.</w:t>
      </w:r>
    </w:p>
    <w:p w14:paraId="495EA0CA" w14:textId="77777777" w:rsidR="004365A5" w:rsidRPr="00287B8D" w:rsidRDefault="004365A5" w:rsidP="004365A5">
      <w:pPr>
        <w:pStyle w:val="NormalWeb"/>
        <w:numPr>
          <w:ilvl w:val="0"/>
          <w:numId w:val="55"/>
        </w:numPr>
        <w:rPr>
          <w:sz w:val="16"/>
          <w:szCs w:val="16"/>
        </w:rPr>
      </w:pPr>
      <w:r w:rsidRPr="00287B8D">
        <w:rPr>
          <w:sz w:val="16"/>
          <w:szCs w:val="16"/>
        </w:rPr>
        <w:t xml:space="preserve">Pickover, A. M., Bhimji, J., Sun, S., Evans, A., Allbaugh, L. J., Dunn, S. E., </w:t>
      </w:r>
      <w:r>
        <w:rPr>
          <w:sz w:val="16"/>
          <w:szCs w:val="16"/>
        </w:rPr>
        <w:t>et al</w:t>
      </w:r>
      <w:r w:rsidRPr="00287B8D">
        <w:rPr>
          <w:sz w:val="16"/>
          <w:szCs w:val="16"/>
        </w:rPr>
        <w:t>. (2021). Neighborhood disorder, social support, and outcomes among violence-exposed African American women.</w:t>
      </w:r>
      <w:r w:rsidRPr="00287B8D">
        <w:rPr>
          <w:rStyle w:val="apple-converted-space"/>
          <w:sz w:val="16"/>
          <w:szCs w:val="16"/>
        </w:rPr>
        <w:t> </w:t>
      </w:r>
      <w:r w:rsidRPr="00287B8D">
        <w:rPr>
          <w:rStyle w:val="Emphasis"/>
          <w:sz w:val="16"/>
          <w:szCs w:val="16"/>
        </w:rPr>
        <w:t>Journal of Interpersonal Violence, 36</w:t>
      </w:r>
      <w:r w:rsidRPr="00287B8D">
        <w:rPr>
          <w:sz w:val="16"/>
          <w:szCs w:val="16"/>
        </w:rPr>
        <w:t>(7), NP3716–NP3737.</w:t>
      </w:r>
      <w:r w:rsidRPr="00287B8D">
        <w:rPr>
          <w:rStyle w:val="apple-converted-space"/>
          <w:sz w:val="16"/>
          <w:szCs w:val="16"/>
        </w:rPr>
        <w:t> </w:t>
      </w:r>
      <w:hyperlink r:id="rId111" w:tgtFrame="_new" w:history="1">
        <w:r w:rsidRPr="00287B8D">
          <w:rPr>
            <w:rStyle w:val="Hyperlink"/>
            <w:sz w:val="16"/>
            <w:szCs w:val="16"/>
          </w:rPr>
          <w:t>https://doi.org/10.1177/0886260518779599</w:t>
        </w:r>
      </w:hyperlink>
    </w:p>
    <w:p w14:paraId="4E4B4B82" w14:textId="77777777" w:rsidR="004365A5" w:rsidRPr="00287B8D" w:rsidRDefault="004365A5" w:rsidP="004365A5">
      <w:pPr>
        <w:pStyle w:val="NormalWeb"/>
        <w:numPr>
          <w:ilvl w:val="0"/>
          <w:numId w:val="55"/>
        </w:numPr>
        <w:rPr>
          <w:sz w:val="16"/>
          <w:szCs w:val="16"/>
        </w:rPr>
      </w:pPr>
      <w:r w:rsidRPr="00287B8D">
        <w:rPr>
          <w:sz w:val="16"/>
          <w:szCs w:val="16"/>
        </w:rPr>
        <w:t xml:space="preserve">Psihogios, A. M., King-Dowling, S., O’Hagan, B., Darabos, K., Maurer, L., Young, J., </w:t>
      </w:r>
      <w:r>
        <w:rPr>
          <w:sz w:val="16"/>
          <w:szCs w:val="16"/>
        </w:rPr>
        <w:t>et al.</w:t>
      </w:r>
      <w:r w:rsidRPr="00287B8D">
        <w:rPr>
          <w:sz w:val="16"/>
          <w:szCs w:val="16"/>
        </w:rPr>
        <w:t xml:space="preserve"> (2021). Contextual predictors of engagement in a tailored mHealth intervention for adolescent and young adult cancer survivors.</w:t>
      </w:r>
      <w:r w:rsidRPr="00287B8D">
        <w:rPr>
          <w:rStyle w:val="apple-converted-space"/>
          <w:sz w:val="16"/>
          <w:szCs w:val="16"/>
        </w:rPr>
        <w:t> </w:t>
      </w:r>
      <w:r w:rsidRPr="00287B8D">
        <w:rPr>
          <w:rStyle w:val="Emphasis"/>
          <w:sz w:val="16"/>
          <w:szCs w:val="16"/>
        </w:rPr>
        <w:t>Annals of Behavioral Medicine, 55</w:t>
      </w:r>
      <w:r w:rsidRPr="00287B8D">
        <w:rPr>
          <w:sz w:val="16"/>
          <w:szCs w:val="16"/>
        </w:rPr>
        <w:t>(12), 1220–1230.</w:t>
      </w:r>
      <w:r w:rsidRPr="00287B8D">
        <w:rPr>
          <w:rStyle w:val="apple-converted-space"/>
          <w:sz w:val="16"/>
          <w:szCs w:val="16"/>
        </w:rPr>
        <w:t> </w:t>
      </w:r>
      <w:hyperlink r:id="rId112" w:tgtFrame="_new" w:history="1">
        <w:r w:rsidRPr="00287B8D">
          <w:rPr>
            <w:rStyle w:val="Hyperlink"/>
            <w:sz w:val="16"/>
            <w:szCs w:val="16"/>
          </w:rPr>
          <w:t>https://doi.org/10.1093/abm/kaab008</w:t>
        </w:r>
      </w:hyperlink>
    </w:p>
    <w:p w14:paraId="399CAA2C" w14:textId="77777777" w:rsidR="004365A5" w:rsidRPr="00287B8D" w:rsidRDefault="004365A5" w:rsidP="004365A5">
      <w:pPr>
        <w:pStyle w:val="NormalWeb"/>
        <w:numPr>
          <w:ilvl w:val="0"/>
          <w:numId w:val="55"/>
        </w:numPr>
        <w:rPr>
          <w:sz w:val="16"/>
          <w:szCs w:val="16"/>
        </w:rPr>
      </w:pPr>
      <w:r w:rsidRPr="00287B8D">
        <w:rPr>
          <w:sz w:val="16"/>
          <w:szCs w:val="16"/>
        </w:rPr>
        <w:t xml:space="preserve">Qian, M.-B., Xiao, N., Li, S.-Z., Abela-Ridder, B., Carabin, H., Fahrion, A. S., </w:t>
      </w:r>
      <w:r>
        <w:rPr>
          <w:sz w:val="16"/>
          <w:szCs w:val="16"/>
        </w:rPr>
        <w:t>et al</w:t>
      </w:r>
      <w:r w:rsidRPr="00287B8D">
        <w:rPr>
          <w:sz w:val="16"/>
          <w:szCs w:val="16"/>
        </w:rPr>
        <w:t>. (2020a). Control of taeniasis and cysticercosis in China. In</w:t>
      </w:r>
      <w:r w:rsidRPr="00287B8D">
        <w:rPr>
          <w:rStyle w:val="apple-converted-space"/>
          <w:sz w:val="16"/>
          <w:szCs w:val="16"/>
        </w:rPr>
        <w:t> </w:t>
      </w:r>
      <w:r w:rsidRPr="00287B8D">
        <w:rPr>
          <w:rStyle w:val="Emphasis"/>
          <w:sz w:val="16"/>
          <w:szCs w:val="16"/>
        </w:rPr>
        <w:t>Advances in Parasitology</w:t>
      </w:r>
      <w:r w:rsidRPr="00287B8D">
        <w:rPr>
          <w:rStyle w:val="apple-converted-space"/>
          <w:sz w:val="16"/>
          <w:szCs w:val="16"/>
        </w:rPr>
        <w:t> </w:t>
      </w:r>
      <w:r w:rsidRPr="00287B8D">
        <w:rPr>
          <w:sz w:val="16"/>
          <w:szCs w:val="16"/>
        </w:rPr>
        <w:t>(Vol. 110, pp. 289–317).</w:t>
      </w:r>
      <w:r w:rsidRPr="00287B8D">
        <w:rPr>
          <w:rStyle w:val="apple-converted-space"/>
          <w:sz w:val="16"/>
          <w:szCs w:val="16"/>
        </w:rPr>
        <w:t> </w:t>
      </w:r>
      <w:hyperlink r:id="rId113" w:tgtFrame="_new" w:history="1">
        <w:r w:rsidRPr="00287B8D">
          <w:rPr>
            <w:rStyle w:val="Hyperlink"/>
            <w:sz w:val="16"/>
            <w:szCs w:val="16"/>
          </w:rPr>
          <w:t>https://doi.org/10.1016/bs.apar.2020.04.005</w:t>
        </w:r>
      </w:hyperlink>
    </w:p>
    <w:p w14:paraId="4A391BB2" w14:textId="77777777" w:rsidR="004365A5" w:rsidRPr="00287B8D" w:rsidRDefault="004365A5" w:rsidP="004365A5">
      <w:pPr>
        <w:pStyle w:val="NormalWeb"/>
        <w:numPr>
          <w:ilvl w:val="0"/>
          <w:numId w:val="55"/>
        </w:numPr>
        <w:rPr>
          <w:sz w:val="16"/>
          <w:szCs w:val="16"/>
        </w:rPr>
      </w:pPr>
      <w:r w:rsidRPr="00287B8D">
        <w:rPr>
          <w:sz w:val="16"/>
          <w:szCs w:val="16"/>
        </w:rPr>
        <w:t>Raghavan, R., Munson, M. R., &amp; Le, C. (2019). Toward an experimental therapeutics approach in human services research.</w:t>
      </w:r>
      <w:r>
        <w:rPr>
          <w:rStyle w:val="apple-converted-space"/>
          <w:rFonts w:eastAsiaTheme="majorEastAsia"/>
          <w:sz w:val="16"/>
          <w:szCs w:val="16"/>
        </w:rPr>
        <w:t xml:space="preserve"> </w:t>
      </w:r>
      <w:r w:rsidRPr="00287B8D">
        <w:rPr>
          <w:rStyle w:val="Emphasis"/>
          <w:sz w:val="16"/>
          <w:szCs w:val="16"/>
        </w:rPr>
        <w:t>Psychiatric Services, 70</w:t>
      </w:r>
      <w:r w:rsidRPr="00287B8D">
        <w:rPr>
          <w:sz w:val="16"/>
          <w:szCs w:val="16"/>
        </w:rPr>
        <w:t>(12), 1130–1137.</w:t>
      </w:r>
      <w:r w:rsidRPr="00287B8D">
        <w:rPr>
          <w:rStyle w:val="apple-converted-space"/>
          <w:sz w:val="16"/>
          <w:szCs w:val="16"/>
        </w:rPr>
        <w:t> </w:t>
      </w:r>
      <w:hyperlink r:id="rId114" w:tgtFrame="_new" w:history="1">
        <w:r w:rsidRPr="00287B8D">
          <w:rPr>
            <w:rStyle w:val="Hyperlink"/>
            <w:sz w:val="16"/>
            <w:szCs w:val="16"/>
          </w:rPr>
          <w:t>https://doi.org/10.1176/appi.ps.201800577</w:t>
        </w:r>
      </w:hyperlink>
      <w:r w:rsidRPr="00287B8D">
        <w:rPr>
          <w:sz w:val="16"/>
          <w:szCs w:val="16"/>
        </w:rPr>
        <w:t xml:space="preserve"> </w:t>
      </w:r>
    </w:p>
    <w:p w14:paraId="0BE860F8" w14:textId="77777777" w:rsidR="004365A5" w:rsidRPr="00287B8D" w:rsidRDefault="004365A5" w:rsidP="004365A5">
      <w:pPr>
        <w:pStyle w:val="NormalWeb"/>
        <w:numPr>
          <w:ilvl w:val="0"/>
          <w:numId w:val="55"/>
        </w:numPr>
        <w:rPr>
          <w:sz w:val="16"/>
          <w:szCs w:val="16"/>
        </w:rPr>
      </w:pPr>
      <w:r w:rsidRPr="00287B8D">
        <w:rPr>
          <w:sz w:val="16"/>
          <w:szCs w:val="16"/>
        </w:rPr>
        <w:t>Rao, R., Hawkins, M., Ulrich, T., Gatlin, G., Mabry, G., &amp; Mishra, C. (2020). The evolving role of public health in medical education.</w:t>
      </w:r>
      <w:r w:rsidRPr="00287B8D">
        <w:rPr>
          <w:rStyle w:val="apple-converted-space"/>
          <w:sz w:val="16"/>
          <w:szCs w:val="16"/>
        </w:rPr>
        <w:t> </w:t>
      </w:r>
      <w:r w:rsidRPr="00287B8D">
        <w:rPr>
          <w:rStyle w:val="Emphasis"/>
          <w:sz w:val="16"/>
          <w:szCs w:val="16"/>
        </w:rPr>
        <w:t>Frontiers in Public Health, 8</w:t>
      </w:r>
      <w:r w:rsidRPr="00287B8D">
        <w:rPr>
          <w:sz w:val="16"/>
          <w:szCs w:val="16"/>
        </w:rPr>
        <w:t>, Article 251.</w:t>
      </w:r>
      <w:r w:rsidRPr="00287B8D">
        <w:rPr>
          <w:rStyle w:val="apple-converted-space"/>
          <w:sz w:val="16"/>
          <w:szCs w:val="16"/>
        </w:rPr>
        <w:t> </w:t>
      </w:r>
      <w:hyperlink r:id="rId115" w:tgtFrame="_new" w:history="1">
        <w:r w:rsidRPr="00287B8D">
          <w:rPr>
            <w:rStyle w:val="Hyperlink"/>
            <w:sz w:val="16"/>
            <w:szCs w:val="16"/>
          </w:rPr>
          <w:t>https://doi.org/10.3389/fpubh.2020.00251</w:t>
        </w:r>
      </w:hyperlink>
    </w:p>
    <w:p w14:paraId="6CDCD3BF" w14:textId="77777777" w:rsidR="004365A5" w:rsidRPr="00287B8D" w:rsidRDefault="004365A5" w:rsidP="004365A5">
      <w:pPr>
        <w:pStyle w:val="NormalWeb"/>
        <w:numPr>
          <w:ilvl w:val="0"/>
          <w:numId w:val="55"/>
        </w:numPr>
        <w:rPr>
          <w:sz w:val="16"/>
          <w:szCs w:val="16"/>
        </w:rPr>
      </w:pPr>
      <w:r w:rsidRPr="00287B8D">
        <w:rPr>
          <w:sz w:val="16"/>
          <w:szCs w:val="16"/>
        </w:rPr>
        <w:t>Raude, J., McColl, K., Flamand, C., &amp; Apostolidis, T. (2019). Understanding health behaviour changes in response to outbreaks: Findings from a longitudinal study of a large epidemic of mosquito-borne disease.</w:t>
      </w:r>
      <w:r w:rsidRPr="00287B8D">
        <w:rPr>
          <w:rStyle w:val="apple-converted-space"/>
          <w:sz w:val="16"/>
          <w:szCs w:val="16"/>
        </w:rPr>
        <w:t> </w:t>
      </w:r>
      <w:r w:rsidRPr="00287B8D">
        <w:rPr>
          <w:rStyle w:val="Emphasis"/>
          <w:sz w:val="16"/>
          <w:szCs w:val="16"/>
        </w:rPr>
        <w:t>Social Science &amp; Medicine, 230</w:t>
      </w:r>
      <w:r w:rsidRPr="00287B8D">
        <w:rPr>
          <w:sz w:val="16"/>
          <w:szCs w:val="16"/>
        </w:rPr>
        <w:t>, 184–193.</w:t>
      </w:r>
      <w:r>
        <w:rPr>
          <w:rStyle w:val="apple-converted-space"/>
          <w:rFonts w:eastAsiaTheme="majorEastAsia"/>
          <w:sz w:val="16"/>
          <w:szCs w:val="16"/>
        </w:rPr>
        <w:t xml:space="preserve"> </w:t>
      </w:r>
      <w:hyperlink r:id="rId116" w:tgtFrame="_new" w:history="1">
        <w:r w:rsidRPr="00287B8D">
          <w:rPr>
            <w:rStyle w:val="Hyperlink"/>
            <w:sz w:val="16"/>
            <w:szCs w:val="16"/>
          </w:rPr>
          <w:t>https://doi.org/10.1016/j.socscimed.2019.04.009</w:t>
        </w:r>
      </w:hyperlink>
      <w:r w:rsidRPr="00287B8D">
        <w:rPr>
          <w:sz w:val="16"/>
          <w:szCs w:val="16"/>
        </w:rPr>
        <w:t xml:space="preserve"> </w:t>
      </w:r>
    </w:p>
    <w:p w14:paraId="6EB4356E" w14:textId="77777777" w:rsidR="004365A5" w:rsidRPr="00287B8D" w:rsidRDefault="004365A5" w:rsidP="004365A5">
      <w:pPr>
        <w:pStyle w:val="NormalWeb"/>
        <w:numPr>
          <w:ilvl w:val="0"/>
          <w:numId w:val="55"/>
        </w:numPr>
        <w:rPr>
          <w:sz w:val="16"/>
          <w:szCs w:val="16"/>
        </w:rPr>
      </w:pPr>
      <w:r w:rsidRPr="00287B8D">
        <w:rPr>
          <w:sz w:val="16"/>
          <w:szCs w:val="16"/>
        </w:rPr>
        <w:t xml:space="preserve">Reber, L., Griggs, Z., Patel, M. J., Ruiz, E., Tamirisa, S., Huan, E., </w:t>
      </w:r>
      <w:r>
        <w:rPr>
          <w:sz w:val="16"/>
          <w:szCs w:val="16"/>
        </w:rPr>
        <w:t>et al</w:t>
      </w:r>
      <w:r w:rsidRPr="00287B8D">
        <w:rPr>
          <w:sz w:val="16"/>
          <w:szCs w:val="16"/>
        </w:rPr>
        <w:t>. (2025). “Misled, misinformed, under-informed”: Socio-ecological determinants for rebuilding trust in clinical research.</w:t>
      </w:r>
      <w:r w:rsidRPr="00287B8D">
        <w:rPr>
          <w:rStyle w:val="apple-converted-space"/>
          <w:sz w:val="16"/>
          <w:szCs w:val="16"/>
        </w:rPr>
        <w:t> </w:t>
      </w:r>
      <w:r w:rsidRPr="00287B8D">
        <w:rPr>
          <w:rStyle w:val="Emphasis"/>
          <w:sz w:val="16"/>
          <w:szCs w:val="16"/>
        </w:rPr>
        <w:t>Ethics, Medicine and Public Health, 33</w:t>
      </w:r>
      <w:r w:rsidRPr="00287B8D">
        <w:rPr>
          <w:sz w:val="16"/>
          <w:szCs w:val="16"/>
        </w:rPr>
        <w:t>, 101142.</w:t>
      </w:r>
      <w:r>
        <w:rPr>
          <w:rStyle w:val="apple-converted-space"/>
          <w:rFonts w:eastAsiaTheme="majorEastAsia"/>
          <w:sz w:val="16"/>
          <w:szCs w:val="16"/>
        </w:rPr>
        <w:t xml:space="preserve"> </w:t>
      </w:r>
      <w:hyperlink r:id="rId117" w:tgtFrame="_new" w:history="1">
        <w:r w:rsidRPr="00287B8D">
          <w:rPr>
            <w:rStyle w:val="Hyperlink"/>
            <w:sz w:val="16"/>
            <w:szCs w:val="16"/>
          </w:rPr>
          <w:t>https://doi.org/10.1016/j.jemep.2025.101142</w:t>
        </w:r>
      </w:hyperlink>
      <w:r w:rsidRPr="00287B8D">
        <w:rPr>
          <w:sz w:val="16"/>
          <w:szCs w:val="16"/>
        </w:rPr>
        <w:t xml:space="preserve"> </w:t>
      </w:r>
    </w:p>
    <w:p w14:paraId="12729E25" w14:textId="77777777" w:rsidR="004365A5" w:rsidRPr="00287B8D" w:rsidRDefault="004365A5" w:rsidP="004365A5">
      <w:pPr>
        <w:pStyle w:val="NormalWeb"/>
        <w:numPr>
          <w:ilvl w:val="0"/>
          <w:numId w:val="55"/>
        </w:numPr>
        <w:rPr>
          <w:sz w:val="16"/>
          <w:szCs w:val="16"/>
        </w:rPr>
      </w:pPr>
      <w:r w:rsidRPr="00287B8D">
        <w:rPr>
          <w:sz w:val="16"/>
          <w:szCs w:val="16"/>
        </w:rPr>
        <w:t>Richards, J., Sherry, E., Tamala, F., Schuster, S., Schulenkorf, N., &amp; Keane, L. (2022). Netball shoots for physical and mental wellbeing in Samoa: A natural experiment.</w:t>
      </w:r>
      <w:r w:rsidRPr="00287B8D">
        <w:rPr>
          <w:rStyle w:val="apple-converted-space"/>
          <w:sz w:val="16"/>
          <w:szCs w:val="16"/>
        </w:rPr>
        <w:t> </w:t>
      </w:r>
      <w:r w:rsidRPr="00287B8D">
        <w:rPr>
          <w:rStyle w:val="Emphasis"/>
          <w:sz w:val="16"/>
          <w:szCs w:val="16"/>
        </w:rPr>
        <w:t>International Journal of Environmental Research and Public Health, 19</w:t>
      </w:r>
      <w:r w:rsidRPr="00287B8D">
        <w:rPr>
          <w:sz w:val="16"/>
          <w:szCs w:val="16"/>
        </w:rPr>
        <w:t>(5), Article 2663.</w:t>
      </w:r>
      <w:r w:rsidRPr="00287B8D">
        <w:rPr>
          <w:rStyle w:val="apple-converted-space"/>
          <w:sz w:val="16"/>
          <w:szCs w:val="16"/>
        </w:rPr>
        <w:t> </w:t>
      </w:r>
      <w:hyperlink r:id="rId118" w:tgtFrame="_new" w:history="1">
        <w:r w:rsidRPr="00287B8D">
          <w:rPr>
            <w:rStyle w:val="Hyperlink"/>
            <w:sz w:val="16"/>
            <w:szCs w:val="16"/>
          </w:rPr>
          <w:t>https://doi.org/10.3390/ijerph19052663</w:t>
        </w:r>
      </w:hyperlink>
    </w:p>
    <w:p w14:paraId="5229BB8B" w14:textId="77777777" w:rsidR="004365A5" w:rsidRPr="00287B8D" w:rsidRDefault="004365A5" w:rsidP="004365A5">
      <w:pPr>
        <w:pStyle w:val="NormalWeb"/>
        <w:numPr>
          <w:ilvl w:val="0"/>
          <w:numId w:val="55"/>
        </w:numPr>
        <w:rPr>
          <w:sz w:val="16"/>
          <w:szCs w:val="16"/>
        </w:rPr>
      </w:pPr>
      <w:r w:rsidRPr="00287B8D">
        <w:rPr>
          <w:sz w:val="16"/>
          <w:szCs w:val="16"/>
        </w:rPr>
        <w:t>Rohilla, L., Jamir, L., Miglani, V., Gupta, P. C., Devi, K. A., &amp; Duggal, M. (2023). Socio-ecological determinants of myopia in rural school students in North India: Results from a nurse-led program.</w:t>
      </w:r>
      <w:r w:rsidRPr="00287B8D">
        <w:rPr>
          <w:rStyle w:val="apple-converted-space"/>
          <w:sz w:val="16"/>
          <w:szCs w:val="16"/>
        </w:rPr>
        <w:t> </w:t>
      </w:r>
      <w:r w:rsidRPr="00287B8D">
        <w:rPr>
          <w:rStyle w:val="Emphasis"/>
          <w:sz w:val="16"/>
          <w:szCs w:val="16"/>
        </w:rPr>
        <w:t>Indian Journal of Public Health, 67</w:t>
      </w:r>
      <w:r w:rsidRPr="00287B8D">
        <w:rPr>
          <w:sz w:val="16"/>
          <w:szCs w:val="16"/>
        </w:rPr>
        <w:t>(1), 170–173.</w:t>
      </w:r>
      <w:r>
        <w:rPr>
          <w:rStyle w:val="apple-converted-space"/>
          <w:rFonts w:eastAsiaTheme="majorEastAsia"/>
          <w:sz w:val="16"/>
          <w:szCs w:val="16"/>
        </w:rPr>
        <w:t xml:space="preserve"> </w:t>
      </w:r>
      <w:hyperlink r:id="rId119" w:tgtFrame="_new" w:history="1">
        <w:r w:rsidRPr="00287B8D">
          <w:rPr>
            <w:rStyle w:val="Hyperlink"/>
            <w:sz w:val="16"/>
            <w:szCs w:val="16"/>
          </w:rPr>
          <w:t>https://doi.org/10.4103/ijph.ijph_1017_22</w:t>
        </w:r>
      </w:hyperlink>
      <w:r w:rsidRPr="00287B8D">
        <w:rPr>
          <w:sz w:val="16"/>
          <w:szCs w:val="16"/>
        </w:rPr>
        <w:t xml:space="preserve"> </w:t>
      </w:r>
    </w:p>
    <w:p w14:paraId="260CB5FD" w14:textId="77777777" w:rsidR="004365A5" w:rsidRPr="00287B8D" w:rsidRDefault="004365A5" w:rsidP="004365A5">
      <w:pPr>
        <w:pStyle w:val="NormalWeb"/>
        <w:numPr>
          <w:ilvl w:val="0"/>
          <w:numId w:val="55"/>
        </w:numPr>
        <w:rPr>
          <w:sz w:val="16"/>
          <w:szCs w:val="16"/>
        </w:rPr>
      </w:pPr>
      <w:r w:rsidRPr="00287B8D">
        <w:rPr>
          <w:sz w:val="16"/>
          <w:szCs w:val="16"/>
        </w:rPr>
        <w:t>Romero-Tapia, S. D. J., &amp; García-Marcos, L. (2024b). Global burden of pediatric asthma and rhinitis: What we have recently learned from epidemiology.</w:t>
      </w:r>
      <w:r w:rsidRPr="00287B8D">
        <w:rPr>
          <w:rStyle w:val="apple-converted-space"/>
          <w:sz w:val="16"/>
          <w:szCs w:val="16"/>
        </w:rPr>
        <w:t> </w:t>
      </w:r>
      <w:r w:rsidRPr="00287B8D">
        <w:rPr>
          <w:rStyle w:val="Emphasis"/>
          <w:sz w:val="16"/>
          <w:szCs w:val="16"/>
        </w:rPr>
        <w:t>Current Opinion in Allergy and Clinical Immunology, 24</w:t>
      </w:r>
      <w:r w:rsidRPr="00287B8D">
        <w:rPr>
          <w:sz w:val="16"/>
          <w:szCs w:val="16"/>
        </w:rPr>
        <w:t>(3), 177–181.</w:t>
      </w:r>
      <w:r>
        <w:rPr>
          <w:rStyle w:val="apple-converted-space"/>
          <w:rFonts w:eastAsiaTheme="majorEastAsia"/>
          <w:sz w:val="16"/>
          <w:szCs w:val="16"/>
        </w:rPr>
        <w:t xml:space="preserve"> </w:t>
      </w:r>
      <w:hyperlink r:id="rId120" w:tgtFrame="_new" w:history="1">
        <w:r w:rsidRPr="00287B8D">
          <w:rPr>
            <w:rStyle w:val="Hyperlink"/>
            <w:sz w:val="16"/>
            <w:szCs w:val="16"/>
          </w:rPr>
          <w:t>https://doi.org/10.1097/ACI.0000000000000975</w:t>
        </w:r>
      </w:hyperlink>
      <w:r w:rsidRPr="00287B8D">
        <w:rPr>
          <w:sz w:val="16"/>
          <w:szCs w:val="16"/>
        </w:rPr>
        <w:t xml:space="preserve"> </w:t>
      </w:r>
    </w:p>
    <w:p w14:paraId="50AE735D" w14:textId="77777777" w:rsidR="004365A5" w:rsidRPr="00287B8D" w:rsidRDefault="004365A5" w:rsidP="004365A5">
      <w:pPr>
        <w:pStyle w:val="NormalWeb"/>
        <w:numPr>
          <w:ilvl w:val="0"/>
          <w:numId w:val="55"/>
        </w:numPr>
        <w:rPr>
          <w:sz w:val="16"/>
          <w:szCs w:val="16"/>
        </w:rPr>
      </w:pPr>
      <w:r w:rsidRPr="00287B8D">
        <w:rPr>
          <w:sz w:val="16"/>
          <w:szCs w:val="16"/>
        </w:rPr>
        <w:t>Ruhnke, S. A., Hertner, L., Köhler, J., &amp; Kluge, U. (2024). Social ecological determinants of mental distress among Syrian refugees in Lebanon and Turkey: A transnational perspective.</w:t>
      </w:r>
      <w:r w:rsidRPr="00287B8D">
        <w:rPr>
          <w:rStyle w:val="apple-converted-space"/>
          <w:sz w:val="16"/>
          <w:szCs w:val="16"/>
        </w:rPr>
        <w:t> </w:t>
      </w:r>
      <w:r w:rsidRPr="00287B8D">
        <w:rPr>
          <w:rStyle w:val="Emphasis"/>
          <w:sz w:val="16"/>
          <w:szCs w:val="16"/>
        </w:rPr>
        <w:t>Social Science &amp; Medicine, 346</w:t>
      </w:r>
      <w:r w:rsidRPr="00287B8D">
        <w:rPr>
          <w:sz w:val="16"/>
          <w:szCs w:val="16"/>
        </w:rPr>
        <w:t>, 116700.</w:t>
      </w:r>
      <w:r>
        <w:rPr>
          <w:rStyle w:val="apple-converted-space"/>
          <w:rFonts w:eastAsiaTheme="majorEastAsia"/>
          <w:sz w:val="16"/>
          <w:szCs w:val="16"/>
        </w:rPr>
        <w:t xml:space="preserve"> </w:t>
      </w:r>
      <w:hyperlink r:id="rId121" w:tgtFrame="_new" w:history="1">
        <w:r w:rsidRPr="00287B8D">
          <w:rPr>
            <w:rStyle w:val="Hyperlink"/>
            <w:sz w:val="16"/>
            <w:szCs w:val="16"/>
          </w:rPr>
          <w:t>https://doi.org/10.1016/j.socscimed.2024.116700</w:t>
        </w:r>
      </w:hyperlink>
      <w:r w:rsidRPr="00287B8D">
        <w:rPr>
          <w:sz w:val="16"/>
          <w:szCs w:val="16"/>
        </w:rPr>
        <w:t xml:space="preserve"> </w:t>
      </w:r>
    </w:p>
    <w:p w14:paraId="4F8CA96D" w14:textId="77777777" w:rsidR="004365A5" w:rsidRPr="00287B8D" w:rsidRDefault="004365A5" w:rsidP="004365A5">
      <w:pPr>
        <w:pStyle w:val="NormalWeb"/>
        <w:numPr>
          <w:ilvl w:val="0"/>
          <w:numId w:val="55"/>
        </w:numPr>
        <w:rPr>
          <w:sz w:val="16"/>
          <w:szCs w:val="16"/>
        </w:rPr>
      </w:pPr>
      <w:r w:rsidRPr="00287B8D">
        <w:rPr>
          <w:sz w:val="16"/>
          <w:szCs w:val="16"/>
        </w:rPr>
        <w:t xml:space="preserve">Sampaio, V. S. S., Gomes, A. A., da Silva, I. M., de Almeida Gonçalves Sachett, J., Ferreira, L. C. L., Oliveira, S., </w:t>
      </w:r>
      <w:r>
        <w:rPr>
          <w:sz w:val="16"/>
          <w:szCs w:val="16"/>
        </w:rPr>
        <w:t>et al. (</w:t>
      </w:r>
      <w:r w:rsidRPr="00287B8D">
        <w:rPr>
          <w:sz w:val="16"/>
          <w:szCs w:val="16"/>
        </w:rPr>
        <w:t>2016). Low health system performance, indigenous status and antivenom underdosage correlate with spider envenoming severity in the remote Brazilian Amazon.</w:t>
      </w:r>
      <w:r w:rsidRPr="00287B8D">
        <w:rPr>
          <w:rStyle w:val="apple-converted-space"/>
          <w:sz w:val="16"/>
          <w:szCs w:val="16"/>
        </w:rPr>
        <w:t> </w:t>
      </w:r>
      <w:r w:rsidRPr="00287B8D">
        <w:rPr>
          <w:rStyle w:val="Emphasis"/>
          <w:sz w:val="16"/>
          <w:szCs w:val="16"/>
        </w:rPr>
        <w:t>PLOS ONE, 11</w:t>
      </w:r>
      <w:r w:rsidRPr="00287B8D">
        <w:rPr>
          <w:sz w:val="16"/>
          <w:szCs w:val="16"/>
        </w:rPr>
        <w:t>(5), e0156386.</w:t>
      </w:r>
      <w:r w:rsidRPr="00287B8D">
        <w:rPr>
          <w:rStyle w:val="apple-converted-space"/>
          <w:sz w:val="16"/>
          <w:szCs w:val="16"/>
        </w:rPr>
        <w:t> </w:t>
      </w:r>
      <w:hyperlink r:id="rId122" w:tgtFrame="_new" w:history="1">
        <w:r w:rsidRPr="00287B8D">
          <w:rPr>
            <w:rStyle w:val="Hyperlink"/>
            <w:sz w:val="16"/>
            <w:szCs w:val="16"/>
          </w:rPr>
          <w:t>https://doi.org/10.1371/journal.pone.0156386</w:t>
        </w:r>
      </w:hyperlink>
    </w:p>
    <w:p w14:paraId="624C90FD" w14:textId="77777777" w:rsidR="004365A5" w:rsidRPr="00287B8D" w:rsidRDefault="004365A5" w:rsidP="004365A5">
      <w:pPr>
        <w:pStyle w:val="NormalWeb"/>
        <w:numPr>
          <w:ilvl w:val="0"/>
          <w:numId w:val="55"/>
        </w:numPr>
        <w:rPr>
          <w:sz w:val="16"/>
          <w:szCs w:val="16"/>
        </w:rPr>
      </w:pPr>
      <w:r w:rsidRPr="00287B8D">
        <w:rPr>
          <w:sz w:val="16"/>
          <w:szCs w:val="16"/>
        </w:rPr>
        <w:t xml:space="preserve">Savin, K. L., Carlson, J. A., Patel, S. R., Jankowska, M. M., Allison, M. A., Sotres-Alvarez, D., </w:t>
      </w:r>
      <w:r>
        <w:rPr>
          <w:sz w:val="16"/>
          <w:szCs w:val="16"/>
        </w:rPr>
        <w:t>et al</w:t>
      </w:r>
      <w:r w:rsidRPr="00287B8D">
        <w:rPr>
          <w:sz w:val="16"/>
          <w:szCs w:val="16"/>
        </w:rPr>
        <w:t>. (2024). Social and built neighborhood environments and sleep health: The Hispanic Community Health Study/Study of Latinos Community and Surrounding Areas and Sueño ancillary studies.</w:t>
      </w:r>
      <w:r w:rsidRPr="00287B8D">
        <w:rPr>
          <w:rStyle w:val="apple-converted-space"/>
          <w:sz w:val="16"/>
          <w:szCs w:val="16"/>
        </w:rPr>
        <w:t> </w:t>
      </w:r>
      <w:r w:rsidRPr="00287B8D">
        <w:rPr>
          <w:rStyle w:val="Emphasis"/>
          <w:sz w:val="16"/>
          <w:szCs w:val="16"/>
        </w:rPr>
        <w:t>Sleep, 47</w:t>
      </w:r>
      <w:r w:rsidRPr="00287B8D">
        <w:rPr>
          <w:sz w:val="16"/>
          <w:szCs w:val="16"/>
        </w:rPr>
        <w:t>(2), 1–12.</w:t>
      </w:r>
      <w:r w:rsidRPr="00287B8D">
        <w:rPr>
          <w:rStyle w:val="apple-converted-space"/>
          <w:sz w:val="16"/>
          <w:szCs w:val="16"/>
        </w:rPr>
        <w:t> </w:t>
      </w:r>
      <w:hyperlink r:id="rId123" w:tgtFrame="_new" w:history="1">
        <w:r w:rsidRPr="00287B8D">
          <w:rPr>
            <w:rStyle w:val="Hyperlink"/>
            <w:sz w:val="16"/>
            <w:szCs w:val="16"/>
          </w:rPr>
          <w:t>https://doi.org/10.1093/sleep/zsad260</w:t>
        </w:r>
      </w:hyperlink>
    </w:p>
    <w:p w14:paraId="2E63244F" w14:textId="77777777" w:rsidR="004365A5" w:rsidRPr="00287B8D" w:rsidRDefault="004365A5" w:rsidP="004365A5">
      <w:pPr>
        <w:pStyle w:val="NormalWeb"/>
        <w:numPr>
          <w:ilvl w:val="0"/>
          <w:numId w:val="55"/>
        </w:numPr>
        <w:rPr>
          <w:sz w:val="16"/>
          <w:szCs w:val="16"/>
        </w:rPr>
      </w:pPr>
      <w:r w:rsidRPr="00287B8D">
        <w:rPr>
          <w:sz w:val="16"/>
          <w:szCs w:val="16"/>
        </w:rPr>
        <w:t xml:space="preserve">Scarfe, B., Apps, K., Sunderland, N., Graham, P., Bartleet, B.-L., Barry, G., </w:t>
      </w:r>
      <w:r>
        <w:rPr>
          <w:sz w:val="16"/>
          <w:szCs w:val="16"/>
        </w:rPr>
        <w:t>et al</w:t>
      </w:r>
      <w:r w:rsidRPr="00287B8D">
        <w:rPr>
          <w:sz w:val="16"/>
          <w:szCs w:val="16"/>
        </w:rPr>
        <w:t>. (2024). Music as a determinant of health among First Nations people in Australia: A scoping narrative review.</w:t>
      </w:r>
      <w:r w:rsidRPr="00287B8D">
        <w:rPr>
          <w:rStyle w:val="apple-converted-space"/>
          <w:sz w:val="16"/>
          <w:szCs w:val="16"/>
        </w:rPr>
        <w:t> </w:t>
      </w:r>
      <w:r w:rsidRPr="00287B8D">
        <w:rPr>
          <w:rStyle w:val="Emphasis"/>
          <w:sz w:val="16"/>
          <w:szCs w:val="16"/>
        </w:rPr>
        <w:t>Health Promotion Journal of Australia, 35</w:t>
      </w:r>
      <w:r w:rsidRPr="00287B8D">
        <w:rPr>
          <w:sz w:val="16"/>
          <w:szCs w:val="16"/>
        </w:rPr>
        <w:t>(4), 924–935.</w:t>
      </w:r>
      <w:r w:rsidRPr="00287B8D">
        <w:rPr>
          <w:rStyle w:val="apple-converted-space"/>
          <w:sz w:val="16"/>
          <w:szCs w:val="16"/>
        </w:rPr>
        <w:t> </w:t>
      </w:r>
      <w:hyperlink r:id="rId124" w:tgtFrame="_new" w:history="1">
        <w:r w:rsidRPr="00287B8D">
          <w:rPr>
            <w:rStyle w:val="Hyperlink"/>
            <w:sz w:val="16"/>
            <w:szCs w:val="16"/>
          </w:rPr>
          <w:t>https://doi.org/10.1002/hpja.865</w:t>
        </w:r>
      </w:hyperlink>
    </w:p>
    <w:p w14:paraId="2C74C1D8" w14:textId="77777777" w:rsidR="004365A5" w:rsidRPr="00287B8D" w:rsidRDefault="004365A5" w:rsidP="004365A5">
      <w:pPr>
        <w:pStyle w:val="NormalWeb"/>
        <w:numPr>
          <w:ilvl w:val="0"/>
          <w:numId w:val="55"/>
        </w:numPr>
        <w:rPr>
          <w:sz w:val="16"/>
          <w:szCs w:val="16"/>
        </w:rPr>
      </w:pPr>
      <w:r w:rsidRPr="00287B8D">
        <w:rPr>
          <w:sz w:val="16"/>
          <w:szCs w:val="16"/>
        </w:rPr>
        <w:t>Simenec, T. S., &amp; Reid, B. M. (2022). Refugee children and interventions for depression: A review of current interventions and implications of the ecological context.</w:t>
      </w:r>
      <w:r w:rsidRPr="00287B8D">
        <w:rPr>
          <w:rStyle w:val="apple-converted-space"/>
          <w:sz w:val="16"/>
          <w:szCs w:val="16"/>
        </w:rPr>
        <w:t> </w:t>
      </w:r>
      <w:r w:rsidRPr="00287B8D">
        <w:rPr>
          <w:rStyle w:val="Emphasis"/>
          <w:sz w:val="16"/>
          <w:szCs w:val="16"/>
        </w:rPr>
        <w:t>Trauma, Violence, &amp; Abuse, 23</w:t>
      </w:r>
      <w:r w:rsidRPr="00287B8D">
        <w:rPr>
          <w:sz w:val="16"/>
          <w:szCs w:val="16"/>
        </w:rPr>
        <w:t>(3), 877–890.</w:t>
      </w:r>
      <w:r w:rsidRPr="00287B8D">
        <w:rPr>
          <w:rStyle w:val="apple-converted-space"/>
          <w:sz w:val="16"/>
          <w:szCs w:val="16"/>
        </w:rPr>
        <w:t> </w:t>
      </w:r>
      <w:hyperlink r:id="rId125" w:tgtFrame="_new" w:history="1">
        <w:r w:rsidRPr="00287B8D">
          <w:rPr>
            <w:rStyle w:val="Hyperlink"/>
            <w:sz w:val="16"/>
            <w:szCs w:val="16"/>
          </w:rPr>
          <w:t>https://doi.org/10.1177/1524838020979844</w:t>
        </w:r>
      </w:hyperlink>
    </w:p>
    <w:p w14:paraId="163D3877" w14:textId="77777777" w:rsidR="004365A5" w:rsidRPr="00287B8D" w:rsidRDefault="004365A5" w:rsidP="004365A5">
      <w:pPr>
        <w:pStyle w:val="NormalWeb"/>
        <w:numPr>
          <w:ilvl w:val="0"/>
          <w:numId w:val="55"/>
        </w:numPr>
        <w:rPr>
          <w:sz w:val="16"/>
          <w:szCs w:val="16"/>
        </w:rPr>
      </w:pPr>
      <w:r w:rsidRPr="00287B8D">
        <w:rPr>
          <w:sz w:val="16"/>
          <w:szCs w:val="16"/>
        </w:rPr>
        <w:t xml:space="preserve">Ssewanyana, D., Mwangala, P. N., Marsh, V., Jao, I., van Baar, A., Newton, C. R., </w:t>
      </w:r>
      <w:r>
        <w:rPr>
          <w:sz w:val="16"/>
          <w:szCs w:val="16"/>
        </w:rPr>
        <w:t>et al</w:t>
      </w:r>
      <w:r w:rsidRPr="00287B8D">
        <w:rPr>
          <w:sz w:val="16"/>
          <w:szCs w:val="16"/>
        </w:rPr>
        <w:t>. (2020). Socio-ecological determinants of alcohol, tobacco, and drug use behavior of adolescents in Kilifi County at the Kenyan coast.</w:t>
      </w:r>
      <w:r w:rsidRPr="00287B8D">
        <w:rPr>
          <w:rStyle w:val="apple-converted-space"/>
          <w:sz w:val="16"/>
          <w:szCs w:val="16"/>
        </w:rPr>
        <w:t> </w:t>
      </w:r>
      <w:r w:rsidRPr="00287B8D">
        <w:rPr>
          <w:rStyle w:val="Emphasis"/>
          <w:sz w:val="16"/>
          <w:szCs w:val="16"/>
        </w:rPr>
        <w:t>Journal of Health Psychology, 25</w:t>
      </w:r>
      <w:r w:rsidRPr="00287B8D">
        <w:rPr>
          <w:sz w:val="16"/>
          <w:szCs w:val="16"/>
        </w:rPr>
        <w:t>(12), 1940–1953.</w:t>
      </w:r>
      <w:r w:rsidRPr="00287B8D">
        <w:rPr>
          <w:rStyle w:val="apple-converted-space"/>
          <w:sz w:val="16"/>
          <w:szCs w:val="16"/>
        </w:rPr>
        <w:t> </w:t>
      </w:r>
      <w:hyperlink r:id="rId126" w:tgtFrame="_new" w:history="1">
        <w:r w:rsidRPr="00287B8D">
          <w:rPr>
            <w:rStyle w:val="Hyperlink"/>
            <w:sz w:val="16"/>
            <w:szCs w:val="16"/>
          </w:rPr>
          <w:t>https://doi.org/10.1177/1359105318782594</w:t>
        </w:r>
      </w:hyperlink>
    </w:p>
    <w:p w14:paraId="45ABDB29" w14:textId="77777777" w:rsidR="004365A5" w:rsidRPr="00287B8D" w:rsidRDefault="004365A5" w:rsidP="004365A5">
      <w:pPr>
        <w:pStyle w:val="NormalWeb"/>
        <w:numPr>
          <w:ilvl w:val="0"/>
          <w:numId w:val="55"/>
        </w:numPr>
        <w:rPr>
          <w:sz w:val="16"/>
          <w:szCs w:val="16"/>
        </w:rPr>
      </w:pPr>
      <w:r w:rsidRPr="00287B8D">
        <w:rPr>
          <w:sz w:val="16"/>
          <w:szCs w:val="16"/>
        </w:rPr>
        <w:t xml:space="preserve">Stewart, M. M., Morrow, B. H., &amp; Reilly, T. A. (1977). Ecologic determinants of health problems. 111/9-30. </w:t>
      </w:r>
    </w:p>
    <w:p w14:paraId="6D039AFE" w14:textId="77777777" w:rsidR="004365A5" w:rsidRPr="00287B8D" w:rsidRDefault="004365A5" w:rsidP="004365A5">
      <w:pPr>
        <w:pStyle w:val="NormalWeb"/>
        <w:numPr>
          <w:ilvl w:val="0"/>
          <w:numId w:val="55"/>
        </w:numPr>
        <w:rPr>
          <w:sz w:val="16"/>
          <w:szCs w:val="16"/>
        </w:rPr>
      </w:pPr>
      <w:r w:rsidRPr="00287B8D">
        <w:rPr>
          <w:sz w:val="16"/>
          <w:szCs w:val="16"/>
        </w:rPr>
        <w:t>Stubbing, J., Gibson, K., Bardsley, A., &amp; Gluckman, P. (2025). “We’re living in a world that wasn’t built for us”: A qualitative exploration of young New Zealander’s perspectives on socio-ecological determinants of declining youth mental health.</w:t>
      </w:r>
      <w:r w:rsidRPr="00287B8D">
        <w:rPr>
          <w:rStyle w:val="apple-converted-space"/>
          <w:sz w:val="16"/>
          <w:szCs w:val="16"/>
        </w:rPr>
        <w:t> </w:t>
      </w:r>
      <w:r w:rsidRPr="00287B8D">
        <w:rPr>
          <w:rStyle w:val="Emphasis"/>
          <w:sz w:val="16"/>
          <w:szCs w:val="16"/>
        </w:rPr>
        <w:t>BMC Public Health, 25</w:t>
      </w:r>
      <w:r w:rsidRPr="00287B8D">
        <w:rPr>
          <w:sz w:val="16"/>
          <w:szCs w:val="16"/>
        </w:rPr>
        <w:t>(1), Article 22618.</w:t>
      </w:r>
      <w:r w:rsidRPr="00287B8D">
        <w:rPr>
          <w:rStyle w:val="apple-converted-space"/>
          <w:sz w:val="16"/>
          <w:szCs w:val="16"/>
        </w:rPr>
        <w:t> </w:t>
      </w:r>
      <w:hyperlink r:id="rId127" w:tgtFrame="_new" w:history="1">
        <w:r w:rsidRPr="00287B8D">
          <w:rPr>
            <w:rStyle w:val="Hyperlink"/>
            <w:sz w:val="16"/>
            <w:szCs w:val="16"/>
          </w:rPr>
          <w:t>https://doi.org/10.1186/s12889-025-22618-2</w:t>
        </w:r>
      </w:hyperlink>
    </w:p>
    <w:p w14:paraId="3E5E0014" w14:textId="77777777" w:rsidR="004365A5" w:rsidRPr="00287B8D" w:rsidRDefault="004365A5" w:rsidP="004365A5">
      <w:pPr>
        <w:pStyle w:val="NormalWeb"/>
        <w:numPr>
          <w:ilvl w:val="0"/>
          <w:numId w:val="55"/>
        </w:numPr>
        <w:rPr>
          <w:sz w:val="16"/>
          <w:szCs w:val="16"/>
        </w:rPr>
      </w:pPr>
      <w:r w:rsidRPr="00287B8D">
        <w:rPr>
          <w:sz w:val="16"/>
          <w:szCs w:val="16"/>
        </w:rPr>
        <w:t xml:space="preserve">Sun, V., Raz, D. J., Kim, J. Y., Melstrom, L., Hite, S., Varatkar, G., </w:t>
      </w:r>
      <w:r>
        <w:rPr>
          <w:sz w:val="16"/>
          <w:szCs w:val="16"/>
        </w:rPr>
        <w:t>et al</w:t>
      </w:r>
      <w:r w:rsidRPr="00287B8D">
        <w:rPr>
          <w:sz w:val="16"/>
          <w:szCs w:val="16"/>
        </w:rPr>
        <w:t>. (2020). Barriers and facilitators of adherence to a perioperative physical activity intervention for older adults with cancer and their family caregivers.</w:t>
      </w:r>
      <w:r w:rsidRPr="00287B8D">
        <w:rPr>
          <w:rStyle w:val="apple-converted-space"/>
          <w:sz w:val="16"/>
          <w:szCs w:val="16"/>
        </w:rPr>
        <w:t> </w:t>
      </w:r>
      <w:r w:rsidRPr="00287B8D">
        <w:rPr>
          <w:rStyle w:val="Emphasis"/>
          <w:sz w:val="16"/>
          <w:szCs w:val="16"/>
        </w:rPr>
        <w:t>Journal of Geriatric Oncology, 11</w:t>
      </w:r>
      <w:r w:rsidRPr="00287B8D">
        <w:rPr>
          <w:sz w:val="16"/>
          <w:szCs w:val="16"/>
        </w:rPr>
        <w:t>(2), 256–262.</w:t>
      </w:r>
      <w:r w:rsidRPr="00287B8D">
        <w:rPr>
          <w:rStyle w:val="apple-converted-space"/>
          <w:sz w:val="16"/>
          <w:szCs w:val="16"/>
        </w:rPr>
        <w:t> </w:t>
      </w:r>
      <w:hyperlink r:id="rId128" w:tgtFrame="_new" w:history="1">
        <w:r w:rsidRPr="00287B8D">
          <w:rPr>
            <w:rStyle w:val="Hyperlink"/>
            <w:sz w:val="16"/>
            <w:szCs w:val="16"/>
          </w:rPr>
          <w:t>https://doi.org/10.1016/j.jgo.2019.06.003</w:t>
        </w:r>
      </w:hyperlink>
    </w:p>
    <w:p w14:paraId="3735D835" w14:textId="77777777" w:rsidR="004365A5" w:rsidRPr="00287B8D" w:rsidRDefault="004365A5" w:rsidP="004365A5">
      <w:pPr>
        <w:pStyle w:val="NormalWeb"/>
        <w:numPr>
          <w:ilvl w:val="0"/>
          <w:numId w:val="55"/>
        </w:numPr>
        <w:rPr>
          <w:sz w:val="16"/>
          <w:szCs w:val="16"/>
        </w:rPr>
      </w:pPr>
      <w:r w:rsidRPr="00287B8D">
        <w:rPr>
          <w:sz w:val="16"/>
          <w:szCs w:val="16"/>
        </w:rPr>
        <w:t xml:space="preserve">Sun, Y., Fu, X., Li, Y., Yuan, Q., Ou, Z., Lindgren, T., </w:t>
      </w:r>
      <w:r>
        <w:rPr>
          <w:sz w:val="16"/>
          <w:szCs w:val="16"/>
        </w:rPr>
        <w:t>et al</w:t>
      </w:r>
      <w:r w:rsidRPr="00287B8D">
        <w:rPr>
          <w:sz w:val="16"/>
          <w:szCs w:val="16"/>
        </w:rPr>
        <w:t>. (2020). Shotgun metagenomics of dust microbiome from flight deck and cabin in civil aviation aircraft.</w:t>
      </w:r>
      <w:r w:rsidRPr="00287B8D">
        <w:rPr>
          <w:rStyle w:val="apple-converted-space"/>
          <w:sz w:val="16"/>
          <w:szCs w:val="16"/>
        </w:rPr>
        <w:t> </w:t>
      </w:r>
      <w:r w:rsidRPr="00287B8D">
        <w:rPr>
          <w:rStyle w:val="Emphasis"/>
          <w:sz w:val="16"/>
          <w:szCs w:val="16"/>
        </w:rPr>
        <w:t>Indoor Air, 30</w:t>
      </w:r>
      <w:r w:rsidRPr="00287B8D">
        <w:rPr>
          <w:sz w:val="16"/>
          <w:szCs w:val="16"/>
        </w:rPr>
        <w:t>(6), 1199–1212.</w:t>
      </w:r>
      <w:r w:rsidRPr="00287B8D">
        <w:rPr>
          <w:rStyle w:val="apple-converted-space"/>
          <w:sz w:val="16"/>
          <w:szCs w:val="16"/>
        </w:rPr>
        <w:t> </w:t>
      </w:r>
      <w:hyperlink r:id="rId129" w:tgtFrame="_new" w:history="1">
        <w:r w:rsidRPr="00287B8D">
          <w:rPr>
            <w:rStyle w:val="Hyperlink"/>
            <w:sz w:val="16"/>
            <w:szCs w:val="16"/>
          </w:rPr>
          <w:t>https://doi.org/10.1111/ina.12707</w:t>
        </w:r>
      </w:hyperlink>
    </w:p>
    <w:p w14:paraId="27B43409" w14:textId="77777777" w:rsidR="004365A5" w:rsidRPr="00287B8D" w:rsidRDefault="004365A5" w:rsidP="004365A5">
      <w:pPr>
        <w:pStyle w:val="NormalWeb"/>
        <w:numPr>
          <w:ilvl w:val="0"/>
          <w:numId w:val="55"/>
        </w:numPr>
        <w:rPr>
          <w:sz w:val="16"/>
          <w:szCs w:val="16"/>
        </w:rPr>
      </w:pPr>
      <w:r w:rsidRPr="00287B8D">
        <w:rPr>
          <w:sz w:val="16"/>
          <w:szCs w:val="16"/>
        </w:rPr>
        <w:t xml:space="preserve">Tanriverdi, S., Grinberg, A., Chalmers, R. M., Hunter, P. R., Petrovic, Z., Akiyoshi, D. </w:t>
      </w:r>
      <w:r>
        <w:rPr>
          <w:sz w:val="16"/>
          <w:szCs w:val="16"/>
        </w:rPr>
        <w:t>et al</w:t>
      </w:r>
      <w:r w:rsidRPr="00287B8D">
        <w:rPr>
          <w:sz w:val="16"/>
          <w:szCs w:val="16"/>
        </w:rPr>
        <w:t>. (2008). Inferences about the global population structures of</w:t>
      </w:r>
      <w:r w:rsidRPr="00287B8D">
        <w:rPr>
          <w:rStyle w:val="apple-converted-space"/>
          <w:sz w:val="16"/>
          <w:szCs w:val="16"/>
        </w:rPr>
        <w:t> </w:t>
      </w:r>
      <w:r w:rsidRPr="00287B8D">
        <w:rPr>
          <w:rStyle w:val="Emphasis"/>
          <w:sz w:val="16"/>
          <w:szCs w:val="16"/>
        </w:rPr>
        <w:t>Cryptosporidium parvum</w:t>
      </w:r>
      <w:r w:rsidRPr="00287B8D">
        <w:rPr>
          <w:rStyle w:val="apple-converted-space"/>
          <w:sz w:val="16"/>
          <w:szCs w:val="16"/>
        </w:rPr>
        <w:t> </w:t>
      </w:r>
      <w:r w:rsidRPr="00287B8D">
        <w:rPr>
          <w:sz w:val="16"/>
          <w:szCs w:val="16"/>
        </w:rPr>
        <w:t>and</w:t>
      </w:r>
      <w:r w:rsidRPr="00287B8D">
        <w:rPr>
          <w:rStyle w:val="apple-converted-space"/>
          <w:sz w:val="16"/>
          <w:szCs w:val="16"/>
        </w:rPr>
        <w:t> </w:t>
      </w:r>
      <w:r w:rsidRPr="00287B8D">
        <w:rPr>
          <w:rStyle w:val="Emphasis"/>
          <w:sz w:val="16"/>
          <w:szCs w:val="16"/>
        </w:rPr>
        <w:t>Cryptosporidium hominis</w:t>
      </w:r>
      <w:r w:rsidRPr="00287B8D">
        <w:rPr>
          <w:sz w:val="16"/>
          <w:szCs w:val="16"/>
        </w:rPr>
        <w:t>.</w:t>
      </w:r>
      <w:r w:rsidRPr="00287B8D">
        <w:rPr>
          <w:rStyle w:val="apple-converted-space"/>
          <w:sz w:val="16"/>
          <w:szCs w:val="16"/>
        </w:rPr>
        <w:t> </w:t>
      </w:r>
      <w:r w:rsidRPr="00287B8D">
        <w:rPr>
          <w:rStyle w:val="Emphasis"/>
          <w:sz w:val="16"/>
          <w:szCs w:val="16"/>
        </w:rPr>
        <w:t>Applied and Environmental Microbiology, 74</w:t>
      </w:r>
      <w:r w:rsidRPr="00287B8D">
        <w:rPr>
          <w:sz w:val="16"/>
          <w:szCs w:val="16"/>
        </w:rPr>
        <w:t>(23), 7227–7234.</w:t>
      </w:r>
      <w:r w:rsidRPr="00287B8D">
        <w:rPr>
          <w:rStyle w:val="apple-converted-space"/>
          <w:sz w:val="16"/>
          <w:szCs w:val="16"/>
        </w:rPr>
        <w:t> </w:t>
      </w:r>
      <w:hyperlink r:id="rId130" w:tgtFrame="_new" w:history="1">
        <w:r w:rsidRPr="00287B8D">
          <w:rPr>
            <w:rStyle w:val="Hyperlink"/>
            <w:sz w:val="16"/>
            <w:szCs w:val="16"/>
          </w:rPr>
          <w:t>https://doi.org/10.1128/AEM.01576-08</w:t>
        </w:r>
      </w:hyperlink>
    </w:p>
    <w:p w14:paraId="473CFB63" w14:textId="77777777" w:rsidR="004365A5" w:rsidRPr="00287B8D" w:rsidRDefault="004365A5" w:rsidP="004365A5">
      <w:pPr>
        <w:pStyle w:val="NormalWeb"/>
        <w:numPr>
          <w:ilvl w:val="0"/>
          <w:numId w:val="55"/>
        </w:numPr>
        <w:rPr>
          <w:sz w:val="16"/>
          <w:szCs w:val="16"/>
        </w:rPr>
      </w:pPr>
      <w:r w:rsidRPr="00287B8D">
        <w:rPr>
          <w:sz w:val="16"/>
          <w:szCs w:val="16"/>
        </w:rPr>
        <w:t>Tauxe, R., Blake, P., Olsvik, Ø., &amp; Wachsmuth, I. K. (2014). The future of cholera: Persistence, change, and an expanding research agenda (pp. 443–454).</w:t>
      </w:r>
      <w:r w:rsidRPr="00287B8D">
        <w:rPr>
          <w:rStyle w:val="apple-converted-space"/>
          <w:sz w:val="16"/>
          <w:szCs w:val="16"/>
        </w:rPr>
        <w:t> </w:t>
      </w:r>
      <w:hyperlink r:id="rId131" w:tgtFrame="_new" w:history="1">
        <w:r w:rsidRPr="00287B8D">
          <w:rPr>
            <w:rStyle w:val="Hyperlink"/>
            <w:sz w:val="16"/>
            <w:szCs w:val="16"/>
          </w:rPr>
          <w:t>https://doi.org/10.1128/9781555818364.ch29</w:t>
        </w:r>
      </w:hyperlink>
    </w:p>
    <w:p w14:paraId="0984CEB3" w14:textId="77777777" w:rsidR="004365A5" w:rsidRPr="00287B8D" w:rsidRDefault="004365A5" w:rsidP="004365A5">
      <w:pPr>
        <w:pStyle w:val="NormalWeb"/>
        <w:numPr>
          <w:ilvl w:val="0"/>
          <w:numId w:val="55"/>
        </w:numPr>
        <w:rPr>
          <w:sz w:val="16"/>
          <w:szCs w:val="16"/>
        </w:rPr>
      </w:pPr>
      <w:r w:rsidRPr="00287B8D">
        <w:rPr>
          <w:sz w:val="16"/>
          <w:szCs w:val="16"/>
        </w:rPr>
        <w:t xml:space="preserve">Timmermans, Y. E. G., van de Kant, K. D. G., Krumeich, J. S. M., Zimmermann, L. J. I., Dompeling, E., Kramer, B. W., </w:t>
      </w:r>
      <w:r>
        <w:rPr>
          <w:sz w:val="16"/>
          <w:szCs w:val="16"/>
        </w:rPr>
        <w:t>et al</w:t>
      </w:r>
      <w:r w:rsidRPr="00287B8D">
        <w:rPr>
          <w:sz w:val="16"/>
          <w:szCs w:val="16"/>
        </w:rPr>
        <w:t>. (2020). Socio-ecological determinants of lifestyle behavior of women with overweight or obesity before, during and after pregnancy: Qualitative interview analysis in the Netherlands.</w:t>
      </w:r>
      <w:r w:rsidRPr="00287B8D">
        <w:rPr>
          <w:rStyle w:val="apple-converted-space"/>
          <w:sz w:val="16"/>
          <w:szCs w:val="16"/>
        </w:rPr>
        <w:t> </w:t>
      </w:r>
      <w:r w:rsidRPr="00287B8D">
        <w:rPr>
          <w:rStyle w:val="Emphasis"/>
          <w:sz w:val="16"/>
          <w:szCs w:val="16"/>
        </w:rPr>
        <w:t>BMC Pregnancy and Childbirth, 20</w:t>
      </w:r>
      <w:r w:rsidRPr="00287B8D">
        <w:rPr>
          <w:sz w:val="16"/>
          <w:szCs w:val="16"/>
        </w:rPr>
        <w:t>(1), 278.</w:t>
      </w:r>
      <w:r>
        <w:rPr>
          <w:rStyle w:val="apple-converted-space"/>
          <w:rFonts w:eastAsiaTheme="majorEastAsia"/>
          <w:sz w:val="16"/>
          <w:szCs w:val="16"/>
        </w:rPr>
        <w:t xml:space="preserve"> </w:t>
      </w:r>
      <w:hyperlink r:id="rId132" w:tgtFrame="_new" w:history="1">
        <w:r w:rsidRPr="00287B8D">
          <w:rPr>
            <w:rStyle w:val="Hyperlink"/>
            <w:sz w:val="16"/>
            <w:szCs w:val="16"/>
          </w:rPr>
          <w:t>https://doi.org/10.1186/s12884-020-2786-5</w:t>
        </w:r>
      </w:hyperlink>
      <w:r w:rsidRPr="00287B8D">
        <w:rPr>
          <w:sz w:val="16"/>
          <w:szCs w:val="16"/>
        </w:rPr>
        <w:t xml:space="preserve"> </w:t>
      </w:r>
    </w:p>
    <w:p w14:paraId="46FA5250" w14:textId="77777777" w:rsidR="004365A5" w:rsidRPr="00287B8D" w:rsidRDefault="004365A5" w:rsidP="004365A5">
      <w:pPr>
        <w:pStyle w:val="NormalWeb"/>
        <w:numPr>
          <w:ilvl w:val="0"/>
          <w:numId w:val="55"/>
        </w:numPr>
        <w:rPr>
          <w:sz w:val="16"/>
          <w:szCs w:val="16"/>
        </w:rPr>
      </w:pPr>
      <w:r w:rsidRPr="00287B8D">
        <w:rPr>
          <w:sz w:val="16"/>
          <w:szCs w:val="16"/>
        </w:rPr>
        <w:t>Trowbridge, J., Tan, J. Y., Hussain, S., Osman, A. E. B., &amp; di Ruggiero, E. (2022). Examining intersectoral action as an approach to implementing multistakeholder collaborations to achieve the Sustainable Development Goals.</w:t>
      </w:r>
      <w:r w:rsidRPr="00287B8D">
        <w:rPr>
          <w:rStyle w:val="apple-converted-space"/>
          <w:sz w:val="16"/>
          <w:szCs w:val="16"/>
        </w:rPr>
        <w:t> </w:t>
      </w:r>
      <w:r w:rsidRPr="00287B8D">
        <w:rPr>
          <w:rStyle w:val="Emphasis"/>
          <w:sz w:val="16"/>
          <w:szCs w:val="16"/>
        </w:rPr>
        <w:t>International Journal of Public Health, 67</w:t>
      </w:r>
      <w:r w:rsidRPr="00287B8D">
        <w:rPr>
          <w:sz w:val="16"/>
          <w:szCs w:val="16"/>
        </w:rPr>
        <w:t>, 1604351.</w:t>
      </w:r>
      <w:r w:rsidRPr="00287B8D">
        <w:rPr>
          <w:rStyle w:val="apple-converted-space"/>
          <w:sz w:val="16"/>
          <w:szCs w:val="16"/>
        </w:rPr>
        <w:t> </w:t>
      </w:r>
      <w:hyperlink r:id="rId133" w:tgtFrame="_new" w:history="1">
        <w:r w:rsidRPr="00287B8D">
          <w:rPr>
            <w:rStyle w:val="Hyperlink"/>
            <w:sz w:val="16"/>
            <w:szCs w:val="16"/>
          </w:rPr>
          <w:t>https://doi.org/10.3389/ijph.2022.1604351</w:t>
        </w:r>
      </w:hyperlink>
    </w:p>
    <w:p w14:paraId="0C34A420" w14:textId="77777777" w:rsidR="004365A5" w:rsidRPr="00287B8D" w:rsidRDefault="004365A5" w:rsidP="004365A5">
      <w:pPr>
        <w:pStyle w:val="NormalWeb"/>
        <w:numPr>
          <w:ilvl w:val="0"/>
          <w:numId w:val="55"/>
        </w:numPr>
        <w:rPr>
          <w:sz w:val="16"/>
          <w:szCs w:val="16"/>
        </w:rPr>
      </w:pPr>
      <w:r w:rsidRPr="00287B8D">
        <w:rPr>
          <w:sz w:val="16"/>
          <w:szCs w:val="16"/>
        </w:rPr>
        <w:t>Turi, K. N., &amp; Grigsby-Toussaint, D. S. (2017). Spatial spillover and the socio-ecological determinants of diabetes-related mortality across US counties.</w:t>
      </w:r>
      <w:r w:rsidRPr="00287B8D">
        <w:rPr>
          <w:rStyle w:val="apple-converted-space"/>
          <w:sz w:val="16"/>
          <w:szCs w:val="16"/>
        </w:rPr>
        <w:t> </w:t>
      </w:r>
      <w:r w:rsidRPr="00287B8D">
        <w:rPr>
          <w:rStyle w:val="Emphasis"/>
          <w:sz w:val="16"/>
          <w:szCs w:val="16"/>
        </w:rPr>
        <w:t>Applied Geography, 85</w:t>
      </w:r>
      <w:r w:rsidRPr="00287B8D">
        <w:rPr>
          <w:sz w:val="16"/>
          <w:szCs w:val="16"/>
        </w:rPr>
        <w:t>, 62–72.</w:t>
      </w:r>
      <w:r w:rsidRPr="00287B8D">
        <w:rPr>
          <w:rStyle w:val="apple-converted-space"/>
          <w:sz w:val="16"/>
          <w:szCs w:val="16"/>
        </w:rPr>
        <w:t> </w:t>
      </w:r>
      <w:hyperlink r:id="rId134" w:tgtFrame="_new" w:history="1">
        <w:r w:rsidRPr="00287B8D">
          <w:rPr>
            <w:rStyle w:val="Hyperlink"/>
            <w:sz w:val="16"/>
            <w:szCs w:val="16"/>
          </w:rPr>
          <w:t>https://doi.org/10.1016/j.apgeog.2017.05.005</w:t>
        </w:r>
      </w:hyperlink>
    </w:p>
    <w:p w14:paraId="5A892A07" w14:textId="77777777" w:rsidR="004365A5" w:rsidRPr="00287B8D" w:rsidRDefault="004365A5" w:rsidP="004365A5">
      <w:pPr>
        <w:pStyle w:val="NormalWeb"/>
        <w:numPr>
          <w:ilvl w:val="0"/>
          <w:numId w:val="55"/>
        </w:numPr>
        <w:rPr>
          <w:sz w:val="16"/>
          <w:szCs w:val="16"/>
        </w:rPr>
      </w:pPr>
      <w:r w:rsidRPr="00287B8D">
        <w:rPr>
          <w:sz w:val="16"/>
          <w:szCs w:val="16"/>
        </w:rPr>
        <w:t>Varea, C., Bernis-Carro, C., Montero, P., Arias, S., Barroso, A., &amp; González, B. (2000). Secular trend and intrapopulational variation in age at menopause in Spanish women.</w:t>
      </w:r>
      <w:r w:rsidRPr="00287B8D">
        <w:rPr>
          <w:rStyle w:val="apple-converted-space"/>
          <w:sz w:val="16"/>
          <w:szCs w:val="16"/>
        </w:rPr>
        <w:t> </w:t>
      </w:r>
      <w:r w:rsidRPr="00287B8D">
        <w:rPr>
          <w:rStyle w:val="Emphasis"/>
          <w:sz w:val="16"/>
          <w:szCs w:val="16"/>
        </w:rPr>
        <w:t>Journal of Biosocial Science, 32</w:t>
      </w:r>
      <w:r w:rsidRPr="00287B8D">
        <w:rPr>
          <w:sz w:val="16"/>
          <w:szCs w:val="16"/>
        </w:rPr>
        <w:t>(3), 383–393.</w:t>
      </w:r>
      <w:r>
        <w:rPr>
          <w:rStyle w:val="apple-converted-space"/>
          <w:rFonts w:eastAsiaTheme="majorEastAsia"/>
          <w:sz w:val="16"/>
          <w:szCs w:val="16"/>
        </w:rPr>
        <w:t xml:space="preserve"> </w:t>
      </w:r>
      <w:hyperlink r:id="rId135" w:tgtFrame="_new" w:history="1">
        <w:r w:rsidRPr="00287B8D">
          <w:rPr>
            <w:rStyle w:val="Hyperlink"/>
            <w:sz w:val="16"/>
            <w:szCs w:val="16"/>
          </w:rPr>
          <w:t>https://doi.org/10.1017/S0021932000003837</w:t>
        </w:r>
      </w:hyperlink>
      <w:r w:rsidRPr="00287B8D">
        <w:rPr>
          <w:sz w:val="16"/>
          <w:szCs w:val="16"/>
        </w:rPr>
        <w:t xml:space="preserve"> </w:t>
      </w:r>
    </w:p>
    <w:p w14:paraId="5B1E368B" w14:textId="77777777" w:rsidR="004365A5" w:rsidRPr="00287B8D" w:rsidRDefault="004365A5" w:rsidP="004365A5">
      <w:pPr>
        <w:pStyle w:val="NormalWeb"/>
        <w:numPr>
          <w:ilvl w:val="0"/>
          <w:numId w:val="55"/>
        </w:numPr>
        <w:rPr>
          <w:sz w:val="16"/>
          <w:szCs w:val="16"/>
        </w:rPr>
      </w:pPr>
      <w:r w:rsidRPr="00287B8D">
        <w:rPr>
          <w:sz w:val="16"/>
          <w:szCs w:val="16"/>
        </w:rPr>
        <w:lastRenderedPageBreak/>
        <w:t>Vella, S. A., Cliff, D. P., &amp; Okely, A. D. (2014). Socio-ecological predictors of participation and dropout in organised sports during childhood.</w:t>
      </w:r>
      <w:r w:rsidRPr="00287B8D">
        <w:rPr>
          <w:rStyle w:val="apple-converted-space"/>
          <w:sz w:val="16"/>
          <w:szCs w:val="16"/>
        </w:rPr>
        <w:t> </w:t>
      </w:r>
      <w:r w:rsidRPr="00287B8D">
        <w:rPr>
          <w:rStyle w:val="Emphasis"/>
          <w:sz w:val="16"/>
          <w:szCs w:val="16"/>
        </w:rPr>
        <w:t>International Journal of Behavioral Nutrition and Physical Activity, 11</w:t>
      </w:r>
      <w:r w:rsidRPr="00287B8D">
        <w:rPr>
          <w:sz w:val="16"/>
          <w:szCs w:val="16"/>
        </w:rPr>
        <w:t>, 62.</w:t>
      </w:r>
      <w:r w:rsidRPr="00287B8D">
        <w:rPr>
          <w:rStyle w:val="apple-converted-space"/>
          <w:sz w:val="16"/>
          <w:szCs w:val="16"/>
        </w:rPr>
        <w:t> </w:t>
      </w:r>
      <w:hyperlink r:id="rId136" w:tgtFrame="_new" w:history="1">
        <w:r w:rsidRPr="00287B8D">
          <w:rPr>
            <w:rStyle w:val="Hyperlink"/>
            <w:sz w:val="16"/>
            <w:szCs w:val="16"/>
          </w:rPr>
          <w:t>https://doi.org/10.1186/1479-5868-11-62</w:t>
        </w:r>
      </w:hyperlink>
    </w:p>
    <w:p w14:paraId="311F50D5" w14:textId="77777777" w:rsidR="004365A5" w:rsidRPr="00287B8D" w:rsidRDefault="004365A5" w:rsidP="004365A5">
      <w:pPr>
        <w:pStyle w:val="NormalWeb"/>
        <w:numPr>
          <w:ilvl w:val="0"/>
          <w:numId w:val="55"/>
        </w:numPr>
        <w:rPr>
          <w:sz w:val="16"/>
          <w:szCs w:val="16"/>
        </w:rPr>
      </w:pPr>
      <w:r w:rsidRPr="00287B8D">
        <w:rPr>
          <w:sz w:val="16"/>
          <w:szCs w:val="16"/>
        </w:rPr>
        <w:t>Vila-Guilera, J., Parikh, P., Chaturvedi, H., Ciric, L., &amp; Lakhanpaul, M. (2021). Towards transformative WASH: An integrated case study exploring environmental, sociocultural, economic and institutional risk factors contributing to infant enteric infections in rural tribal India.</w:t>
      </w:r>
      <w:r w:rsidRPr="00287B8D">
        <w:rPr>
          <w:rStyle w:val="apple-converted-space"/>
          <w:sz w:val="16"/>
          <w:szCs w:val="16"/>
        </w:rPr>
        <w:t> </w:t>
      </w:r>
      <w:r w:rsidRPr="00287B8D">
        <w:rPr>
          <w:rStyle w:val="Emphasis"/>
          <w:sz w:val="16"/>
          <w:szCs w:val="16"/>
        </w:rPr>
        <w:t>BMC Public Health, 21</w:t>
      </w:r>
      <w:r w:rsidRPr="00287B8D">
        <w:rPr>
          <w:sz w:val="16"/>
          <w:szCs w:val="16"/>
        </w:rPr>
        <w:t>(1), 11353.</w:t>
      </w:r>
      <w:r w:rsidRPr="00287B8D">
        <w:rPr>
          <w:rStyle w:val="apple-converted-space"/>
          <w:sz w:val="16"/>
          <w:szCs w:val="16"/>
        </w:rPr>
        <w:t> </w:t>
      </w:r>
      <w:hyperlink r:id="rId137" w:tgtFrame="_new" w:history="1">
        <w:r w:rsidRPr="00287B8D">
          <w:rPr>
            <w:rStyle w:val="Hyperlink"/>
            <w:sz w:val="16"/>
            <w:szCs w:val="16"/>
          </w:rPr>
          <w:t>https://doi.org/10.1186/s12889-021-11353-z</w:t>
        </w:r>
      </w:hyperlink>
    </w:p>
    <w:p w14:paraId="196CC928" w14:textId="77777777" w:rsidR="004365A5" w:rsidRPr="00287B8D" w:rsidRDefault="004365A5" w:rsidP="004365A5">
      <w:pPr>
        <w:pStyle w:val="NormalWeb"/>
        <w:numPr>
          <w:ilvl w:val="0"/>
          <w:numId w:val="55"/>
        </w:numPr>
        <w:rPr>
          <w:sz w:val="16"/>
          <w:szCs w:val="16"/>
        </w:rPr>
      </w:pPr>
      <w:r w:rsidRPr="00287B8D">
        <w:rPr>
          <w:sz w:val="16"/>
          <w:szCs w:val="16"/>
        </w:rPr>
        <w:t>Visalakshi, S., &amp; Radha, V. (2018). Integrated framework to identify the presence of contamination in drinking water.</w:t>
      </w:r>
      <w:r>
        <w:rPr>
          <w:rStyle w:val="apple-converted-space"/>
          <w:rFonts w:eastAsiaTheme="majorEastAsia"/>
          <w:sz w:val="16"/>
          <w:szCs w:val="16"/>
        </w:rPr>
        <w:t xml:space="preserve"> </w:t>
      </w:r>
      <w:hyperlink r:id="rId138" w:tgtFrame="_new" w:history="1">
        <w:r w:rsidRPr="00287B8D">
          <w:rPr>
            <w:rStyle w:val="Hyperlink"/>
            <w:sz w:val="16"/>
            <w:szCs w:val="16"/>
          </w:rPr>
          <w:t>https://doi.org/10.1109/ICCIC.2017.8524155</w:t>
        </w:r>
      </w:hyperlink>
      <w:r w:rsidRPr="00287B8D">
        <w:rPr>
          <w:sz w:val="16"/>
          <w:szCs w:val="16"/>
        </w:rPr>
        <w:t xml:space="preserve"> </w:t>
      </w:r>
    </w:p>
    <w:p w14:paraId="7D6DCBD5" w14:textId="77777777" w:rsidR="004365A5" w:rsidRPr="00287B8D" w:rsidRDefault="004365A5" w:rsidP="004365A5">
      <w:pPr>
        <w:pStyle w:val="NormalWeb"/>
        <w:numPr>
          <w:ilvl w:val="0"/>
          <w:numId w:val="55"/>
        </w:numPr>
        <w:rPr>
          <w:sz w:val="16"/>
          <w:szCs w:val="16"/>
        </w:rPr>
      </w:pPr>
      <w:r w:rsidRPr="00287B8D">
        <w:rPr>
          <w:sz w:val="16"/>
          <w:szCs w:val="16"/>
        </w:rPr>
        <w:t xml:space="preserve">Wade, D., Holland, A., Langille, L., Bertrand, L., Granger, L., Ellis-Scharfenberg, K., </w:t>
      </w:r>
      <w:r>
        <w:rPr>
          <w:sz w:val="16"/>
          <w:szCs w:val="16"/>
        </w:rPr>
        <w:t>et al</w:t>
      </w:r>
      <w:r w:rsidRPr="00287B8D">
        <w:rPr>
          <w:sz w:val="16"/>
          <w:szCs w:val="16"/>
        </w:rPr>
        <w:t>. (2019). A collective voice for advancing public health: Why public health associations matter today.</w:t>
      </w:r>
      <w:r w:rsidRPr="00287B8D">
        <w:rPr>
          <w:rStyle w:val="apple-converted-space"/>
          <w:sz w:val="16"/>
          <w:szCs w:val="16"/>
        </w:rPr>
        <w:t> </w:t>
      </w:r>
      <w:r w:rsidRPr="00287B8D">
        <w:rPr>
          <w:rStyle w:val="Emphasis"/>
          <w:sz w:val="16"/>
          <w:szCs w:val="16"/>
        </w:rPr>
        <w:t>Canadian Journal of Public Health, 110</w:t>
      </w:r>
      <w:r w:rsidRPr="00287B8D">
        <w:rPr>
          <w:sz w:val="16"/>
          <w:szCs w:val="16"/>
        </w:rPr>
        <w:t>(3).</w:t>
      </w:r>
    </w:p>
    <w:p w14:paraId="7831B571" w14:textId="77777777" w:rsidR="004365A5" w:rsidRPr="00287B8D" w:rsidRDefault="004365A5" w:rsidP="004365A5">
      <w:pPr>
        <w:pStyle w:val="NormalWeb"/>
        <w:numPr>
          <w:ilvl w:val="0"/>
          <w:numId w:val="55"/>
        </w:numPr>
        <w:rPr>
          <w:sz w:val="16"/>
          <w:szCs w:val="16"/>
        </w:rPr>
      </w:pPr>
      <w:r w:rsidRPr="00287B8D">
        <w:rPr>
          <w:sz w:val="16"/>
          <w:szCs w:val="16"/>
        </w:rPr>
        <w:t>Walker, K. K., Owens, H., &amp; Zimet, G. (2020). “We fear the unknown”: Emergence, route and transfer of hesitancy and misinformation among HPV vaccine accepting mothers.</w:t>
      </w:r>
      <w:r w:rsidRPr="00287B8D">
        <w:rPr>
          <w:rStyle w:val="apple-converted-space"/>
          <w:sz w:val="16"/>
          <w:szCs w:val="16"/>
        </w:rPr>
        <w:t> </w:t>
      </w:r>
      <w:r w:rsidRPr="00287B8D">
        <w:rPr>
          <w:rStyle w:val="Emphasis"/>
          <w:sz w:val="16"/>
          <w:szCs w:val="16"/>
        </w:rPr>
        <w:t>Preventive Medicine Reports, 20</w:t>
      </w:r>
      <w:r w:rsidRPr="00287B8D">
        <w:rPr>
          <w:sz w:val="16"/>
          <w:szCs w:val="16"/>
        </w:rPr>
        <w:t>, 101240.</w:t>
      </w:r>
      <w:r>
        <w:rPr>
          <w:rStyle w:val="apple-converted-space"/>
          <w:rFonts w:eastAsiaTheme="majorEastAsia"/>
          <w:sz w:val="16"/>
          <w:szCs w:val="16"/>
        </w:rPr>
        <w:t xml:space="preserve"> </w:t>
      </w:r>
      <w:hyperlink r:id="rId139" w:tgtFrame="_new" w:history="1">
        <w:r w:rsidRPr="00287B8D">
          <w:rPr>
            <w:rStyle w:val="Hyperlink"/>
            <w:sz w:val="16"/>
            <w:szCs w:val="16"/>
          </w:rPr>
          <w:t>https://doi.org/10.1016/j.pmedr.2020.101240</w:t>
        </w:r>
      </w:hyperlink>
      <w:r w:rsidRPr="00287B8D">
        <w:rPr>
          <w:sz w:val="16"/>
          <w:szCs w:val="16"/>
        </w:rPr>
        <w:t xml:space="preserve"> </w:t>
      </w:r>
    </w:p>
    <w:p w14:paraId="260AB50D" w14:textId="77777777" w:rsidR="004365A5" w:rsidRPr="00287B8D" w:rsidRDefault="004365A5" w:rsidP="004365A5">
      <w:pPr>
        <w:pStyle w:val="NormalWeb"/>
        <w:numPr>
          <w:ilvl w:val="0"/>
          <w:numId w:val="55"/>
        </w:numPr>
        <w:rPr>
          <w:sz w:val="16"/>
          <w:szCs w:val="16"/>
        </w:rPr>
      </w:pPr>
      <w:r w:rsidRPr="00287B8D">
        <w:rPr>
          <w:sz w:val="16"/>
          <w:szCs w:val="16"/>
        </w:rPr>
        <w:t>Wang, M., Liu, H., Liu, X.-H., &amp; Zhang, X. (2024). Ecological study of the incidence of hepatitis B in Chengdu City, 2010–2021.</w:t>
      </w:r>
      <w:r w:rsidRPr="00287B8D">
        <w:rPr>
          <w:rStyle w:val="apple-converted-space"/>
          <w:sz w:val="16"/>
          <w:szCs w:val="16"/>
        </w:rPr>
        <w:t> </w:t>
      </w:r>
      <w:r w:rsidRPr="00287B8D">
        <w:rPr>
          <w:rStyle w:val="Emphasis"/>
          <w:sz w:val="16"/>
          <w:szCs w:val="16"/>
        </w:rPr>
        <w:t>Modern Preventive Medicine, 51</w:t>
      </w:r>
      <w:r w:rsidRPr="00287B8D">
        <w:rPr>
          <w:sz w:val="16"/>
          <w:szCs w:val="16"/>
        </w:rPr>
        <w:t>(2), 221–225.</w:t>
      </w:r>
      <w:r w:rsidRPr="00287B8D">
        <w:rPr>
          <w:rStyle w:val="apple-converted-space"/>
          <w:sz w:val="16"/>
          <w:szCs w:val="16"/>
        </w:rPr>
        <w:t> </w:t>
      </w:r>
      <w:hyperlink r:id="rId140" w:tgtFrame="_new" w:history="1">
        <w:r w:rsidRPr="00287B8D">
          <w:rPr>
            <w:rStyle w:val="Hyperlink"/>
            <w:sz w:val="16"/>
            <w:szCs w:val="16"/>
          </w:rPr>
          <w:t>https://doi.org/10.20043/j.cnki.MPM.202307463</w:t>
        </w:r>
      </w:hyperlink>
    </w:p>
    <w:p w14:paraId="03D07716" w14:textId="77777777" w:rsidR="004365A5" w:rsidRPr="00287B8D" w:rsidRDefault="004365A5" w:rsidP="004365A5">
      <w:pPr>
        <w:pStyle w:val="NormalWeb"/>
        <w:numPr>
          <w:ilvl w:val="0"/>
          <w:numId w:val="55"/>
        </w:numPr>
        <w:rPr>
          <w:sz w:val="16"/>
          <w:szCs w:val="16"/>
        </w:rPr>
      </w:pPr>
      <w:r w:rsidRPr="00287B8D">
        <w:rPr>
          <w:sz w:val="16"/>
          <w:szCs w:val="16"/>
        </w:rPr>
        <w:t xml:space="preserve">Wechsberg, W. M., Browne, F. A., Ndirangu, J., Bonner, C. P., Minnis, A. M., Nyblade, L., </w:t>
      </w:r>
      <w:r>
        <w:rPr>
          <w:sz w:val="16"/>
          <w:szCs w:val="16"/>
        </w:rPr>
        <w:t>et al.</w:t>
      </w:r>
      <w:r w:rsidRPr="00287B8D">
        <w:rPr>
          <w:sz w:val="16"/>
          <w:szCs w:val="16"/>
        </w:rPr>
        <w:t xml:space="preserve"> (2020). The PrEPARE Pretoria Project: Protocol for a cluster-randomized factorial-design trial to prevent HIV with PrEP among adolescent girls and young women in Tshwane, South Africa.</w:t>
      </w:r>
      <w:r w:rsidRPr="00287B8D">
        <w:rPr>
          <w:rStyle w:val="apple-converted-space"/>
          <w:sz w:val="16"/>
          <w:szCs w:val="16"/>
        </w:rPr>
        <w:t> </w:t>
      </w:r>
      <w:r w:rsidRPr="00287B8D">
        <w:rPr>
          <w:rStyle w:val="Emphasis"/>
          <w:sz w:val="16"/>
          <w:szCs w:val="16"/>
        </w:rPr>
        <w:t>BMC Public Health, 20</w:t>
      </w:r>
      <w:r w:rsidRPr="00287B8D">
        <w:rPr>
          <w:sz w:val="16"/>
          <w:szCs w:val="16"/>
        </w:rPr>
        <w:t>(1), 1403.</w:t>
      </w:r>
      <w:r w:rsidRPr="00287B8D">
        <w:rPr>
          <w:rStyle w:val="apple-converted-space"/>
          <w:sz w:val="16"/>
          <w:szCs w:val="16"/>
        </w:rPr>
        <w:t> </w:t>
      </w:r>
      <w:hyperlink r:id="rId141" w:tgtFrame="_new" w:history="1">
        <w:r w:rsidRPr="00287B8D">
          <w:rPr>
            <w:rStyle w:val="Hyperlink"/>
            <w:sz w:val="16"/>
            <w:szCs w:val="16"/>
          </w:rPr>
          <w:t>https://doi.org/10.1186/s12889-020-09458-y</w:t>
        </w:r>
      </w:hyperlink>
    </w:p>
    <w:p w14:paraId="6F7545C8" w14:textId="77777777" w:rsidR="004365A5" w:rsidRPr="00287B8D" w:rsidRDefault="004365A5" w:rsidP="004365A5">
      <w:pPr>
        <w:pStyle w:val="NormalWeb"/>
        <w:numPr>
          <w:ilvl w:val="0"/>
          <w:numId w:val="55"/>
        </w:numPr>
        <w:rPr>
          <w:sz w:val="16"/>
          <w:szCs w:val="16"/>
        </w:rPr>
      </w:pPr>
      <w:r w:rsidRPr="00287B8D">
        <w:rPr>
          <w:sz w:val="16"/>
          <w:szCs w:val="16"/>
        </w:rPr>
        <w:t>Wilkerson, A. H., Usdan, S. L., Knowlden, A. P., Leeper, J. L., Birch, D. A., &amp; Hibberd, E. E. (2018). Ecological influences on employees’ workplace sedentary behavior: A cross-sectional study.</w:t>
      </w:r>
      <w:r w:rsidRPr="00287B8D">
        <w:rPr>
          <w:rStyle w:val="apple-converted-space"/>
          <w:sz w:val="16"/>
          <w:szCs w:val="16"/>
        </w:rPr>
        <w:t> </w:t>
      </w:r>
      <w:r w:rsidRPr="00287B8D">
        <w:rPr>
          <w:rStyle w:val="Emphasis"/>
          <w:sz w:val="16"/>
          <w:szCs w:val="16"/>
        </w:rPr>
        <w:t>American Journal of Health Promotion, 32</w:t>
      </w:r>
      <w:r w:rsidRPr="00287B8D">
        <w:rPr>
          <w:sz w:val="16"/>
          <w:szCs w:val="16"/>
        </w:rPr>
        <w:t>(8), 1688–1696.</w:t>
      </w:r>
      <w:r>
        <w:rPr>
          <w:rStyle w:val="apple-converted-space"/>
          <w:rFonts w:eastAsiaTheme="majorEastAsia"/>
          <w:sz w:val="16"/>
          <w:szCs w:val="16"/>
        </w:rPr>
        <w:t xml:space="preserve"> </w:t>
      </w:r>
      <w:hyperlink r:id="rId142" w:tgtFrame="_new" w:history="1">
        <w:r w:rsidRPr="00287B8D">
          <w:rPr>
            <w:rStyle w:val="Hyperlink"/>
            <w:sz w:val="16"/>
            <w:szCs w:val="16"/>
          </w:rPr>
          <w:t>https://doi.org/10.1177/0890117118767717</w:t>
        </w:r>
      </w:hyperlink>
      <w:r w:rsidRPr="00287B8D">
        <w:rPr>
          <w:sz w:val="16"/>
          <w:szCs w:val="16"/>
        </w:rPr>
        <w:t xml:space="preserve"> </w:t>
      </w:r>
    </w:p>
    <w:p w14:paraId="0102EBBE" w14:textId="77777777" w:rsidR="004365A5" w:rsidRPr="00287B8D" w:rsidRDefault="004365A5" w:rsidP="004365A5">
      <w:pPr>
        <w:pStyle w:val="NormalWeb"/>
        <w:numPr>
          <w:ilvl w:val="0"/>
          <w:numId w:val="55"/>
        </w:numPr>
        <w:rPr>
          <w:sz w:val="16"/>
          <w:szCs w:val="16"/>
        </w:rPr>
      </w:pPr>
      <w:r w:rsidRPr="00287B8D">
        <w:rPr>
          <w:sz w:val="16"/>
          <w:szCs w:val="16"/>
        </w:rPr>
        <w:t>Williams, L. (2017). Empowerment and the ecological determinants of health: Three critical capacities for practitioners.</w:t>
      </w:r>
      <w:r w:rsidRPr="00287B8D">
        <w:rPr>
          <w:rStyle w:val="apple-converted-space"/>
          <w:sz w:val="16"/>
          <w:szCs w:val="16"/>
        </w:rPr>
        <w:t> </w:t>
      </w:r>
      <w:r w:rsidRPr="00287B8D">
        <w:rPr>
          <w:rStyle w:val="Emphasis"/>
          <w:sz w:val="16"/>
          <w:szCs w:val="16"/>
        </w:rPr>
        <w:t>Health Promotion International, 32</w:t>
      </w:r>
      <w:r w:rsidRPr="00287B8D">
        <w:rPr>
          <w:sz w:val="16"/>
          <w:szCs w:val="16"/>
        </w:rPr>
        <w:t>(4), 606–609.</w:t>
      </w:r>
      <w:r w:rsidRPr="00287B8D">
        <w:rPr>
          <w:rStyle w:val="apple-converted-space"/>
          <w:sz w:val="16"/>
          <w:szCs w:val="16"/>
        </w:rPr>
        <w:t> </w:t>
      </w:r>
      <w:hyperlink r:id="rId143" w:tgtFrame="_new" w:history="1">
        <w:r w:rsidRPr="00287B8D">
          <w:rPr>
            <w:rStyle w:val="Hyperlink"/>
            <w:sz w:val="16"/>
            <w:szCs w:val="16"/>
          </w:rPr>
          <w:t>https://doi.org/10.1093/heapro/daw011</w:t>
        </w:r>
      </w:hyperlink>
    </w:p>
    <w:p w14:paraId="681A82A8" w14:textId="77777777" w:rsidR="004365A5" w:rsidRPr="00287B8D" w:rsidRDefault="004365A5" w:rsidP="004365A5">
      <w:pPr>
        <w:pStyle w:val="NormalWeb"/>
        <w:numPr>
          <w:ilvl w:val="0"/>
          <w:numId w:val="55"/>
        </w:numPr>
        <w:rPr>
          <w:sz w:val="16"/>
          <w:szCs w:val="16"/>
        </w:rPr>
      </w:pPr>
      <w:r w:rsidRPr="00287B8D">
        <w:rPr>
          <w:sz w:val="16"/>
          <w:szCs w:val="16"/>
        </w:rPr>
        <w:t>Wilson, K. L., Axelson, S., Garney, W. R., Garcia, K. M., Suellentrop, K., &amp; Esquivel, C. H. (2023). Addressing evaluation barriers with early innovation development for adolescent-focused sexual and reproductive health interventions.</w:t>
      </w:r>
      <w:r w:rsidRPr="00287B8D">
        <w:rPr>
          <w:rStyle w:val="apple-converted-space"/>
          <w:sz w:val="16"/>
          <w:szCs w:val="16"/>
        </w:rPr>
        <w:t> </w:t>
      </w:r>
      <w:r w:rsidRPr="00287B8D">
        <w:rPr>
          <w:rStyle w:val="Emphasis"/>
          <w:sz w:val="16"/>
          <w:szCs w:val="16"/>
        </w:rPr>
        <w:t>Prevention Science, 24</w:t>
      </w:r>
      <w:r w:rsidRPr="00287B8D">
        <w:rPr>
          <w:sz w:val="16"/>
          <w:szCs w:val="16"/>
        </w:rPr>
        <w:t>, 222–228.</w:t>
      </w:r>
      <w:r w:rsidRPr="00287B8D">
        <w:rPr>
          <w:rStyle w:val="apple-converted-space"/>
          <w:sz w:val="16"/>
          <w:szCs w:val="16"/>
        </w:rPr>
        <w:t> </w:t>
      </w:r>
      <w:hyperlink r:id="rId144" w:tgtFrame="_new" w:history="1">
        <w:r w:rsidRPr="00287B8D">
          <w:rPr>
            <w:rStyle w:val="Hyperlink"/>
            <w:sz w:val="16"/>
            <w:szCs w:val="16"/>
          </w:rPr>
          <w:t>https://doi.org/10.1007/s11121-023-01578-2</w:t>
        </w:r>
      </w:hyperlink>
    </w:p>
    <w:p w14:paraId="5C134E6F" w14:textId="77777777" w:rsidR="004365A5" w:rsidRPr="00287B8D" w:rsidRDefault="004365A5" w:rsidP="004365A5">
      <w:pPr>
        <w:pStyle w:val="NormalWeb"/>
        <w:numPr>
          <w:ilvl w:val="0"/>
          <w:numId w:val="55"/>
        </w:numPr>
        <w:rPr>
          <w:sz w:val="16"/>
          <w:szCs w:val="16"/>
        </w:rPr>
      </w:pPr>
      <w:r w:rsidRPr="00287B8D">
        <w:rPr>
          <w:sz w:val="16"/>
          <w:szCs w:val="16"/>
        </w:rPr>
        <w:t>Wilson, K. L., Axelson, S., Garney, W. R., Garcia, K. M., Suellentrop, K., &amp; Esquivel, C. H. (2023). Addressing evaluation barriers with early innovation development for adolescent-focused sexual and reproductive health interventions.</w:t>
      </w:r>
      <w:r w:rsidRPr="00287B8D">
        <w:rPr>
          <w:rStyle w:val="apple-converted-space"/>
          <w:sz w:val="16"/>
          <w:szCs w:val="16"/>
        </w:rPr>
        <w:t> </w:t>
      </w:r>
      <w:r w:rsidRPr="00287B8D">
        <w:rPr>
          <w:rStyle w:val="Emphasis"/>
          <w:sz w:val="16"/>
          <w:szCs w:val="16"/>
        </w:rPr>
        <w:t>Prevention Science, 24</w:t>
      </w:r>
      <w:r w:rsidRPr="00287B8D">
        <w:rPr>
          <w:sz w:val="16"/>
          <w:szCs w:val="16"/>
        </w:rPr>
        <w:t>(Suppl 2), 222–228.</w:t>
      </w:r>
      <w:r w:rsidRPr="00287B8D">
        <w:rPr>
          <w:rStyle w:val="apple-converted-space"/>
          <w:sz w:val="16"/>
          <w:szCs w:val="16"/>
        </w:rPr>
        <w:t> </w:t>
      </w:r>
      <w:hyperlink r:id="rId145" w:tgtFrame="_new" w:history="1">
        <w:r w:rsidRPr="00287B8D">
          <w:rPr>
            <w:rStyle w:val="Hyperlink"/>
            <w:sz w:val="16"/>
            <w:szCs w:val="16"/>
          </w:rPr>
          <w:t>https://doi.org/10.1007/s11121-023-01578-2</w:t>
        </w:r>
      </w:hyperlink>
    </w:p>
    <w:p w14:paraId="6BB4D0BD" w14:textId="77777777" w:rsidR="004365A5" w:rsidRPr="00287B8D" w:rsidRDefault="004365A5" w:rsidP="004365A5">
      <w:pPr>
        <w:pStyle w:val="NormalWeb"/>
        <w:numPr>
          <w:ilvl w:val="0"/>
          <w:numId w:val="55"/>
        </w:numPr>
        <w:rPr>
          <w:sz w:val="16"/>
          <w:szCs w:val="16"/>
        </w:rPr>
      </w:pPr>
      <w:r w:rsidRPr="00287B8D">
        <w:rPr>
          <w:sz w:val="16"/>
          <w:szCs w:val="16"/>
        </w:rPr>
        <w:t>Woolf, S. H., &amp; Braveman, P. (2012). The social and ecological determinants of health. In</w:t>
      </w:r>
      <w:r w:rsidRPr="00287B8D">
        <w:rPr>
          <w:rStyle w:val="apple-converted-space"/>
          <w:sz w:val="16"/>
          <w:szCs w:val="16"/>
        </w:rPr>
        <w:t> </w:t>
      </w:r>
      <w:r w:rsidRPr="00287B8D">
        <w:rPr>
          <w:rStyle w:val="Emphasis"/>
          <w:sz w:val="16"/>
          <w:szCs w:val="16"/>
        </w:rPr>
        <w:t>Social determinants of health</w:t>
      </w:r>
      <w:r w:rsidRPr="00287B8D">
        <w:rPr>
          <w:sz w:val="16"/>
          <w:szCs w:val="16"/>
        </w:rPr>
        <w:t xml:space="preserve">(Vol. 9780813141244, pp. 25–46). </w:t>
      </w:r>
    </w:p>
    <w:p w14:paraId="12B8C964" w14:textId="77777777" w:rsidR="004365A5" w:rsidRPr="00287B8D" w:rsidRDefault="004365A5" w:rsidP="004365A5">
      <w:pPr>
        <w:pStyle w:val="NormalWeb"/>
        <w:numPr>
          <w:ilvl w:val="0"/>
          <w:numId w:val="55"/>
        </w:numPr>
        <w:rPr>
          <w:sz w:val="16"/>
          <w:szCs w:val="16"/>
        </w:rPr>
      </w:pPr>
      <w:r w:rsidRPr="00287B8D">
        <w:rPr>
          <w:sz w:val="16"/>
          <w:szCs w:val="16"/>
        </w:rPr>
        <w:t>Yassi, A., Lockhart, K., Gray, P., &amp; Hancock, T. (2019). Is public health training in Canada meeting current needs? Defrosting the paradigm freeze to respond to the post-truth era.</w:t>
      </w:r>
      <w:r w:rsidRPr="00287B8D">
        <w:rPr>
          <w:rStyle w:val="apple-converted-space"/>
          <w:sz w:val="16"/>
          <w:szCs w:val="16"/>
        </w:rPr>
        <w:t> </w:t>
      </w:r>
      <w:r w:rsidRPr="00287B8D">
        <w:rPr>
          <w:rStyle w:val="Emphasis"/>
          <w:sz w:val="16"/>
          <w:szCs w:val="16"/>
        </w:rPr>
        <w:t>Critical Public Health, 29</w:t>
      </w:r>
      <w:r w:rsidRPr="00287B8D">
        <w:rPr>
          <w:sz w:val="16"/>
          <w:szCs w:val="16"/>
        </w:rPr>
        <w:t>(1), 40–47.</w:t>
      </w:r>
      <w:r>
        <w:rPr>
          <w:rStyle w:val="apple-converted-space"/>
          <w:rFonts w:eastAsiaTheme="majorEastAsia"/>
          <w:sz w:val="16"/>
          <w:szCs w:val="16"/>
        </w:rPr>
        <w:t xml:space="preserve"> </w:t>
      </w:r>
      <w:hyperlink r:id="rId146" w:tgtFrame="_new" w:history="1">
        <w:r w:rsidRPr="00287B8D">
          <w:rPr>
            <w:rStyle w:val="Hyperlink"/>
            <w:sz w:val="16"/>
            <w:szCs w:val="16"/>
          </w:rPr>
          <w:t>https://doi.org/10.1080/09581596.2017.1384796</w:t>
        </w:r>
      </w:hyperlink>
      <w:r w:rsidRPr="00287B8D">
        <w:rPr>
          <w:sz w:val="16"/>
          <w:szCs w:val="16"/>
        </w:rPr>
        <w:t xml:space="preserve"> </w:t>
      </w:r>
    </w:p>
    <w:p w14:paraId="5612B600" w14:textId="77777777" w:rsidR="004365A5" w:rsidRPr="00287B8D" w:rsidRDefault="004365A5" w:rsidP="004365A5">
      <w:pPr>
        <w:pStyle w:val="NormalWeb"/>
        <w:numPr>
          <w:ilvl w:val="0"/>
          <w:numId w:val="55"/>
        </w:numPr>
        <w:rPr>
          <w:sz w:val="16"/>
          <w:szCs w:val="16"/>
        </w:rPr>
      </w:pPr>
      <w:r w:rsidRPr="00287B8D">
        <w:rPr>
          <w:sz w:val="16"/>
          <w:szCs w:val="16"/>
        </w:rPr>
        <w:t>Yii, V., Palermo, C., &amp; Kleve, S. (2020). Population-based interventions addressing food insecurity in Australia: A systematic</w:t>
      </w:r>
      <w:r>
        <w:rPr>
          <w:sz w:val="16"/>
          <w:szCs w:val="16"/>
        </w:rPr>
        <w:t xml:space="preserve"> </w:t>
      </w:r>
      <w:r w:rsidRPr="00287B8D">
        <w:rPr>
          <w:sz w:val="16"/>
          <w:szCs w:val="16"/>
        </w:rPr>
        <w:t>scoping review.</w:t>
      </w:r>
      <w:r w:rsidRPr="00287B8D">
        <w:rPr>
          <w:rStyle w:val="apple-converted-space"/>
          <w:sz w:val="16"/>
          <w:szCs w:val="16"/>
        </w:rPr>
        <w:t> </w:t>
      </w:r>
      <w:r w:rsidRPr="00287B8D">
        <w:rPr>
          <w:rStyle w:val="Emphasis"/>
          <w:sz w:val="16"/>
          <w:szCs w:val="16"/>
        </w:rPr>
        <w:t>Nutrition and Dietetics, 77</w:t>
      </w:r>
      <w:r w:rsidRPr="00287B8D">
        <w:rPr>
          <w:sz w:val="16"/>
          <w:szCs w:val="16"/>
        </w:rPr>
        <w:t>(1), 6–18.</w:t>
      </w:r>
      <w:r w:rsidRPr="00287B8D">
        <w:rPr>
          <w:rStyle w:val="apple-converted-space"/>
          <w:sz w:val="16"/>
          <w:szCs w:val="16"/>
        </w:rPr>
        <w:t> </w:t>
      </w:r>
      <w:hyperlink r:id="rId147" w:tgtFrame="_new" w:history="1">
        <w:r w:rsidRPr="00287B8D">
          <w:rPr>
            <w:rStyle w:val="Hyperlink"/>
            <w:sz w:val="16"/>
            <w:szCs w:val="16"/>
          </w:rPr>
          <w:t>https://doi.org/10.1111/1747-0080.12580</w:t>
        </w:r>
      </w:hyperlink>
    </w:p>
    <w:p w14:paraId="26DD1271" w14:textId="77777777" w:rsidR="004365A5" w:rsidRPr="00287B8D" w:rsidRDefault="004365A5" w:rsidP="004365A5">
      <w:pPr>
        <w:pStyle w:val="NormalWeb"/>
        <w:numPr>
          <w:ilvl w:val="0"/>
          <w:numId w:val="55"/>
        </w:numPr>
        <w:rPr>
          <w:color w:val="000000"/>
          <w:sz w:val="16"/>
          <w:szCs w:val="16"/>
        </w:rPr>
      </w:pPr>
      <w:r w:rsidRPr="00287B8D">
        <w:rPr>
          <w:color w:val="000000"/>
          <w:sz w:val="16"/>
          <w:szCs w:val="16"/>
        </w:rPr>
        <w:t>Zhang, W. H., Xiao, C., Ren, T., Wang, L. P., Wang, L., &amp; Yuan, P. (2016). Ecological trend of the incidence of tuberculosis in Mianyang City during 2004–2013.</w:t>
      </w:r>
      <w:r w:rsidRPr="00287B8D">
        <w:rPr>
          <w:rStyle w:val="apple-converted-space"/>
          <w:color w:val="000000"/>
          <w:sz w:val="16"/>
          <w:szCs w:val="16"/>
        </w:rPr>
        <w:t> </w:t>
      </w:r>
      <w:r w:rsidRPr="00287B8D">
        <w:rPr>
          <w:rStyle w:val="Emphasis"/>
          <w:color w:val="000000"/>
          <w:sz w:val="16"/>
          <w:szCs w:val="16"/>
        </w:rPr>
        <w:t>Sichuan da Xue Xue Bao. Yi Xue Ban = Journal of Sichuan University. Medical Science Edition, 47</w:t>
      </w:r>
      <w:r w:rsidRPr="00287B8D">
        <w:rPr>
          <w:color w:val="000000"/>
          <w:sz w:val="16"/>
          <w:szCs w:val="16"/>
        </w:rPr>
        <w:t xml:space="preserve">(5), 759–762. </w:t>
      </w:r>
    </w:p>
    <w:p w14:paraId="0A1936DF" w14:textId="77777777" w:rsidR="004365A5" w:rsidRPr="00287B8D" w:rsidRDefault="004365A5" w:rsidP="004365A5">
      <w:pPr>
        <w:pStyle w:val="NormalWeb"/>
        <w:numPr>
          <w:ilvl w:val="0"/>
          <w:numId w:val="55"/>
        </w:numPr>
        <w:rPr>
          <w:color w:val="000000"/>
          <w:sz w:val="16"/>
          <w:szCs w:val="16"/>
        </w:rPr>
      </w:pPr>
      <w:r w:rsidRPr="00287B8D">
        <w:rPr>
          <w:color w:val="000000"/>
          <w:sz w:val="16"/>
          <w:szCs w:val="16"/>
        </w:rPr>
        <w:t>Zhu, Y., Chan, D. K. C., Pan, Q., Rhodes, R. E., &amp; Tao, S. (2024). National trends and ecological factors of physical activity engagement among U.S. youth before and during the COVID-19 pandemic: A cohort study from 2019 to 2021.</w:t>
      </w:r>
      <w:r w:rsidRPr="00287B8D">
        <w:rPr>
          <w:rStyle w:val="apple-converted-space"/>
          <w:color w:val="000000"/>
          <w:sz w:val="16"/>
          <w:szCs w:val="16"/>
        </w:rPr>
        <w:t> </w:t>
      </w:r>
      <w:r w:rsidRPr="00287B8D">
        <w:rPr>
          <w:rStyle w:val="Emphasis"/>
          <w:color w:val="000000"/>
          <w:sz w:val="16"/>
          <w:szCs w:val="16"/>
        </w:rPr>
        <w:t>BMC Public Health, 24</w:t>
      </w:r>
      <w:r w:rsidRPr="00287B8D">
        <w:rPr>
          <w:color w:val="000000"/>
          <w:sz w:val="16"/>
          <w:szCs w:val="16"/>
        </w:rPr>
        <w:t>(1), 19486.</w:t>
      </w:r>
      <w:r w:rsidRPr="00287B8D">
        <w:rPr>
          <w:rStyle w:val="apple-converted-space"/>
          <w:color w:val="000000"/>
          <w:sz w:val="16"/>
          <w:szCs w:val="16"/>
        </w:rPr>
        <w:t> </w:t>
      </w:r>
      <w:hyperlink r:id="rId148" w:tgtFrame="_new" w:history="1">
        <w:r w:rsidRPr="00287B8D">
          <w:rPr>
            <w:rStyle w:val="Hyperlink"/>
            <w:sz w:val="16"/>
            <w:szCs w:val="16"/>
          </w:rPr>
          <w:t>https://doi.org/10.1186/s12889-024-19486-7</w:t>
        </w:r>
      </w:hyperlink>
    </w:p>
    <w:p w14:paraId="045AB6DF" w14:textId="77777777" w:rsidR="004365A5" w:rsidRDefault="004365A5" w:rsidP="004365A5">
      <w:pPr>
        <w:pStyle w:val="ListParagraph"/>
        <w:spacing w:line="240" w:lineRule="auto"/>
        <w:ind w:left="770"/>
        <w:rPr>
          <w:rFonts w:ascii="Times New Roman" w:hAnsi="Times New Roman" w:cs="Times New Roman"/>
          <w:sz w:val="16"/>
          <w:szCs w:val="16"/>
        </w:rPr>
      </w:pPr>
    </w:p>
    <w:p w14:paraId="272642C9" w14:textId="77777777" w:rsidR="004365A5" w:rsidRPr="006F382B" w:rsidRDefault="004365A5" w:rsidP="004365A5">
      <w:pPr>
        <w:pStyle w:val="ListParagraph"/>
        <w:spacing w:line="240" w:lineRule="auto"/>
        <w:ind w:left="770"/>
        <w:rPr>
          <w:rFonts w:ascii="Times New Roman" w:hAnsi="Times New Roman" w:cs="Times New Roman"/>
          <w:b/>
          <w:bCs/>
          <w:sz w:val="16"/>
          <w:szCs w:val="16"/>
        </w:rPr>
      </w:pPr>
      <w:r>
        <w:rPr>
          <w:rFonts w:ascii="Times New Roman" w:hAnsi="Times New Roman" w:cs="Times New Roman"/>
          <w:b/>
          <w:bCs/>
          <w:sz w:val="16"/>
          <w:szCs w:val="16"/>
        </w:rPr>
        <w:t>Other Sources</w:t>
      </w:r>
    </w:p>
    <w:p w14:paraId="01DCCE39" w14:textId="77777777" w:rsidR="004365A5" w:rsidRPr="006F382B" w:rsidRDefault="004365A5" w:rsidP="004365A5">
      <w:pPr>
        <w:pStyle w:val="ListParagraph"/>
        <w:spacing w:line="240" w:lineRule="auto"/>
        <w:ind w:left="770"/>
        <w:rPr>
          <w:rFonts w:ascii="Times New Roman" w:hAnsi="Times New Roman" w:cs="Times New Roman"/>
          <w:sz w:val="16"/>
          <w:szCs w:val="16"/>
        </w:rPr>
      </w:pPr>
    </w:p>
    <w:p w14:paraId="0EE012D6"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Balyuk, G. I., Kovalchuk, T. G., &amp; Pozniak, E. V. (2024). Modern legal problems of human health protection: From complex approaches to practical solutions. </w:t>
      </w:r>
      <w:r w:rsidRPr="000D7D4B">
        <w:rPr>
          <w:rFonts w:ascii="Times New Roman" w:hAnsi="Times New Roman" w:cs="Times New Roman"/>
          <w:i/>
          <w:iCs/>
          <w:sz w:val="16"/>
          <w:szCs w:val="16"/>
          <w:lang w:val="en-RS"/>
        </w:rPr>
        <w:t>Analytical and Comparative Jurisprudence, 5</w:t>
      </w:r>
      <w:r w:rsidRPr="000D7D4B">
        <w:rPr>
          <w:rFonts w:ascii="Times New Roman" w:hAnsi="Times New Roman" w:cs="Times New Roman"/>
          <w:sz w:val="16"/>
          <w:szCs w:val="16"/>
          <w:lang w:val="en-RS"/>
        </w:rPr>
        <w:t>(2), 395–405.</w:t>
      </w:r>
      <w:r>
        <w:rPr>
          <w:rFonts w:ascii="Times New Roman" w:hAnsi="Times New Roman" w:cs="Times New Roman"/>
          <w:sz w:val="16"/>
          <w:szCs w:val="16"/>
          <w:lang w:val="en-RS"/>
        </w:rPr>
        <w:t xml:space="preserve"> </w:t>
      </w:r>
      <w:hyperlink r:id="rId149" w:history="1">
        <w:r w:rsidRPr="00341C23">
          <w:rPr>
            <w:rStyle w:val="Hyperlink"/>
            <w:rFonts w:ascii="Times New Roman" w:hAnsi="Times New Roman" w:cs="Times New Roman"/>
            <w:sz w:val="16"/>
            <w:szCs w:val="16"/>
            <w:lang w:val="en-RS"/>
          </w:rPr>
          <w:t>https://doi.org/10.24144/2788</w:t>
        </w:r>
        <w:r w:rsidRPr="00341C23">
          <w:rPr>
            <w:rStyle w:val="Hyperlink"/>
            <w:rFonts w:ascii="Times New Roman" w:hAnsi="Times New Roman" w:cs="Times New Roman"/>
            <w:sz w:val="16"/>
            <w:szCs w:val="16"/>
            <w:lang w:val="en-RS"/>
          </w:rPr>
          <w:noBreakHyphen/>
          <w:t>6018.2024.05.62</w:t>
        </w:r>
      </w:hyperlink>
      <w:r>
        <w:rPr>
          <w:rFonts w:ascii="Times New Roman" w:hAnsi="Times New Roman" w:cs="Times New Roman"/>
          <w:sz w:val="16"/>
          <w:szCs w:val="16"/>
          <w:lang w:val="en-RS"/>
        </w:rPr>
        <w:t xml:space="preserve"> </w:t>
      </w:r>
    </w:p>
    <w:p w14:paraId="453F6314"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Beatty, K. E., White</w:t>
      </w:r>
      <w:r w:rsidRPr="000D7D4B">
        <w:rPr>
          <w:rFonts w:ascii="Times New Roman" w:hAnsi="Times New Roman" w:cs="Times New Roman"/>
          <w:sz w:val="16"/>
          <w:szCs w:val="16"/>
          <w:lang w:val="en-RS"/>
        </w:rPr>
        <w:noBreakHyphen/>
        <w:t>Archer, M., &amp; Woolf, S. H. (2021). The social and ecological determinants of health. In J. W. Holsinger, Jr. &amp; F. D. Scutchfield (Eds.), </w:t>
      </w:r>
      <w:r w:rsidRPr="000D7D4B">
        <w:rPr>
          <w:rFonts w:ascii="Times New Roman" w:hAnsi="Times New Roman" w:cs="Times New Roman"/>
          <w:i/>
          <w:iCs/>
          <w:sz w:val="16"/>
          <w:szCs w:val="16"/>
          <w:lang w:val="en-RS"/>
        </w:rPr>
        <w:t>Contemporary public health: Principles, practice, and policy</w:t>
      </w:r>
      <w:r w:rsidRPr="000D7D4B">
        <w:rPr>
          <w:rFonts w:ascii="Times New Roman" w:hAnsi="Times New Roman" w:cs="Times New Roman"/>
          <w:sz w:val="16"/>
          <w:szCs w:val="16"/>
          <w:lang w:val="en-RS"/>
        </w:rPr>
        <w:t> (2nd ed., pp. 25–46). University Press of Kentucky.</w:t>
      </w:r>
    </w:p>
    <w:p w14:paraId="2BC8BDC0"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Belchos, S., Chopra, N., Patel, H., Moar, E., &amp; Zuber, Q. (2025). Exploring the role of experiential learning in Tanzania on the understanding of One Health. </w:t>
      </w:r>
      <w:r w:rsidRPr="000D7D4B">
        <w:rPr>
          <w:rFonts w:ascii="Times New Roman" w:hAnsi="Times New Roman" w:cs="Times New Roman"/>
          <w:i/>
          <w:iCs/>
          <w:sz w:val="16"/>
          <w:szCs w:val="16"/>
          <w:lang w:val="en-RS"/>
        </w:rPr>
        <w:t>Inquiry@Queen’s Undergraduate Research Conference Proceedings, 19</w:t>
      </w:r>
      <w:r w:rsidRPr="000D7D4B">
        <w:rPr>
          <w:rFonts w:ascii="Times New Roman" w:hAnsi="Times New Roman" w:cs="Times New Roman"/>
          <w:sz w:val="16"/>
          <w:szCs w:val="16"/>
          <w:lang w:val="en-RS"/>
        </w:rPr>
        <w:t>, xx–xx.</w:t>
      </w:r>
      <w:r>
        <w:rPr>
          <w:rFonts w:ascii="Times New Roman" w:hAnsi="Times New Roman" w:cs="Times New Roman"/>
          <w:sz w:val="16"/>
          <w:szCs w:val="16"/>
          <w:lang w:val="en-RS"/>
        </w:rPr>
        <w:t xml:space="preserve"> </w:t>
      </w:r>
      <w:hyperlink r:id="rId150" w:history="1">
        <w:r w:rsidRPr="00341C23">
          <w:rPr>
            <w:rStyle w:val="Hyperlink"/>
            <w:rFonts w:ascii="Times New Roman" w:hAnsi="Times New Roman" w:cs="Times New Roman"/>
            <w:sz w:val="16"/>
            <w:szCs w:val="16"/>
            <w:lang w:val="en-RS"/>
          </w:rPr>
          <w:t>https://doi.org/10.24908/iqurcp19033</w:t>
        </w:r>
      </w:hyperlink>
      <w:r>
        <w:rPr>
          <w:rFonts w:ascii="Times New Roman" w:hAnsi="Times New Roman" w:cs="Times New Roman"/>
          <w:sz w:val="16"/>
          <w:szCs w:val="16"/>
          <w:lang w:val="en-RS"/>
        </w:rPr>
        <w:t xml:space="preserve"> </w:t>
      </w:r>
    </w:p>
    <w:p w14:paraId="4F242D2A"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Bronfenbrenner, U. (1977). Toward an experimental ecology of human development. </w:t>
      </w:r>
      <w:r w:rsidRPr="000D7D4B">
        <w:rPr>
          <w:rFonts w:ascii="Times New Roman" w:hAnsi="Times New Roman" w:cs="Times New Roman"/>
          <w:i/>
          <w:iCs/>
          <w:sz w:val="16"/>
          <w:szCs w:val="16"/>
          <w:lang w:val="en-RS"/>
        </w:rPr>
        <w:t>American Psychologist, 32</w:t>
      </w:r>
      <w:r w:rsidRPr="000D7D4B">
        <w:rPr>
          <w:rFonts w:ascii="Times New Roman" w:hAnsi="Times New Roman" w:cs="Times New Roman"/>
          <w:sz w:val="16"/>
          <w:szCs w:val="16"/>
          <w:lang w:val="en-RS"/>
        </w:rPr>
        <w:t>(7), 513–531.</w:t>
      </w:r>
    </w:p>
    <w:p w14:paraId="39E589DC"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Bronfenbrenner, U., &amp; Ceci, S. J. (1994). Nature</w:t>
      </w:r>
      <w:r w:rsidRPr="000D7D4B">
        <w:rPr>
          <w:rFonts w:ascii="Times New Roman" w:hAnsi="Times New Roman" w:cs="Times New Roman"/>
          <w:sz w:val="16"/>
          <w:szCs w:val="16"/>
          <w:lang w:val="en-RS"/>
        </w:rPr>
        <w:noBreakHyphen/>
        <w:t>nurture reconceptualized in developmental perspective: A bioecological model. </w:t>
      </w:r>
      <w:r w:rsidRPr="000D7D4B">
        <w:rPr>
          <w:rFonts w:ascii="Times New Roman" w:hAnsi="Times New Roman" w:cs="Times New Roman"/>
          <w:i/>
          <w:iCs/>
          <w:sz w:val="16"/>
          <w:szCs w:val="16"/>
          <w:lang w:val="en-RS"/>
        </w:rPr>
        <w:t>Psychological Review, 101</w:t>
      </w:r>
      <w:r w:rsidRPr="000D7D4B">
        <w:rPr>
          <w:rFonts w:ascii="Times New Roman" w:hAnsi="Times New Roman" w:cs="Times New Roman"/>
          <w:sz w:val="16"/>
          <w:szCs w:val="16"/>
          <w:lang w:val="en-RS"/>
        </w:rPr>
        <w:t>(4), 568–586.</w:t>
      </w:r>
    </w:p>
    <w:p w14:paraId="35E6A273"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Canadian Public Health Association. (2015). </w:t>
      </w:r>
      <w:r w:rsidRPr="000D7D4B">
        <w:rPr>
          <w:rFonts w:ascii="Times New Roman" w:hAnsi="Times New Roman" w:cs="Times New Roman"/>
          <w:i/>
          <w:iCs/>
          <w:sz w:val="16"/>
          <w:szCs w:val="16"/>
          <w:lang w:val="en-RS"/>
        </w:rPr>
        <w:t>Global change and public health: Addressing the ecological determinants of health</w:t>
      </w:r>
      <w:r w:rsidRPr="000D7D4B">
        <w:rPr>
          <w:rFonts w:ascii="Times New Roman" w:hAnsi="Times New Roman" w:cs="Times New Roman"/>
          <w:sz w:val="16"/>
          <w:szCs w:val="16"/>
          <w:lang w:val="en-RS"/>
        </w:rPr>
        <w:t>. Canadian Public Health Association. Retrieved from </w:t>
      </w:r>
      <w:hyperlink r:id="rId151" w:history="1">
        <w:r w:rsidRPr="00341C23">
          <w:rPr>
            <w:rStyle w:val="Hyperlink"/>
            <w:rFonts w:ascii="Times New Roman" w:hAnsi="Times New Roman" w:cs="Times New Roman"/>
            <w:sz w:val="16"/>
            <w:szCs w:val="16"/>
            <w:lang w:val="en-RS"/>
          </w:rPr>
          <w:t>http://www.cpha.ca/uploads/policy/edh</w:t>
        </w:r>
        <w:r w:rsidRPr="00341C23">
          <w:rPr>
            <w:rStyle w:val="Hyperlink"/>
            <w:rFonts w:ascii="Times New Roman" w:hAnsi="Times New Roman" w:cs="Times New Roman"/>
            <w:sz w:val="16"/>
            <w:szCs w:val="16"/>
            <w:lang w:val="en-RS"/>
          </w:rPr>
          <w:noBreakHyphen/>
          <w:t>discussion_e.pdf</w:t>
        </w:r>
      </w:hyperlink>
      <w:r>
        <w:rPr>
          <w:rFonts w:ascii="Times New Roman" w:hAnsi="Times New Roman" w:cs="Times New Roman"/>
          <w:sz w:val="16"/>
          <w:szCs w:val="16"/>
          <w:lang w:val="en-RS"/>
        </w:rPr>
        <w:t xml:space="preserve"> </w:t>
      </w:r>
    </w:p>
    <w:p w14:paraId="6BF2F456"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Elci, O. C. (2006). Reinventing public health: Policies and practices for a healthy nation. </w:t>
      </w:r>
      <w:r w:rsidRPr="000D7D4B">
        <w:rPr>
          <w:rFonts w:ascii="Times New Roman" w:hAnsi="Times New Roman" w:cs="Times New Roman"/>
          <w:i/>
          <w:iCs/>
          <w:sz w:val="16"/>
          <w:szCs w:val="16"/>
          <w:lang w:val="en-RS"/>
        </w:rPr>
        <w:t>Journal of Public Health Management and Practice, 12</w:t>
      </w:r>
      <w:r w:rsidRPr="000D7D4B">
        <w:rPr>
          <w:rFonts w:ascii="Times New Roman" w:hAnsi="Times New Roman" w:cs="Times New Roman"/>
          <w:sz w:val="16"/>
          <w:szCs w:val="16"/>
          <w:lang w:val="en-RS"/>
        </w:rPr>
        <w:t>(4), 405–412.</w:t>
      </w:r>
    </w:p>
    <w:p w14:paraId="629469EC"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Evans, R., Barer, M., &amp; Marmor, T. (Eds.). (1994). </w:t>
      </w:r>
      <w:r w:rsidRPr="000D7D4B">
        <w:rPr>
          <w:rFonts w:ascii="Times New Roman" w:hAnsi="Times New Roman" w:cs="Times New Roman"/>
          <w:i/>
          <w:iCs/>
          <w:sz w:val="16"/>
          <w:szCs w:val="16"/>
          <w:lang w:val="en-RS"/>
        </w:rPr>
        <w:t>Why are some people healthy and others not? The determinants of the health of populations</w:t>
      </w:r>
      <w:r w:rsidRPr="000D7D4B">
        <w:rPr>
          <w:rFonts w:ascii="Times New Roman" w:hAnsi="Times New Roman" w:cs="Times New Roman"/>
          <w:sz w:val="16"/>
          <w:szCs w:val="16"/>
          <w:lang w:val="en-RS"/>
        </w:rPr>
        <w:t>. Adeline de Gruyter.</w:t>
      </w:r>
    </w:p>
    <w:p w14:paraId="72B0651D"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Ferraguti, M., Martínez</w:t>
      </w:r>
      <w:r w:rsidRPr="000D7D4B">
        <w:rPr>
          <w:rFonts w:ascii="Times New Roman" w:hAnsi="Times New Roman" w:cs="Times New Roman"/>
          <w:sz w:val="16"/>
          <w:szCs w:val="16"/>
          <w:lang w:val="en-RS"/>
        </w:rPr>
        <w:noBreakHyphen/>
        <w:t>de la Puente, J., Bensch, S., Roiz, D., Ruiz, S., &amp; Viana, D. (2018). Ecological determinants of avian malaria infections: An integrative analysis at landscape, mosquito, and vertebrate community levels. </w:t>
      </w:r>
      <w:r w:rsidRPr="000D7D4B">
        <w:rPr>
          <w:rFonts w:ascii="Times New Roman" w:hAnsi="Times New Roman" w:cs="Times New Roman"/>
          <w:i/>
          <w:iCs/>
          <w:sz w:val="16"/>
          <w:szCs w:val="16"/>
          <w:lang w:val="en-RS"/>
        </w:rPr>
        <w:t>Journal of Animal Ecology, 87</w:t>
      </w:r>
      <w:r w:rsidRPr="000D7D4B">
        <w:rPr>
          <w:rFonts w:ascii="Times New Roman" w:hAnsi="Times New Roman" w:cs="Times New Roman"/>
          <w:sz w:val="16"/>
          <w:szCs w:val="16"/>
          <w:lang w:val="en-RS"/>
        </w:rPr>
        <w:t>(3), 727–740. </w:t>
      </w:r>
      <w:hyperlink r:id="rId152" w:history="1">
        <w:r w:rsidRPr="00341C23">
          <w:rPr>
            <w:rStyle w:val="Hyperlink"/>
            <w:rFonts w:ascii="Times New Roman" w:hAnsi="Times New Roman" w:cs="Times New Roman"/>
            <w:sz w:val="16"/>
            <w:szCs w:val="16"/>
            <w:lang w:val="en-RS"/>
          </w:rPr>
          <w:t>https://doi.org/10.1111/1365</w:t>
        </w:r>
        <w:r w:rsidRPr="00341C23">
          <w:rPr>
            <w:rStyle w:val="Hyperlink"/>
            <w:rFonts w:ascii="Times New Roman" w:hAnsi="Times New Roman" w:cs="Times New Roman"/>
            <w:sz w:val="16"/>
            <w:szCs w:val="16"/>
            <w:lang w:val="en-RS"/>
          </w:rPr>
          <w:noBreakHyphen/>
          <w:t>2656.12805</w:t>
        </w:r>
      </w:hyperlink>
      <w:r>
        <w:rPr>
          <w:rFonts w:ascii="Times New Roman" w:hAnsi="Times New Roman" w:cs="Times New Roman"/>
          <w:sz w:val="16"/>
          <w:szCs w:val="16"/>
          <w:lang w:val="en-RS"/>
        </w:rPr>
        <w:t xml:space="preserve"> </w:t>
      </w:r>
    </w:p>
    <w:p w14:paraId="7423F654"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lastRenderedPageBreak/>
        <w:t>Friis, R. H. (2012). </w:t>
      </w:r>
      <w:r w:rsidRPr="000D7D4B">
        <w:rPr>
          <w:rFonts w:ascii="Times New Roman" w:hAnsi="Times New Roman" w:cs="Times New Roman"/>
          <w:i/>
          <w:iCs/>
          <w:sz w:val="16"/>
          <w:szCs w:val="16"/>
          <w:lang w:val="en-RS"/>
        </w:rPr>
        <w:t>Essentials of environmental health</w:t>
      </w:r>
      <w:r w:rsidRPr="000D7D4B">
        <w:rPr>
          <w:rFonts w:ascii="Times New Roman" w:hAnsi="Times New Roman" w:cs="Times New Roman"/>
          <w:sz w:val="16"/>
          <w:szCs w:val="16"/>
          <w:lang w:val="en-RS"/>
        </w:rPr>
        <w:t> (2nd ed.). Jones &amp; Bartlett Learning.</w:t>
      </w:r>
    </w:p>
    <w:p w14:paraId="22ADEAD4"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Glanz, K., Rimer, B. K., &amp; Viswanath, K. (Eds.). (2024). </w:t>
      </w:r>
      <w:r w:rsidRPr="000D7D4B">
        <w:rPr>
          <w:rFonts w:ascii="Times New Roman" w:hAnsi="Times New Roman" w:cs="Times New Roman"/>
          <w:i/>
          <w:iCs/>
          <w:sz w:val="16"/>
          <w:szCs w:val="16"/>
          <w:lang w:val="en-RS"/>
        </w:rPr>
        <w:t>Health behavior: Theory, research, and practice</w:t>
      </w:r>
      <w:r w:rsidRPr="000D7D4B">
        <w:rPr>
          <w:rFonts w:ascii="Times New Roman" w:hAnsi="Times New Roman" w:cs="Times New Roman"/>
          <w:sz w:val="16"/>
          <w:szCs w:val="16"/>
          <w:lang w:val="en-RS"/>
        </w:rPr>
        <w:t> (6th ed.). John Wiley &amp; Sons.</w:t>
      </w:r>
    </w:p>
    <w:p w14:paraId="051699AA"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Greenwood, M., De Leeuw, S., &amp; Lindsay, N. M. (Eds.). (2018). </w:t>
      </w:r>
      <w:r w:rsidRPr="000D7D4B">
        <w:rPr>
          <w:rFonts w:ascii="Times New Roman" w:hAnsi="Times New Roman" w:cs="Times New Roman"/>
          <w:i/>
          <w:iCs/>
          <w:sz w:val="16"/>
          <w:szCs w:val="16"/>
          <w:lang w:val="en-RS"/>
        </w:rPr>
        <w:t>Determinants of Indigenous peoples’ health: Beyond the social</w:t>
      </w:r>
      <w:r w:rsidRPr="000D7D4B">
        <w:rPr>
          <w:rFonts w:ascii="Times New Roman" w:hAnsi="Times New Roman" w:cs="Times New Roman"/>
          <w:sz w:val="16"/>
          <w:szCs w:val="16"/>
          <w:lang w:val="en-RS"/>
        </w:rPr>
        <w:t> (2nd ed.). Canadian Scholars Press.</w:t>
      </w:r>
    </w:p>
    <w:p w14:paraId="4F11CFA5"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Haines, A., Alleyne, G., Kickbusch, I., &amp; Dora, C. (2012). From the Earth Summit to Rio+20: Integration of health and sustainable development. </w:t>
      </w:r>
      <w:r w:rsidRPr="000D7D4B">
        <w:rPr>
          <w:rFonts w:ascii="Times New Roman" w:hAnsi="Times New Roman" w:cs="Times New Roman"/>
          <w:i/>
          <w:iCs/>
          <w:sz w:val="16"/>
          <w:szCs w:val="16"/>
          <w:lang w:val="en-RS"/>
        </w:rPr>
        <w:t>The Lancet, 379</w:t>
      </w:r>
      <w:r w:rsidRPr="000D7D4B">
        <w:rPr>
          <w:rFonts w:ascii="Times New Roman" w:hAnsi="Times New Roman" w:cs="Times New Roman"/>
          <w:sz w:val="16"/>
          <w:szCs w:val="16"/>
          <w:lang w:val="en-RS"/>
        </w:rPr>
        <w:t>(9822), 2189–2197.</w:t>
      </w:r>
    </w:p>
    <w:p w14:paraId="7957D251"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Hancock, T., Spady, D. W., &amp; Soskolne, C. L. (Eds.). (2015). </w:t>
      </w:r>
      <w:r w:rsidRPr="000D7D4B">
        <w:rPr>
          <w:rFonts w:ascii="Times New Roman" w:hAnsi="Times New Roman" w:cs="Times New Roman"/>
          <w:i/>
          <w:iCs/>
          <w:sz w:val="16"/>
          <w:szCs w:val="16"/>
          <w:lang w:val="en-RS"/>
        </w:rPr>
        <w:t>Global change and public health: Addressing the ecological determinants of health: The report in brief</w:t>
      </w:r>
      <w:r w:rsidRPr="000D7D4B">
        <w:rPr>
          <w:rFonts w:ascii="Times New Roman" w:hAnsi="Times New Roman" w:cs="Times New Roman"/>
          <w:sz w:val="16"/>
          <w:szCs w:val="16"/>
          <w:lang w:val="en-RS"/>
        </w:rPr>
        <w:t>. Canadian Public Health Association.</w:t>
      </w:r>
    </w:p>
    <w:p w14:paraId="392C646A"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Iyamu, I., McKee, G., Haag, D., &amp; Gilbert, M. (2024). Defining the role of digital public health in the evolving digital health landscape: Policy and practice implications in Canada. </w:t>
      </w:r>
      <w:r w:rsidRPr="000D7D4B">
        <w:rPr>
          <w:rFonts w:ascii="Times New Roman" w:hAnsi="Times New Roman" w:cs="Times New Roman"/>
          <w:i/>
          <w:iCs/>
          <w:sz w:val="16"/>
          <w:szCs w:val="16"/>
          <w:lang w:val="en-RS"/>
        </w:rPr>
        <w:t>Health Promotion and Chronic Disease Prevention in Canada, 44</w:t>
      </w:r>
      <w:r w:rsidRPr="000D7D4B">
        <w:rPr>
          <w:rFonts w:ascii="Times New Roman" w:hAnsi="Times New Roman" w:cs="Times New Roman"/>
          <w:sz w:val="16"/>
          <w:szCs w:val="16"/>
          <w:lang w:val="en-RS"/>
        </w:rPr>
        <w:t>(2), 66–69. </w:t>
      </w:r>
      <w:hyperlink r:id="rId153" w:tgtFrame="_new" w:history="1">
        <w:r w:rsidRPr="000D7D4B">
          <w:rPr>
            <w:rStyle w:val="Hyperlink"/>
            <w:rFonts w:ascii="Times New Roman" w:hAnsi="Times New Roman" w:cs="Times New Roman"/>
            <w:sz w:val="16"/>
            <w:szCs w:val="16"/>
            <w:lang w:val="en-RS"/>
          </w:rPr>
          <w:t>https://doi.org/10.24095/hpcdp.44.2.04</w:t>
        </w:r>
      </w:hyperlink>
    </w:p>
    <w:p w14:paraId="7714FB10"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Jackson, S. (2015). What does global health promotion look like? </w:t>
      </w:r>
      <w:r w:rsidRPr="000D7D4B">
        <w:rPr>
          <w:rFonts w:ascii="Times New Roman" w:hAnsi="Times New Roman" w:cs="Times New Roman"/>
          <w:i/>
          <w:iCs/>
          <w:sz w:val="16"/>
          <w:szCs w:val="16"/>
          <w:lang w:val="en-RS"/>
        </w:rPr>
        <w:t>Global Health Promotion, 22</w:t>
      </w:r>
      <w:r w:rsidRPr="000D7D4B">
        <w:rPr>
          <w:rFonts w:ascii="Times New Roman" w:hAnsi="Times New Roman" w:cs="Times New Roman"/>
          <w:sz w:val="16"/>
          <w:szCs w:val="16"/>
          <w:lang w:val="en-RS"/>
        </w:rPr>
        <w:t>(3), 3–10.</w:t>
      </w:r>
      <w:r>
        <w:rPr>
          <w:rFonts w:ascii="Times New Roman" w:hAnsi="Times New Roman" w:cs="Times New Roman"/>
          <w:sz w:val="16"/>
          <w:szCs w:val="16"/>
          <w:lang w:val="en-RS"/>
        </w:rPr>
        <w:t xml:space="preserve"> </w:t>
      </w:r>
      <w:hyperlink r:id="rId154" w:history="1">
        <w:r w:rsidRPr="00341C23">
          <w:rPr>
            <w:rStyle w:val="Hyperlink"/>
            <w:rFonts w:ascii="Times New Roman" w:hAnsi="Times New Roman" w:cs="Times New Roman"/>
            <w:sz w:val="16"/>
            <w:szCs w:val="16"/>
            <w:lang w:val="en-RS"/>
          </w:rPr>
          <w:t>https://doi.org/10.1177/1757975915598503</w:t>
        </w:r>
      </w:hyperlink>
      <w:r>
        <w:rPr>
          <w:rFonts w:ascii="Times New Roman" w:hAnsi="Times New Roman" w:cs="Times New Roman"/>
          <w:sz w:val="16"/>
          <w:szCs w:val="16"/>
          <w:lang w:val="en-RS"/>
        </w:rPr>
        <w:t xml:space="preserve"> </w:t>
      </w:r>
    </w:p>
    <w:p w14:paraId="7AF09CBB"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Labonte, R. (1995). Population health and health promotion: What do they have to say to each other? </w:t>
      </w:r>
      <w:r w:rsidRPr="000D7D4B">
        <w:rPr>
          <w:rFonts w:ascii="Times New Roman" w:hAnsi="Times New Roman" w:cs="Times New Roman"/>
          <w:i/>
          <w:iCs/>
          <w:sz w:val="16"/>
          <w:szCs w:val="16"/>
          <w:lang w:val="en-RS"/>
        </w:rPr>
        <w:t>Canadian Journal of Public Health, 86</w:t>
      </w:r>
      <w:r w:rsidRPr="000D7D4B">
        <w:rPr>
          <w:rFonts w:ascii="Times New Roman" w:hAnsi="Times New Roman" w:cs="Times New Roman"/>
          <w:sz w:val="16"/>
          <w:szCs w:val="16"/>
          <w:lang w:val="en-RS"/>
        </w:rPr>
        <w:t>(3), 165–168.</w:t>
      </w:r>
    </w:p>
    <w:p w14:paraId="7BB99ECD"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Labonte, R. (2024). Population health and health promotion: What do they say to each other? </w:t>
      </w:r>
      <w:r w:rsidRPr="000D7D4B">
        <w:rPr>
          <w:rFonts w:ascii="Times New Roman" w:hAnsi="Times New Roman" w:cs="Times New Roman"/>
          <w:i/>
          <w:iCs/>
          <w:sz w:val="16"/>
          <w:szCs w:val="16"/>
          <w:lang w:val="en-RS"/>
        </w:rPr>
        <w:t>Canadian Journal of Public Health, 115</w:t>
      </w:r>
      <w:r w:rsidRPr="000D7D4B">
        <w:rPr>
          <w:rFonts w:ascii="Times New Roman" w:hAnsi="Times New Roman" w:cs="Times New Roman"/>
          <w:sz w:val="16"/>
          <w:szCs w:val="16"/>
          <w:lang w:val="en-RS"/>
        </w:rPr>
        <w:t>(5), 735–738. </w:t>
      </w:r>
      <w:hyperlink r:id="rId155" w:history="1">
        <w:r w:rsidRPr="00341C23">
          <w:rPr>
            <w:rStyle w:val="Hyperlink"/>
            <w:rFonts w:ascii="Times New Roman" w:hAnsi="Times New Roman" w:cs="Times New Roman"/>
            <w:sz w:val="16"/>
            <w:szCs w:val="16"/>
            <w:lang w:val="en-RS"/>
          </w:rPr>
          <w:t>https://doi.org/10.17269/s41997</w:t>
        </w:r>
        <w:r w:rsidRPr="00341C23">
          <w:rPr>
            <w:rStyle w:val="Hyperlink"/>
            <w:rFonts w:ascii="Times New Roman" w:hAnsi="Times New Roman" w:cs="Times New Roman"/>
            <w:sz w:val="16"/>
            <w:szCs w:val="16"/>
            <w:lang w:val="en-RS"/>
          </w:rPr>
          <w:noBreakHyphen/>
          <w:t>024</w:t>
        </w:r>
        <w:r w:rsidRPr="00341C23">
          <w:rPr>
            <w:rStyle w:val="Hyperlink"/>
            <w:rFonts w:ascii="Times New Roman" w:hAnsi="Times New Roman" w:cs="Times New Roman"/>
            <w:sz w:val="16"/>
            <w:szCs w:val="16"/>
            <w:lang w:val="en-RS"/>
          </w:rPr>
          <w:noBreakHyphen/>
          <w:t>00926</w:t>
        </w:r>
        <w:r w:rsidRPr="00341C23">
          <w:rPr>
            <w:rStyle w:val="Hyperlink"/>
            <w:rFonts w:ascii="Times New Roman" w:hAnsi="Times New Roman" w:cs="Times New Roman"/>
            <w:sz w:val="16"/>
            <w:szCs w:val="16"/>
            <w:lang w:val="en-RS"/>
          </w:rPr>
          <w:noBreakHyphen/>
          <w:t>1</w:t>
        </w:r>
      </w:hyperlink>
      <w:r>
        <w:rPr>
          <w:rFonts w:ascii="Times New Roman" w:hAnsi="Times New Roman" w:cs="Times New Roman"/>
          <w:sz w:val="16"/>
          <w:szCs w:val="16"/>
          <w:lang w:val="en-RS"/>
        </w:rPr>
        <w:t xml:space="preserve"> </w:t>
      </w:r>
    </w:p>
    <w:p w14:paraId="1B0E1BD5"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Lang, T., &amp; Rayner, G. (2012). Ecological public health: The 21st century’s big idea? </w:t>
      </w:r>
      <w:r w:rsidRPr="000D7D4B">
        <w:rPr>
          <w:rFonts w:ascii="Times New Roman" w:hAnsi="Times New Roman" w:cs="Times New Roman"/>
          <w:i/>
          <w:iCs/>
          <w:sz w:val="16"/>
          <w:szCs w:val="16"/>
          <w:lang w:val="en-RS"/>
        </w:rPr>
        <w:t>BMJ, 345</w:t>
      </w:r>
      <w:r w:rsidRPr="000D7D4B">
        <w:rPr>
          <w:rFonts w:ascii="Times New Roman" w:hAnsi="Times New Roman" w:cs="Times New Roman"/>
          <w:sz w:val="16"/>
          <w:szCs w:val="16"/>
          <w:lang w:val="en-RS"/>
        </w:rPr>
        <w:t>, e5466.</w:t>
      </w:r>
      <w:r>
        <w:rPr>
          <w:rFonts w:ascii="Times New Roman" w:hAnsi="Times New Roman" w:cs="Times New Roman"/>
          <w:sz w:val="16"/>
          <w:szCs w:val="16"/>
          <w:lang w:val="en-RS"/>
        </w:rPr>
        <w:t xml:space="preserve"> </w:t>
      </w:r>
      <w:hyperlink r:id="rId156" w:history="1">
        <w:r w:rsidRPr="00341C23">
          <w:rPr>
            <w:rStyle w:val="Hyperlink"/>
            <w:rFonts w:ascii="Times New Roman" w:hAnsi="Times New Roman" w:cs="Times New Roman"/>
            <w:sz w:val="16"/>
            <w:szCs w:val="16"/>
            <w:lang w:val="en-RS"/>
          </w:rPr>
          <w:t>https://doi.org/10.1136/bmj.e5466</w:t>
        </w:r>
      </w:hyperlink>
      <w:r>
        <w:rPr>
          <w:rFonts w:ascii="Times New Roman" w:hAnsi="Times New Roman" w:cs="Times New Roman"/>
          <w:sz w:val="16"/>
          <w:szCs w:val="16"/>
          <w:lang w:val="en-RS"/>
        </w:rPr>
        <w:t xml:space="preserve"> </w:t>
      </w:r>
    </w:p>
    <w:p w14:paraId="074E6983"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Lang, T., &amp; Rayner, G. (2015). Beyond the golden era of public health: Charting a path from sanitarianism to ecological public health. </w:t>
      </w:r>
      <w:r w:rsidRPr="000D7D4B">
        <w:rPr>
          <w:rFonts w:ascii="Times New Roman" w:hAnsi="Times New Roman" w:cs="Times New Roman"/>
          <w:i/>
          <w:iCs/>
          <w:sz w:val="16"/>
          <w:szCs w:val="16"/>
          <w:lang w:val="en-RS"/>
        </w:rPr>
        <w:t>Public Health, 129</w:t>
      </w:r>
      <w:r w:rsidRPr="000D7D4B">
        <w:rPr>
          <w:rFonts w:ascii="Times New Roman" w:hAnsi="Times New Roman" w:cs="Times New Roman"/>
          <w:sz w:val="16"/>
          <w:szCs w:val="16"/>
          <w:lang w:val="en-RS"/>
        </w:rPr>
        <w:t>, 1369–1382.</w:t>
      </w:r>
    </w:p>
    <w:p w14:paraId="663283BB"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Leffler, T., Hoffmann, R., &amp; Patz, J. A. (2022, December). Ecological determinants of health: Investigating the spatial</w:t>
      </w:r>
      <w:r w:rsidRPr="000D7D4B">
        <w:rPr>
          <w:rFonts w:ascii="Times New Roman" w:hAnsi="Times New Roman" w:cs="Times New Roman"/>
          <w:sz w:val="16"/>
          <w:szCs w:val="16"/>
          <w:lang w:val="en-RS"/>
        </w:rPr>
        <w:noBreakHyphen/>
        <w:t>temporal associations between forest cover change, malaria, and other health indicators in Senegal, Kenya, and Tanzania. In </w:t>
      </w:r>
      <w:r w:rsidRPr="00DA3B5C">
        <w:rPr>
          <w:rFonts w:ascii="Times New Roman" w:hAnsi="Times New Roman" w:cs="Times New Roman"/>
          <w:sz w:val="16"/>
          <w:szCs w:val="16"/>
          <w:lang w:val="en-RS"/>
        </w:rPr>
        <w:t>AGU Fall Meeting Abstracts (Abstract GH25D</w:t>
      </w:r>
      <w:r w:rsidRPr="00DA3B5C">
        <w:rPr>
          <w:rFonts w:ascii="Times New Roman" w:hAnsi="Times New Roman" w:cs="Times New Roman"/>
          <w:sz w:val="16"/>
          <w:szCs w:val="16"/>
          <w:lang w:val="en-RS"/>
        </w:rPr>
        <w:noBreakHyphen/>
        <w:t xml:space="preserve">0621L). American Geophysical Union.  </w:t>
      </w:r>
    </w:p>
    <w:p w14:paraId="3AF47F2A"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Li, S., Tao, H., &amp; Xu, Y. (2013). Abiotic determinants to the spatial dynamics of dengue fever in Guangzhou. </w:t>
      </w:r>
      <w:r w:rsidRPr="000D7D4B">
        <w:rPr>
          <w:rFonts w:ascii="Times New Roman" w:hAnsi="Times New Roman" w:cs="Times New Roman"/>
          <w:i/>
          <w:iCs/>
          <w:sz w:val="16"/>
          <w:szCs w:val="16"/>
          <w:lang w:val="en-RS"/>
        </w:rPr>
        <w:t>Asia</w:t>
      </w:r>
      <w:r w:rsidRPr="000D7D4B">
        <w:rPr>
          <w:rFonts w:ascii="Times New Roman" w:hAnsi="Times New Roman" w:cs="Times New Roman"/>
          <w:i/>
          <w:iCs/>
          <w:sz w:val="16"/>
          <w:szCs w:val="16"/>
          <w:lang w:val="en-RS"/>
        </w:rPr>
        <w:noBreakHyphen/>
        <w:t>Pacific Journal of Public Health, 25</w:t>
      </w:r>
      <w:r w:rsidRPr="000D7D4B">
        <w:rPr>
          <w:rFonts w:ascii="Times New Roman" w:hAnsi="Times New Roman" w:cs="Times New Roman"/>
          <w:sz w:val="16"/>
          <w:szCs w:val="16"/>
          <w:lang w:val="en-RS"/>
        </w:rPr>
        <w:t>(3), 239–247. </w:t>
      </w:r>
      <w:hyperlink r:id="rId157" w:tgtFrame="_new" w:history="1">
        <w:r w:rsidRPr="000D7D4B">
          <w:rPr>
            <w:rStyle w:val="Hyperlink"/>
            <w:rFonts w:ascii="Times New Roman" w:hAnsi="Times New Roman" w:cs="Times New Roman"/>
            <w:sz w:val="16"/>
            <w:szCs w:val="16"/>
            <w:lang w:val="en-RS"/>
          </w:rPr>
          <w:t>https://doi.org/10.1177/1010539511418819</w:t>
        </w:r>
      </w:hyperlink>
    </w:p>
    <w:p w14:paraId="50BF4D1E"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Marsh, P. D. (1994). Microbial ecology of dental plaque and its significance in health and disease. </w:t>
      </w:r>
      <w:r w:rsidRPr="000D7D4B">
        <w:rPr>
          <w:rFonts w:ascii="Times New Roman" w:hAnsi="Times New Roman" w:cs="Times New Roman"/>
          <w:i/>
          <w:iCs/>
          <w:sz w:val="16"/>
          <w:szCs w:val="16"/>
          <w:lang w:val="en-RS"/>
        </w:rPr>
        <w:t>Advances in Dental Research, 8</w:t>
      </w:r>
      <w:r w:rsidRPr="000D7D4B">
        <w:rPr>
          <w:rFonts w:ascii="Times New Roman" w:hAnsi="Times New Roman" w:cs="Times New Roman"/>
          <w:sz w:val="16"/>
          <w:szCs w:val="16"/>
          <w:lang w:val="en-RS"/>
        </w:rPr>
        <w:t>(2), 263–271.</w:t>
      </w:r>
    </w:p>
    <w:p w14:paraId="55FE5017"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McLaren, L. (2023). What we need is a political</w:t>
      </w:r>
      <w:r w:rsidRPr="000D7D4B">
        <w:rPr>
          <w:rFonts w:ascii="Times New Roman" w:hAnsi="Times New Roman" w:cs="Times New Roman"/>
          <w:sz w:val="16"/>
          <w:szCs w:val="16"/>
          <w:lang w:val="en-RS"/>
        </w:rPr>
        <w:noBreakHyphen/>
        <w:t>economic public health. </w:t>
      </w:r>
      <w:r w:rsidRPr="000D7D4B">
        <w:rPr>
          <w:rFonts w:ascii="Times New Roman" w:hAnsi="Times New Roman" w:cs="Times New Roman"/>
          <w:i/>
          <w:iCs/>
          <w:sz w:val="16"/>
          <w:szCs w:val="16"/>
          <w:lang w:val="en-RS"/>
        </w:rPr>
        <w:t>Health Promotion and Chronic Disease Prevention in Canada, 43</w:t>
      </w:r>
      <w:r w:rsidRPr="000D7D4B">
        <w:rPr>
          <w:rFonts w:ascii="Times New Roman" w:hAnsi="Times New Roman" w:cs="Times New Roman"/>
          <w:sz w:val="16"/>
          <w:szCs w:val="16"/>
          <w:lang w:val="en-RS"/>
        </w:rPr>
        <w:t>(4), 199. </w:t>
      </w:r>
      <w:hyperlink r:id="rId158" w:history="1">
        <w:r w:rsidRPr="00341C23">
          <w:rPr>
            <w:rStyle w:val="Hyperlink"/>
            <w:rFonts w:ascii="Times New Roman" w:hAnsi="Times New Roman" w:cs="Times New Roman"/>
            <w:sz w:val="16"/>
            <w:szCs w:val="16"/>
            <w:lang w:val="en-RS"/>
          </w:rPr>
          <w:t>https://doi.org/10.24095/hpcdp.43.4.05</w:t>
        </w:r>
      </w:hyperlink>
      <w:r>
        <w:rPr>
          <w:rFonts w:ascii="Times New Roman" w:hAnsi="Times New Roman" w:cs="Times New Roman"/>
          <w:sz w:val="16"/>
          <w:szCs w:val="16"/>
          <w:lang w:val="en-RS"/>
        </w:rPr>
        <w:t xml:space="preserve"> </w:t>
      </w:r>
    </w:p>
    <w:p w14:paraId="1853542E"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McLeroy, K. R., Bibeau, D., Steckler, A., &amp; Glanz, K. (1988). An ecological perspective on health promotion programs. </w:t>
      </w:r>
      <w:r w:rsidRPr="000D7D4B">
        <w:rPr>
          <w:rFonts w:ascii="Times New Roman" w:hAnsi="Times New Roman" w:cs="Times New Roman"/>
          <w:i/>
          <w:iCs/>
          <w:sz w:val="16"/>
          <w:szCs w:val="16"/>
          <w:lang w:val="en-RS"/>
        </w:rPr>
        <w:t>Health Education &amp; Behavior, 15</w:t>
      </w:r>
      <w:r w:rsidRPr="000D7D4B">
        <w:rPr>
          <w:rFonts w:ascii="Times New Roman" w:hAnsi="Times New Roman" w:cs="Times New Roman"/>
          <w:sz w:val="16"/>
          <w:szCs w:val="16"/>
          <w:lang w:val="en-RS"/>
        </w:rPr>
        <w:t>(4), 351–377.</w:t>
      </w:r>
    </w:p>
    <w:p w14:paraId="4FD129AC"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Mushinzimana, E. (2006). Landscape determinants and remote sensing of anopheline mosquito larval habitats in the western Kenya highlands. </w:t>
      </w:r>
      <w:r w:rsidRPr="000D7D4B">
        <w:rPr>
          <w:rFonts w:ascii="Times New Roman" w:hAnsi="Times New Roman" w:cs="Times New Roman"/>
          <w:i/>
          <w:iCs/>
          <w:sz w:val="16"/>
          <w:szCs w:val="16"/>
          <w:lang w:val="en-RS"/>
        </w:rPr>
        <w:t>Malaria Journal, 5</w:t>
      </w:r>
      <w:r w:rsidRPr="000D7D4B">
        <w:rPr>
          <w:rFonts w:ascii="Times New Roman" w:hAnsi="Times New Roman" w:cs="Times New Roman"/>
          <w:sz w:val="16"/>
          <w:szCs w:val="16"/>
          <w:lang w:val="en-RS"/>
        </w:rPr>
        <w:t>, 13.</w:t>
      </w:r>
    </w:p>
    <w:p w14:paraId="263897D5"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Nakagawa, J., Ehrenberg, J. P., Nealon, J., Fürst, T., Aratchige, P., &amp; Gonzales, G. (2015). Towards effective prevention and control of helminth neglected tropical diseases in the Western Pacific Region through multi</w:t>
      </w:r>
      <w:r w:rsidRPr="000D7D4B">
        <w:rPr>
          <w:rFonts w:ascii="Times New Roman" w:hAnsi="Times New Roman" w:cs="Times New Roman"/>
          <w:sz w:val="16"/>
          <w:szCs w:val="16"/>
          <w:lang w:val="en-RS"/>
        </w:rPr>
        <w:noBreakHyphen/>
        <w:t>disease and multi</w:t>
      </w:r>
      <w:r w:rsidRPr="000D7D4B">
        <w:rPr>
          <w:rFonts w:ascii="Times New Roman" w:hAnsi="Times New Roman" w:cs="Times New Roman"/>
          <w:sz w:val="16"/>
          <w:szCs w:val="16"/>
          <w:lang w:val="en-RS"/>
        </w:rPr>
        <w:noBreakHyphen/>
        <w:t>sectoral interventions. </w:t>
      </w:r>
      <w:r w:rsidRPr="000D7D4B">
        <w:rPr>
          <w:rFonts w:ascii="Times New Roman" w:hAnsi="Times New Roman" w:cs="Times New Roman"/>
          <w:i/>
          <w:iCs/>
          <w:sz w:val="16"/>
          <w:szCs w:val="16"/>
          <w:lang w:val="en-RS"/>
        </w:rPr>
        <w:t>Acta Tropica, 141</w:t>
      </w:r>
      <w:r w:rsidRPr="000D7D4B">
        <w:rPr>
          <w:rFonts w:ascii="Times New Roman" w:hAnsi="Times New Roman" w:cs="Times New Roman"/>
          <w:sz w:val="16"/>
          <w:szCs w:val="16"/>
          <w:lang w:val="en-RS"/>
        </w:rPr>
        <w:t>, 407–418. </w:t>
      </w:r>
      <w:hyperlink r:id="rId159" w:tgtFrame="_new" w:history="1">
        <w:r w:rsidRPr="000D7D4B">
          <w:rPr>
            <w:rStyle w:val="Hyperlink"/>
            <w:rFonts w:ascii="Times New Roman" w:hAnsi="Times New Roman" w:cs="Times New Roman"/>
            <w:sz w:val="16"/>
            <w:szCs w:val="16"/>
            <w:lang w:val="en-RS"/>
          </w:rPr>
          <w:t>https://doi.org/10.1016/j.actatropica.2013.05.010</w:t>
        </w:r>
      </w:hyperlink>
    </w:p>
    <w:p w14:paraId="642592E1"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Parkes, M. W. (2016). Cumulative determinants of health impacts in rural, remote, and resource</w:t>
      </w:r>
      <w:r w:rsidRPr="000D7D4B">
        <w:rPr>
          <w:rFonts w:ascii="Times New Roman" w:hAnsi="Times New Roman" w:cs="Times New Roman"/>
          <w:sz w:val="16"/>
          <w:szCs w:val="16"/>
          <w:lang w:val="en-RS"/>
        </w:rPr>
        <w:noBreakHyphen/>
        <w:t>dependent communities. In M. Gillingham, G. Halseth, C. Johnson, &amp; M. Parkes (Eds.), </w:t>
      </w:r>
      <w:r w:rsidRPr="000D7D4B">
        <w:rPr>
          <w:rFonts w:ascii="Times New Roman" w:hAnsi="Times New Roman" w:cs="Times New Roman"/>
          <w:i/>
          <w:iCs/>
          <w:sz w:val="16"/>
          <w:szCs w:val="16"/>
          <w:lang w:val="en-RS"/>
        </w:rPr>
        <w:t>The Integration Imperative</w:t>
      </w:r>
      <w:r w:rsidRPr="000D7D4B">
        <w:rPr>
          <w:rFonts w:ascii="Times New Roman" w:hAnsi="Times New Roman" w:cs="Times New Roman"/>
          <w:sz w:val="16"/>
          <w:szCs w:val="16"/>
          <w:lang w:val="en-RS"/>
        </w:rPr>
        <w:t> (pp. 91–112). Springer.</w:t>
      </w:r>
      <w:r>
        <w:rPr>
          <w:rFonts w:ascii="Times New Roman" w:hAnsi="Times New Roman" w:cs="Times New Roman"/>
          <w:sz w:val="16"/>
          <w:szCs w:val="16"/>
          <w:lang w:val="en-RS"/>
        </w:rPr>
        <w:t xml:space="preserve"> </w:t>
      </w:r>
      <w:hyperlink r:id="rId160" w:history="1">
        <w:r w:rsidRPr="00341C23">
          <w:rPr>
            <w:rStyle w:val="Hyperlink"/>
            <w:rFonts w:ascii="Times New Roman" w:hAnsi="Times New Roman" w:cs="Times New Roman"/>
            <w:sz w:val="16"/>
            <w:szCs w:val="16"/>
            <w:lang w:val="en-RS"/>
          </w:rPr>
          <w:t>https://doi.org/10.1007/978</w:t>
        </w:r>
        <w:r w:rsidRPr="00341C23">
          <w:rPr>
            <w:rStyle w:val="Hyperlink"/>
            <w:rFonts w:ascii="Times New Roman" w:hAnsi="Times New Roman" w:cs="Times New Roman"/>
            <w:sz w:val="16"/>
            <w:szCs w:val="16"/>
            <w:lang w:val="en-RS"/>
          </w:rPr>
          <w:noBreakHyphen/>
          <w:t>3</w:t>
        </w:r>
        <w:r w:rsidRPr="00341C23">
          <w:rPr>
            <w:rStyle w:val="Hyperlink"/>
            <w:rFonts w:ascii="Times New Roman" w:hAnsi="Times New Roman" w:cs="Times New Roman"/>
            <w:sz w:val="16"/>
            <w:szCs w:val="16"/>
            <w:lang w:val="en-RS"/>
          </w:rPr>
          <w:noBreakHyphen/>
          <w:t>319</w:t>
        </w:r>
        <w:r w:rsidRPr="00341C23">
          <w:rPr>
            <w:rStyle w:val="Hyperlink"/>
            <w:rFonts w:ascii="Times New Roman" w:hAnsi="Times New Roman" w:cs="Times New Roman"/>
            <w:sz w:val="16"/>
            <w:szCs w:val="16"/>
            <w:lang w:val="en-RS"/>
          </w:rPr>
          <w:noBreakHyphen/>
          <w:t>22123</w:t>
        </w:r>
        <w:r w:rsidRPr="00341C23">
          <w:rPr>
            <w:rStyle w:val="Hyperlink"/>
            <w:rFonts w:ascii="Times New Roman" w:hAnsi="Times New Roman" w:cs="Times New Roman"/>
            <w:sz w:val="16"/>
            <w:szCs w:val="16"/>
            <w:lang w:val="en-RS"/>
          </w:rPr>
          <w:noBreakHyphen/>
          <w:t>6_5</w:t>
        </w:r>
      </w:hyperlink>
      <w:r>
        <w:rPr>
          <w:rFonts w:ascii="Times New Roman" w:hAnsi="Times New Roman" w:cs="Times New Roman"/>
          <w:sz w:val="16"/>
          <w:szCs w:val="16"/>
          <w:lang w:val="en-RS"/>
        </w:rPr>
        <w:t xml:space="preserve"> </w:t>
      </w:r>
    </w:p>
    <w:p w14:paraId="1080AD0A"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Parkes, M. W., &amp; Horwitz, P. (2016). Ecology and ecosystems as foundational for health. In H. Frumkin (Ed.), </w:t>
      </w:r>
      <w:r w:rsidRPr="000D7D4B">
        <w:rPr>
          <w:rFonts w:ascii="Times New Roman" w:hAnsi="Times New Roman" w:cs="Times New Roman"/>
          <w:i/>
          <w:iCs/>
          <w:sz w:val="16"/>
          <w:szCs w:val="16"/>
          <w:lang w:val="en-RS"/>
        </w:rPr>
        <w:t>Environmental Health: From Global to Local</w:t>
      </w:r>
      <w:r w:rsidRPr="000D7D4B">
        <w:rPr>
          <w:rFonts w:ascii="Times New Roman" w:hAnsi="Times New Roman" w:cs="Times New Roman"/>
          <w:sz w:val="16"/>
          <w:szCs w:val="16"/>
          <w:lang w:val="en-RS"/>
        </w:rPr>
        <w:t> (3rd ed., pp. 27–58). Jossey</w:t>
      </w:r>
      <w:r w:rsidRPr="000D7D4B">
        <w:rPr>
          <w:rFonts w:ascii="Times New Roman" w:hAnsi="Times New Roman" w:cs="Times New Roman"/>
          <w:sz w:val="16"/>
          <w:szCs w:val="16"/>
          <w:lang w:val="en-RS"/>
        </w:rPr>
        <w:noBreakHyphen/>
        <w:t>Bass.</w:t>
      </w:r>
    </w:p>
    <w:p w14:paraId="337B104E"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 xml:space="preserve">Parkes, M. W., Poland, B., Allison, S., Cole, D., Culbert, I., de Leeuw, S., </w:t>
      </w:r>
      <w:r>
        <w:rPr>
          <w:rFonts w:ascii="Times New Roman" w:hAnsi="Times New Roman" w:cs="Times New Roman"/>
          <w:sz w:val="16"/>
          <w:szCs w:val="16"/>
          <w:lang w:val="en-RS"/>
        </w:rPr>
        <w:t>et al.</w:t>
      </w:r>
      <w:r w:rsidRPr="000D7D4B">
        <w:rPr>
          <w:rFonts w:ascii="Times New Roman" w:hAnsi="Times New Roman" w:cs="Times New Roman"/>
          <w:sz w:val="16"/>
          <w:szCs w:val="16"/>
          <w:lang w:val="en-RS"/>
        </w:rPr>
        <w:t xml:space="preserve"> (2018). Ecological determinants of health in public health education in Canada: Preliminary scoping of needs, challenges and assets. </w:t>
      </w:r>
      <w:r w:rsidRPr="000D7D4B">
        <w:rPr>
          <w:rFonts w:ascii="Times New Roman" w:hAnsi="Times New Roman" w:cs="Times New Roman"/>
          <w:i/>
          <w:iCs/>
          <w:sz w:val="16"/>
          <w:szCs w:val="16"/>
          <w:lang w:val="en-RS"/>
        </w:rPr>
        <w:t>Canadian Journal of Public Health, 109</w:t>
      </w:r>
      <w:r w:rsidRPr="000D7D4B">
        <w:rPr>
          <w:rFonts w:ascii="Times New Roman" w:hAnsi="Times New Roman" w:cs="Times New Roman"/>
          <w:sz w:val="16"/>
          <w:szCs w:val="16"/>
          <w:lang w:val="en-RS"/>
        </w:rPr>
        <w:t>(S2), S27–S44. </w:t>
      </w:r>
      <w:hyperlink r:id="rId161" w:tgtFrame="_new" w:history="1">
        <w:r w:rsidRPr="000D7D4B">
          <w:rPr>
            <w:rStyle w:val="Hyperlink"/>
            <w:rFonts w:ascii="Times New Roman" w:hAnsi="Times New Roman" w:cs="Times New Roman"/>
            <w:sz w:val="16"/>
            <w:szCs w:val="16"/>
            <w:lang w:val="en-RS"/>
          </w:rPr>
          <w:t>https://doi.org/10.13140/RG.2.2.12554.82883</w:t>
        </w:r>
      </w:hyperlink>
    </w:p>
    <w:p w14:paraId="132D589B"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Paramesh, H. (2016). Health promotion to achieve sustainable development goals. </w:t>
      </w:r>
      <w:r w:rsidRPr="000D7D4B">
        <w:rPr>
          <w:rFonts w:ascii="Times New Roman" w:hAnsi="Times New Roman" w:cs="Times New Roman"/>
          <w:i/>
          <w:iCs/>
          <w:sz w:val="16"/>
          <w:szCs w:val="16"/>
          <w:lang w:val="en-RS"/>
        </w:rPr>
        <w:t>Journal of the Pediatrics Association of India, 5</w:t>
      </w:r>
      <w:r w:rsidRPr="000D7D4B">
        <w:rPr>
          <w:rFonts w:ascii="Times New Roman" w:hAnsi="Times New Roman" w:cs="Times New Roman"/>
          <w:sz w:val="16"/>
          <w:szCs w:val="16"/>
          <w:lang w:val="en-RS"/>
        </w:rPr>
        <w:t>(4), 180–182.</w:t>
      </w:r>
    </w:p>
    <w:p w14:paraId="4DACE4BC"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Pitt, E. L. (2020). </w:t>
      </w:r>
      <w:r w:rsidRPr="000D7D4B">
        <w:rPr>
          <w:rFonts w:ascii="Times New Roman" w:hAnsi="Times New Roman" w:cs="Times New Roman"/>
          <w:i/>
          <w:iCs/>
          <w:sz w:val="16"/>
          <w:szCs w:val="16"/>
          <w:lang w:val="en-RS"/>
        </w:rPr>
        <w:t>The influence of the food environment and socio</w:t>
      </w:r>
      <w:r w:rsidRPr="000D7D4B">
        <w:rPr>
          <w:rFonts w:ascii="Times New Roman" w:hAnsi="Times New Roman" w:cs="Times New Roman"/>
          <w:i/>
          <w:iCs/>
          <w:sz w:val="16"/>
          <w:szCs w:val="16"/>
          <w:lang w:val="en-RS"/>
        </w:rPr>
        <w:noBreakHyphen/>
        <w:t>ecological determinants on early childhood dietary intake: A mixed methods exploration</w:t>
      </w:r>
      <w:r w:rsidRPr="000D7D4B">
        <w:rPr>
          <w:rFonts w:ascii="Times New Roman" w:hAnsi="Times New Roman" w:cs="Times New Roman"/>
          <w:sz w:val="16"/>
          <w:szCs w:val="16"/>
          <w:lang w:val="en-RS"/>
        </w:rPr>
        <w:t> (Doctoral thesis). Griffith University. </w:t>
      </w:r>
      <w:hyperlink r:id="rId162" w:history="1">
        <w:r w:rsidRPr="00341C23">
          <w:rPr>
            <w:rStyle w:val="Hyperlink"/>
            <w:rFonts w:ascii="Times New Roman" w:hAnsi="Times New Roman" w:cs="Times New Roman"/>
            <w:sz w:val="16"/>
            <w:szCs w:val="16"/>
            <w:lang w:val="en-RS"/>
          </w:rPr>
          <w:t>https://doi.org/10.25904/1912/4028</w:t>
        </w:r>
      </w:hyperlink>
      <w:r>
        <w:rPr>
          <w:rFonts w:ascii="Times New Roman" w:hAnsi="Times New Roman" w:cs="Times New Roman"/>
          <w:sz w:val="16"/>
          <w:szCs w:val="16"/>
          <w:lang w:val="en-RS"/>
        </w:rPr>
        <w:t xml:space="preserve"> </w:t>
      </w:r>
    </w:p>
    <w:p w14:paraId="7CCFE380" w14:textId="77777777" w:rsidR="004365A5" w:rsidRDefault="004365A5" w:rsidP="004365A5">
      <w:pPr>
        <w:numPr>
          <w:ilvl w:val="0"/>
          <w:numId w:val="58"/>
        </w:numPr>
        <w:spacing w:line="240" w:lineRule="auto"/>
        <w:rPr>
          <w:rFonts w:ascii="Times New Roman" w:hAnsi="Times New Roman" w:cs="Times New Roman"/>
          <w:sz w:val="16"/>
          <w:szCs w:val="16"/>
          <w:lang w:val="en-RS"/>
        </w:rPr>
      </w:pPr>
      <w:r>
        <w:rPr>
          <w:rFonts w:ascii="Times New Roman" w:hAnsi="Times New Roman" w:cs="Times New Roman"/>
          <w:sz w:val="16"/>
          <w:szCs w:val="16"/>
        </w:rPr>
        <w:t xml:space="preserve">Quinn </w:t>
      </w:r>
      <w:r w:rsidRPr="00DA3B5C">
        <w:rPr>
          <w:rFonts w:ascii="Times New Roman" w:hAnsi="Times New Roman" w:cs="Times New Roman"/>
          <w:sz w:val="16"/>
          <w:szCs w:val="16"/>
        </w:rPr>
        <w:t>Ahonen, E., Fujishiro, K., Cunningham, T., &amp; Flynn, M. (2018). Work as an inclusive part of population health inequities research and prevention. </w:t>
      </w:r>
      <w:r w:rsidRPr="00DA3B5C">
        <w:rPr>
          <w:rFonts w:ascii="Times New Roman" w:hAnsi="Times New Roman" w:cs="Times New Roman"/>
          <w:i/>
          <w:iCs/>
          <w:sz w:val="16"/>
          <w:szCs w:val="16"/>
        </w:rPr>
        <w:t>American Journal of Public Health, 108</w:t>
      </w:r>
      <w:r w:rsidRPr="00DA3B5C">
        <w:rPr>
          <w:rFonts w:ascii="Times New Roman" w:hAnsi="Times New Roman" w:cs="Times New Roman"/>
          <w:sz w:val="16"/>
          <w:szCs w:val="16"/>
        </w:rPr>
        <w:t>(3), 306–311. </w:t>
      </w:r>
      <w:hyperlink r:id="rId163" w:tgtFrame="_new" w:history="1">
        <w:r w:rsidRPr="00DA3B5C">
          <w:rPr>
            <w:rStyle w:val="Hyperlink"/>
            <w:rFonts w:ascii="Times New Roman" w:hAnsi="Times New Roman" w:cs="Times New Roman"/>
            <w:sz w:val="16"/>
            <w:szCs w:val="16"/>
          </w:rPr>
          <w:t>https://doi.org/10.2105/AJPH.2017.304214</w:t>
        </w:r>
      </w:hyperlink>
    </w:p>
    <w:p w14:paraId="4E579238"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Rayner, G., &amp; Lang, T. (2012). </w:t>
      </w:r>
      <w:r w:rsidRPr="000D7D4B">
        <w:rPr>
          <w:rFonts w:ascii="Times New Roman" w:hAnsi="Times New Roman" w:cs="Times New Roman"/>
          <w:i/>
          <w:iCs/>
          <w:sz w:val="16"/>
          <w:szCs w:val="16"/>
          <w:lang w:val="en-RS"/>
        </w:rPr>
        <w:t>Ecological public health: Reshaping the conditions for good health</w:t>
      </w:r>
      <w:r w:rsidRPr="000D7D4B">
        <w:rPr>
          <w:rFonts w:ascii="Times New Roman" w:hAnsi="Times New Roman" w:cs="Times New Roman"/>
          <w:sz w:val="16"/>
          <w:szCs w:val="16"/>
          <w:lang w:val="en-RS"/>
        </w:rPr>
        <w:t>. Routledge/Earthscan.</w:t>
      </w:r>
    </w:p>
    <w:p w14:paraId="10915DC4"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Redvers, N. (2021). The determinants of planetary health. </w:t>
      </w:r>
      <w:r w:rsidRPr="000D7D4B">
        <w:rPr>
          <w:rFonts w:ascii="Times New Roman" w:hAnsi="Times New Roman" w:cs="Times New Roman"/>
          <w:i/>
          <w:iCs/>
          <w:sz w:val="16"/>
          <w:szCs w:val="16"/>
          <w:lang w:val="en-RS"/>
        </w:rPr>
        <w:t>The Lancet Planetary Health, 5</w:t>
      </w:r>
      <w:r w:rsidRPr="000D7D4B">
        <w:rPr>
          <w:rFonts w:ascii="Times New Roman" w:hAnsi="Times New Roman" w:cs="Times New Roman"/>
          <w:sz w:val="16"/>
          <w:szCs w:val="16"/>
          <w:lang w:val="en-RS"/>
        </w:rPr>
        <w:t>(3), e111–e112.</w:t>
      </w:r>
    </w:p>
    <w:p w14:paraId="33C6DF80"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lastRenderedPageBreak/>
        <w:t xml:space="preserve">Smith, J., Griffiths, K., Judd, J., Crawford, G., D’Antoine, H., Fisher, M., </w:t>
      </w:r>
      <w:r>
        <w:rPr>
          <w:rFonts w:ascii="Times New Roman" w:hAnsi="Times New Roman" w:cs="Times New Roman"/>
          <w:sz w:val="16"/>
          <w:szCs w:val="16"/>
          <w:lang w:val="en-RS"/>
        </w:rPr>
        <w:t>et al</w:t>
      </w:r>
      <w:r w:rsidRPr="000D7D4B">
        <w:rPr>
          <w:rFonts w:ascii="Times New Roman" w:hAnsi="Times New Roman" w:cs="Times New Roman"/>
          <w:sz w:val="16"/>
          <w:szCs w:val="16"/>
          <w:lang w:val="en-RS"/>
        </w:rPr>
        <w:t>. (2018). Ten years on from the World Health Organization Commission on Social Determinants of Health: Progress or procrastination? </w:t>
      </w:r>
      <w:r w:rsidRPr="000D7D4B">
        <w:rPr>
          <w:rFonts w:ascii="Times New Roman" w:hAnsi="Times New Roman" w:cs="Times New Roman"/>
          <w:i/>
          <w:iCs/>
          <w:sz w:val="16"/>
          <w:szCs w:val="16"/>
          <w:lang w:val="en-RS"/>
        </w:rPr>
        <w:t>Health Promotion Journal of Australia, 29</w:t>
      </w:r>
      <w:r w:rsidRPr="000D7D4B">
        <w:rPr>
          <w:rFonts w:ascii="Times New Roman" w:hAnsi="Times New Roman" w:cs="Times New Roman"/>
          <w:sz w:val="16"/>
          <w:szCs w:val="16"/>
          <w:lang w:val="en-RS"/>
        </w:rPr>
        <w:t>(1), 3–7. </w:t>
      </w:r>
      <w:hyperlink r:id="rId164" w:tgtFrame="_new" w:history="1">
        <w:r w:rsidRPr="000D7D4B">
          <w:rPr>
            <w:rStyle w:val="Hyperlink"/>
            <w:rFonts w:ascii="Times New Roman" w:hAnsi="Times New Roman" w:cs="Times New Roman"/>
            <w:sz w:val="16"/>
            <w:szCs w:val="16"/>
            <w:lang w:val="en-RS"/>
          </w:rPr>
          <w:t>https://doi.org/10.1002/hpja.48</w:t>
        </w:r>
      </w:hyperlink>
    </w:p>
    <w:p w14:paraId="6F790D49" w14:textId="77777777" w:rsidR="004365A5" w:rsidRPr="00DA3B5C" w:rsidRDefault="004365A5" w:rsidP="004365A5">
      <w:pPr>
        <w:numPr>
          <w:ilvl w:val="0"/>
          <w:numId w:val="58"/>
        </w:numPr>
        <w:spacing w:line="240" w:lineRule="auto"/>
        <w:rPr>
          <w:rFonts w:ascii="Times New Roman" w:hAnsi="Times New Roman" w:cs="Times New Roman"/>
          <w:sz w:val="16"/>
          <w:szCs w:val="16"/>
          <w:lang w:val="en-RS"/>
        </w:rPr>
      </w:pPr>
      <w:r w:rsidRPr="00DA3B5C">
        <w:rPr>
          <w:rFonts w:ascii="Times New Roman" w:hAnsi="Times New Roman" w:cs="Times New Roman"/>
          <w:sz w:val="16"/>
          <w:szCs w:val="16"/>
        </w:rPr>
        <w:t>Sula</w:t>
      </w:r>
      <w:r w:rsidRPr="00DA3B5C">
        <w:rPr>
          <w:rFonts w:ascii="Times New Roman" w:hAnsi="Times New Roman" w:cs="Times New Roman"/>
          <w:sz w:val="16"/>
          <w:szCs w:val="16"/>
        </w:rPr>
        <w:noBreakHyphen/>
        <w:t>Raxhimi, E., Butzbach, C., &amp; Brousselle, A. (2019). Planetary health: Countering commercial and corporate power. </w:t>
      </w:r>
      <w:r w:rsidRPr="00DA3B5C">
        <w:rPr>
          <w:rFonts w:ascii="Times New Roman" w:hAnsi="Times New Roman" w:cs="Times New Roman"/>
          <w:i/>
          <w:iCs/>
          <w:sz w:val="16"/>
          <w:szCs w:val="16"/>
        </w:rPr>
        <w:t>The Lancet Planetary Health, 3</w:t>
      </w:r>
      <w:r w:rsidRPr="00DA3B5C">
        <w:rPr>
          <w:rFonts w:ascii="Times New Roman" w:hAnsi="Times New Roman" w:cs="Times New Roman"/>
          <w:sz w:val="16"/>
          <w:szCs w:val="16"/>
        </w:rPr>
        <w:t>(1), e12–e13. </w:t>
      </w:r>
      <w:hyperlink r:id="rId165" w:history="1">
        <w:r w:rsidRPr="00341C23">
          <w:rPr>
            <w:rStyle w:val="Hyperlink"/>
            <w:rFonts w:ascii="Times New Roman" w:hAnsi="Times New Roman" w:cs="Times New Roman"/>
            <w:sz w:val="16"/>
            <w:szCs w:val="16"/>
          </w:rPr>
          <w:t>https://doi.org/10.1016/S2542</w:t>
        </w:r>
        <w:r w:rsidRPr="00341C23">
          <w:rPr>
            <w:rStyle w:val="Hyperlink"/>
            <w:rFonts w:ascii="Times New Roman" w:hAnsi="Times New Roman" w:cs="Times New Roman"/>
            <w:sz w:val="16"/>
            <w:szCs w:val="16"/>
          </w:rPr>
          <w:noBreakHyphen/>
          <w:t>5196(18)30241</w:t>
        </w:r>
        <w:r w:rsidRPr="00341C23">
          <w:rPr>
            <w:rStyle w:val="Hyperlink"/>
            <w:rFonts w:ascii="Times New Roman" w:hAnsi="Times New Roman" w:cs="Times New Roman"/>
            <w:sz w:val="16"/>
            <w:szCs w:val="16"/>
          </w:rPr>
          <w:noBreakHyphen/>
          <w:t>9</w:t>
        </w:r>
      </w:hyperlink>
    </w:p>
    <w:p w14:paraId="11FF96EB" w14:textId="77777777" w:rsidR="004365A5" w:rsidRDefault="004365A5" w:rsidP="004365A5">
      <w:pPr>
        <w:numPr>
          <w:ilvl w:val="0"/>
          <w:numId w:val="58"/>
        </w:numPr>
        <w:spacing w:line="240" w:lineRule="auto"/>
        <w:rPr>
          <w:rFonts w:ascii="Times New Roman" w:hAnsi="Times New Roman" w:cs="Times New Roman"/>
          <w:sz w:val="16"/>
          <w:szCs w:val="16"/>
          <w:lang w:val="en-RS"/>
        </w:rPr>
      </w:pPr>
      <w:r w:rsidRPr="00DA3B5C">
        <w:rPr>
          <w:rFonts w:ascii="Times New Roman" w:hAnsi="Times New Roman" w:cs="Times New Roman"/>
          <w:sz w:val="16"/>
          <w:szCs w:val="16"/>
        </w:rPr>
        <w:t>Tsakonas, K. (2025). Tsakonas, K. (2025). </w:t>
      </w:r>
      <w:r w:rsidRPr="00DA3B5C">
        <w:rPr>
          <w:rFonts w:ascii="Times New Roman" w:hAnsi="Times New Roman" w:cs="Times New Roman"/>
          <w:i/>
          <w:iCs/>
          <w:sz w:val="16"/>
          <w:szCs w:val="16"/>
        </w:rPr>
        <w:t>Exploring the co</w:t>
      </w:r>
      <w:r w:rsidRPr="00DA3B5C">
        <w:rPr>
          <w:rFonts w:ascii="Times New Roman" w:hAnsi="Times New Roman" w:cs="Times New Roman"/>
          <w:i/>
          <w:iCs/>
          <w:sz w:val="16"/>
          <w:szCs w:val="16"/>
        </w:rPr>
        <w:noBreakHyphen/>
        <w:t>benefits of disaster risk reduction for human, animal and ecosystem health from a rural island perspective</w:t>
      </w:r>
      <w:r w:rsidRPr="00DA3B5C">
        <w:rPr>
          <w:rFonts w:ascii="Times New Roman" w:hAnsi="Times New Roman" w:cs="Times New Roman"/>
          <w:sz w:val="16"/>
          <w:szCs w:val="16"/>
        </w:rPr>
        <w:t> (Master’s thesis). Simon Fraser University. </w:t>
      </w:r>
      <w:hyperlink r:id="rId166" w:tgtFrame="_new" w:history="1">
        <w:r w:rsidRPr="00DA3B5C">
          <w:rPr>
            <w:rStyle w:val="Hyperlink"/>
            <w:rFonts w:ascii="Times New Roman" w:hAnsi="Times New Roman" w:cs="Times New Roman"/>
            <w:sz w:val="16"/>
            <w:szCs w:val="16"/>
          </w:rPr>
          <w:t>https://summit.sfu.ca/item/39633</w:t>
        </w:r>
      </w:hyperlink>
    </w:p>
    <w:p w14:paraId="154D7058" w14:textId="77777777" w:rsidR="004365A5" w:rsidRPr="000D7D4B" w:rsidRDefault="004365A5" w:rsidP="004365A5">
      <w:pPr>
        <w:numPr>
          <w:ilvl w:val="0"/>
          <w:numId w:val="58"/>
        </w:numPr>
        <w:spacing w:line="240" w:lineRule="auto"/>
        <w:rPr>
          <w:rFonts w:ascii="Times New Roman" w:hAnsi="Times New Roman" w:cs="Times New Roman"/>
          <w:sz w:val="16"/>
          <w:szCs w:val="16"/>
          <w:lang w:val="en-RS"/>
        </w:rPr>
      </w:pPr>
      <w:r w:rsidRPr="000D7D4B">
        <w:rPr>
          <w:rFonts w:ascii="Times New Roman" w:hAnsi="Times New Roman" w:cs="Times New Roman"/>
          <w:sz w:val="16"/>
          <w:szCs w:val="16"/>
          <w:lang w:val="en-RS"/>
        </w:rPr>
        <w:t>The Canadian Network of Public Health Associations. (2019). A collective voice for advancing public health: Why public health associations matter today. </w:t>
      </w:r>
      <w:r w:rsidRPr="000D7D4B">
        <w:rPr>
          <w:rFonts w:ascii="Times New Roman" w:hAnsi="Times New Roman" w:cs="Times New Roman"/>
          <w:i/>
          <w:iCs/>
          <w:sz w:val="16"/>
          <w:szCs w:val="16"/>
          <w:lang w:val="en-RS"/>
        </w:rPr>
        <w:t>Canadian Journal of Public Health, 110</w:t>
      </w:r>
      <w:r w:rsidRPr="000D7D4B">
        <w:rPr>
          <w:rFonts w:ascii="Times New Roman" w:hAnsi="Times New Roman" w:cs="Times New Roman"/>
          <w:sz w:val="16"/>
          <w:szCs w:val="16"/>
          <w:lang w:val="en-RS"/>
        </w:rPr>
        <w:t>, 335–339. </w:t>
      </w:r>
      <w:hyperlink r:id="rId167" w:history="1">
        <w:r w:rsidRPr="00341C23">
          <w:rPr>
            <w:rStyle w:val="Hyperlink"/>
            <w:rFonts w:ascii="Times New Roman" w:hAnsi="Times New Roman" w:cs="Times New Roman"/>
            <w:sz w:val="16"/>
            <w:szCs w:val="16"/>
            <w:lang w:val="en-RS"/>
          </w:rPr>
          <w:t>https://doi.org/10.17269/s41997</w:t>
        </w:r>
        <w:r w:rsidRPr="00341C23">
          <w:rPr>
            <w:rStyle w:val="Hyperlink"/>
            <w:rFonts w:ascii="Times New Roman" w:hAnsi="Times New Roman" w:cs="Times New Roman"/>
            <w:sz w:val="16"/>
            <w:szCs w:val="16"/>
            <w:lang w:val="en-RS"/>
          </w:rPr>
          <w:noBreakHyphen/>
          <w:t>019</w:t>
        </w:r>
        <w:r w:rsidRPr="00341C23">
          <w:rPr>
            <w:rStyle w:val="Hyperlink"/>
            <w:rFonts w:ascii="Times New Roman" w:hAnsi="Times New Roman" w:cs="Times New Roman"/>
            <w:sz w:val="16"/>
            <w:szCs w:val="16"/>
            <w:lang w:val="en-RS"/>
          </w:rPr>
          <w:noBreakHyphen/>
          <w:t>00197</w:t>
        </w:r>
        <w:r w:rsidRPr="00341C23">
          <w:rPr>
            <w:rStyle w:val="Hyperlink"/>
            <w:rFonts w:ascii="Times New Roman" w:hAnsi="Times New Roman" w:cs="Times New Roman"/>
            <w:sz w:val="16"/>
            <w:szCs w:val="16"/>
            <w:lang w:val="en-RS"/>
          </w:rPr>
          <w:noBreakHyphen/>
          <w:t>1</w:t>
        </w:r>
      </w:hyperlink>
      <w:r>
        <w:rPr>
          <w:rFonts w:ascii="Times New Roman" w:hAnsi="Times New Roman" w:cs="Times New Roman"/>
          <w:sz w:val="16"/>
          <w:szCs w:val="16"/>
          <w:lang w:val="en-RS"/>
        </w:rPr>
        <w:t xml:space="preserve"> </w:t>
      </w:r>
    </w:p>
    <w:p w14:paraId="13CBA437" w14:textId="77777777" w:rsidR="004365A5" w:rsidRDefault="004365A5" w:rsidP="006F382B">
      <w:pPr>
        <w:spacing w:line="240" w:lineRule="auto"/>
        <w:rPr>
          <w:rFonts w:ascii="Times New Roman" w:hAnsi="Times New Roman" w:cs="Times New Roman"/>
          <w:sz w:val="16"/>
          <w:szCs w:val="16"/>
        </w:rPr>
      </w:pPr>
    </w:p>
    <w:p w14:paraId="733E6A60" w14:textId="77777777" w:rsidR="006F382B" w:rsidRDefault="006F382B" w:rsidP="006F382B">
      <w:pPr>
        <w:spacing w:line="240" w:lineRule="auto"/>
        <w:rPr>
          <w:rFonts w:ascii="Times New Roman" w:hAnsi="Times New Roman" w:cs="Times New Roman"/>
          <w:sz w:val="16"/>
          <w:szCs w:val="16"/>
        </w:rPr>
      </w:pPr>
    </w:p>
    <w:p w14:paraId="284900D9" w14:textId="77777777" w:rsidR="006F382B" w:rsidRDefault="006F382B" w:rsidP="006F382B">
      <w:pPr>
        <w:spacing w:line="240" w:lineRule="auto"/>
        <w:rPr>
          <w:rFonts w:ascii="Times New Roman" w:hAnsi="Times New Roman" w:cs="Times New Roman"/>
          <w:sz w:val="16"/>
          <w:szCs w:val="16"/>
        </w:rPr>
      </w:pPr>
    </w:p>
    <w:p w14:paraId="3AF57488" w14:textId="77777777" w:rsidR="006F382B" w:rsidRDefault="006F382B" w:rsidP="006F382B">
      <w:pPr>
        <w:spacing w:line="240" w:lineRule="auto"/>
        <w:rPr>
          <w:rFonts w:ascii="Times New Roman" w:hAnsi="Times New Roman" w:cs="Times New Roman"/>
          <w:sz w:val="16"/>
          <w:szCs w:val="16"/>
        </w:rPr>
      </w:pPr>
    </w:p>
    <w:p w14:paraId="20EE24A1" w14:textId="77777777" w:rsidR="00A10114" w:rsidRPr="006F382B" w:rsidRDefault="00A10114" w:rsidP="006F382B">
      <w:pPr>
        <w:spacing w:line="240" w:lineRule="auto"/>
        <w:rPr>
          <w:rFonts w:ascii="Times New Roman" w:hAnsi="Times New Roman" w:cs="Times New Roman"/>
          <w:sz w:val="16"/>
          <w:szCs w:val="16"/>
        </w:rPr>
      </w:pPr>
    </w:p>
    <w:p w14:paraId="0F1EED94" w14:textId="77777777" w:rsidR="00AC439C" w:rsidRDefault="00AC439C" w:rsidP="006F382B">
      <w:pPr>
        <w:spacing w:line="240" w:lineRule="auto"/>
        <w:rPr>
          <w:rFonts w:ascii="Times New Roman" w:hAnsi="Times New Roman" w:cs="Times New Roman"/>
          <w:sz w:val="16"/>
          <w:szCs w:val="16"/>
        </w:rPr>
      </w:pPr>
    </w:p>
    <w:p w14:paraId="1ED2710F" w14:textId="77777777" w:rsidR="004365A5" w:rsidRDefault="004365A5" w:rsidP="006F382B">
      <w:pPr>
        <w:spacing w:line="240" w:lineRule="auto"/>
        <w:rPr>
          <w:rFonts w:ascii="Times New Roman" w:hAnsi="Times New Roman" w:cs="Times New Roman"/>
          <w:sz w:val="16"/>
          <w:szCs w:val="16"/>
        </w:rPr>
      </w:pPr>
    </w:p>
    <w:p w14:paraId="0B8A66B9" w14:textId="77777777" w:rsidR="004365A5" w:rsidRPr="006F382B" w:rsidRDefault="004365A5" w:rsidP="006F382B">
      <w:pPr>
        <w:spacing w:line="240" w:lineRule="auto"/>
        <w:rPr>
          <w:rFonts w:ascii="Times New Roman" w:hAnsi="Times New Roman" w:cs="Times New Roman"/>
          <w:sz w:val="16"/>
          <w:szCs w:val="16"/>
        </w:rPr>
      </w:pPr>
    </w:p>
    <w:p w14:paraId="308CEEDB" w14:textId="77777777" w:rsidR="00AC439C" w:rsidRPr="006F382B" w:rsidRDefault="00AC439C" w:rsidP="006F382B">
      <w:pPr>
        <w:spacing w:line="240" w:lineRule="auto"/>
        <w:rPr>
          <w:rFonts w:ascii="Times New Roman" w:hAnsi="Times New Roman" w:cs="Times New Roman"/>
          <w:sz w:val="16"/>
          <w:szCs w:val="16"/>
        </w:rPr>
      </w:pPr>
    </w:p>
    <w:p w14:paraId="29B401DB" w14:textId="77777777" w:rsidR="00AC439C" w:rsidRPr="006F382B" w:rsidRDefault="00AC439C" w:rsidP="006F382B">
      <w:pPr>
        <w:spacing w:line="240" w:lineRule="auto"/>
        <w:rPr>
          <w:rFonts w:ascii="Times New Roman" w:hAnsi="Times New Roman" w:cs="Times New Roman"/>
          <w:sz w:val="16"/>
          <w:szCs w:val="16"/>
        </w:rPr>
      </w:pPr>
    </w:p>
    <w:p w14:paraId="79B7EE2B" w14:textId="77777777" w:rsidR="00AC439C" w:rsidRPr="006F382B" w:rsidRDefault="00AC439C" w:rsidP="006F382B">
      <w:pPr>
        <w:spacing w:line="240" w:lineRule="auto"/>
        <w:rPr>
          <w:rFonts w:ascii="Times New Roman" w:hAnsi="Times New Roman" w:cs="Times New Roman"/>
          <w:sz w:val="16"/>
          <w:szCs w:val="16"/>
        </w:rPr>
      </w:pPr>
    </w:p>
    <w:p w14:paraId="2038EFFE" w14:textId="77777777" w:rsidR="00AC439C" w:rsidRPr="006F382B" w:rsidRDefault="00AC439C" w:rsidP="006F382B">
      <w:pPr>
        <w:spacing w:line="240" w:lineRule="auto"/>
        <w:rPr>
          <w:rFonts w:ascii="Times New Roman" w:hAnsi="Times New Roman" w:cs="Times New Roman"/>
          <w:sz w:val="16"/>
          <w:szCs w:val="16"/>
        </w:rPr>
      </w:pPr>
    </w:p>
    <w:p w14:paraId="435BAD3A" w14:textId="77777777" w:rsidR="00AC439C" w:rsidRPr="006F382B" w:rsidRDefault="00AC439C" w:rsidP="006F382B">
      <w:pPr>
        <w:spacing w:line="240" w:lineRule="auto"/>
        <w:rPr>
          <w:rFonts w:ascii="Times New Roman" w:hAnsi="Times New Roman" w:cs="Times New Roman"/>
          <w:sz w:val="16"/>
          <w:szCs w:val="16"/>
        </w:rPr>
      </w:pPr>
    </w:p>
    <w:p w14:paraId="2F116EA0" w14:textId="77777777" w:rsidR="00AC439C" w:rsidRPr="006F382B" w:rsidRDefault="00AC439C" w:rsidP="006F382B">
      <w:pPr>
        <w:spacing w:line="240" w:lineRule="auto"/>
        <w:rPr>
          <w:rFonts w:ascii="Times New Roman" w:hAnsi="Times New Roman" w:cs="Times New Roman"/>
          <w:sz w:val="16"/>
          <w:szCs w:val="16"/>
        </w:rPr>
      </w:pPr>
    </w:p>
    <w:p w14:paraId="4ACDC0D3" w14:textId="77777777" w:rsidR="00AC439C" w:rsidRPr="006F382B" w:rsidRDefault="00AC439C" w:rsidP="006F382B">
      <w:pPr>
        <w:spacing w:line="240" w:lineRule="auto"/>
        <w:rPr>
          <w:rFonts w:ascii="Times New Roman" w:hAnsi="Times New Roman" w:cs="Times New Roman"/>
          <w:sz w:val="16"/>
          <w:szCs w:val="16"/>
        </w:rPr>
      </w:pPr>
    </w:p>
    <w:p w14:paraId="526B2A2E" w14:textId="77777777" w:rsidR="00AC439C" w:rsidRPr="006F382B" w:rsidRDefault="00AC439C" w:rsidP="006F382B">
      <w:pPr>
        <w:spacing w:line="240" w:lineRule="auto"/>
        <w:rPr>
          <w:rFonts w:ascii="Times New Roman" w:hAnsi="Times New Roman" w:cs="Times New Roman"/>
          <w:sz w:val="16"/>
          <w:szCs w:val="16"/>
        </w:rPr>
      </w:pPr>
    </w:p>
    <w:p w14:paraId="743E0425" w14:textId="77777777" w:rsidR="00AC439C" w:rsidRDefault="00AC439C" w:rsidP="006F382B">
      <w:pPr>
        <w:spacing w:line="240" w:lineRule="auto"/>
        <w:rPr>
          <w:rFonts w:ascii="Times New Roman" w:hAnsi="Times New Roman" w:cs="Times New Roman"/>
          <w:sz w:val="16"/>
          <w:szCs w:val="16"/>
        </w:rPr>
      </w:pPr>
    </w:p>
    <w:p w14:paraId="2ED3935F" w14:textId="77777777" w:rsidR="006F382B" w:rsidRDefault="006F382B" w:rsidP="006F382B">
      <w:pPr>
        <w:spacing w:line="240" w:lineRule="auto"/>
        <w:rPr>
          <w:rFonts w:ascii="Times New Roman" w:hAnsi="Times New Roman" w:cs="Times New Roman"/>
          <w:sz w:val="16"/>
          <w:szCs w:val="16"/>
        </w:rPr>
      </w:pPr>
    </w:p>
    <w:p w14:paraId="1CC3E3EA" w14:textId="77777777" w:rsidR="006F382B" w:rsidRDefault="006F382B" w:rsidP="006F382B">
      <w:pPr>
        <w:spacing w:line="240" w:lineRule="auto"/>
        <w:rPr>
          <w:rFonts w:ascii="Times New Roman" w:hAnsi="Times New Roman" w:cs="Times New Roman"/>
          <w:sz w:val="16"/>
          <w:szCs w:val="16"/>
        </w:rPr>
      </w:pPr>
    </w:p>
    <w:p w14:paraId="264E9AB1" w14:textId="77777777" w:rsidR="006F382B" w:rsidRDefault="006F382B" w:rsidP="006F382B">
      <w:pPr>
        <w:spacing w:line="240" w:lineRule="auto"/>
        <w:rPr>
          <w:rFonts w:ascii="Times New Roman" w:hAnsi="Times New Roman" w:cs="Times New Roman"/>
          <w:sz w:val="16"/>
          <w:szCs w:val="16"/>
        </w:rPr>
      </w:pPr>
    </w:p>
    <w:p w14:paraId="4F5FBF66" w14:textId="77777777" w:rsidR="006F382B" w:rsidRDefault="006F382B" w:rsidP="006F382B">
      <w:pPr>
        <w:spacing w:line="240" w:lineRule="auto"/>
        <w:rPr>
          <w:rFonts w:ascii="Times New Roman" w:hAnsi="Times New Roman" w:cs="Times New Roman"/>
          <w:sz w:val="16"/>
          <w:szCs w:val="16"/>
        </w:rPr>
      </w:pPr>
    </w:p>
    <w:p w14:paraId="2735B640" w14:textId="77777777" w:rsidR="006F382B" w:rsidRDefault="006F382B" w:rsidP="006F382B">
      <w:pPr>
        <w:spacing w:line="240" w:lineRule="auto"/>
        <w:rPr>
          <w:rFonts w:ascii="Times New Roman" w:hAnsi="Times New Roman" w:cs="Times New Roman"/>
          <w:sz w:val="16"/>
          <w:szCs w:val="16"/>
        </w:rPr>
      </w:pPr>
    </w:p>
    <w:p w14:paraId="7E037F81" w14:textId="77777777" w:rsidR="006F382B" w:rsidRDefault="006F382B" w:rsidP="006F382B">
      <w:pPr>
        <w:spacing w:line="240" w:lineRule="auto"/>
        <w:rPr>
          <w:rFonts w:ascii="Times New Roman" w:hAnsi="Times New Roman" w:cs="Times New Roman"/>
          <w:sz w:val="16"/>
          <w:szCs w:val="16"/>
        </w:rPr>
      </w:pPr>
    </w:p>
    <w:p w14:paraId="06B1EF96" w14:textId="77777777" w:rsidR="006F382B" w:rsidRDefault="006F382B" w:rsidP="006F382B">
      <w:pPr>
        <w:spacing w:line="240" w:lineRule="auto"/>
        <w:rPr>
          <w:rFonts w:ascii="Times New Roman" w:hAnsi="Times New Roman" w:cs="Times New Roman"/>
          <w:sz w:val="16"/>
          <w:szCs w:val="16"/>
        </w:rPr>
      </w:pPr>
    </w:p>
    <w:p w14:paraId="21E88395" w14:textId="77777777" w:rsidR="006F382B" w:rsidRDefault="006F382B" w:rsidP="006F382B">
      <w:pPr>
        <w:spacing w:line="240" w:lineRule="auto"/>
        <w:rPr>
          <w:rFonts w:ascii="Times New Roman" w:hAnsi="Times New Roman" w:cs="Times New Roman"/>
          <w:sz w:val="16"/>
          <w:szCs w:val="16"/>
        </w:rPr>
      </w:pPr>
    </w:p>
    <w:p w14:paraId="345D763C" w14:textId="77777777" w:rsidR="006F382B" w:rsidRDefault="006F382B" w:rsidP="006F382B">
      <w:pPr>
        <w:spacing w:line="240" w:lineRule="auto"/>
        <w:rPr>
          <w:rFonts w:ascii="Times New Roman" w:hAnsi="Times New Roman" w:cs="Times New Roman"/>
          <w:sz w:val="16"/>
          <w:szCs w:val="16"/>
        </w:rPr>
      </w:pPr>
    </w:p>
    <w:p w14:paraId="53CF2A4E" w14:textId="77777777" w:rsidR="006F382B" w:rsidRDefault="006F382B" w:rsidP="006F382B">
      <w:pPr>
        <w:spacing w:line="240" w:lineRule="auto"/>
        <w:rPr>
          <w:rFonts w:ascii="Times New Roman" w:hAnsi="Times New Roman" w:cs="Times New Roman"/>
          <w:sz w:val="16"/>
          <w:szCs w:val="16"/>
        </w:rPr>
      </w:pPr>
    </w:p>
    <w:p w14:paraId="523AA1B3" w14:textId="77777777" w:rsidR="004365A5" w:rsidRDefault="004365A5" w:rsidP="006F382B">
      <w:pPr>
        <w:spacing w:line="240" w:lineRule="auto"/>
        <w:rPr>
          <w:rFonts w:ascii="Times New Roman" w:hAnsi="Times New Roman" w:cs="Times New Roman"/>
          <w:sz w:val="16"/>
          <w:szCs w:val="16"/>
        </w:rPr>
      </w:pPr>
    </w:p>
    <w:p w14:paraId="54A31435" w14:textId="77777777" w:rsidR="004365A5" w:rsidRDefault="004365A5" w:rsidP="006F382B">
      <w:pPr>
        <w:spacing w:line="240" w:lineRule="auto"/>
        <w:rPr>
          <w:rFonts w:ascii="Times New Roman" w:hAnsi="Times New Roman" w:cs="Times New Roman"/>
          <w:sz w:val="16"/>
          <w:szCs w:val="16"/>
        </w:rPr>
      </w:pPr>
    </w:p>
    <w:p w14:paraId="4E04B816" w14:textId="77777777" w:rsidR="004365A5" w:rsidRDefault="004365A5" w:rsidP="006F382B">
      <w:pPr>
        <w:spacing w:line="240" w:lineRule="auto"/>
        <w:rPr>
          <w:rFonts w:ascii="Times New Roman" w:hAnsi="Times New Roman" w:cs="Times New Roman"/>
          <w:sz w:val="16"/>
          <w:szCs w:val="16"/>
        </w:rPr>
      </w:pPr>
    </w:p>
    <w:p w14:paraId="5E701F61" w14:textId="77777777" w:rsidR="004365A5" w:rsidRDefault="004365A5" w:rsidP="006F382B">
      <w:pPr>
        <w:spacing w:line="240" w:lineRule="auto"/>
        <w:rPr>
          <w:rFonts w:ascii="Times New Roman" w:hAnsi="Times New Roman" w:cs="Times New Roman"/>
          <w:sz w:val="16"/>
          <w:szCs w:val="16"/>
        </w:rPr>
      </w:pPr>
    </w:p>
    <w:p w14:paraId="179F4564" w14:textId="77777777" w:rsidR="004365A5" w:rsidRDefault="004365A5" w:rsidP="006F382B">
      <w:pPr>
        <w:spacing w:line="240" w:lineRule="auto"/>
        <w:rPr>
          <w:rFonts w:ascii="Times New Roman" w:hAnsi="Times New Roman" w:cs="Times New Roman"/>
          <w:sz w:val="16"/>
          <w:szCs w:val="16"/>
        </w:rPr>
      </w:pPr>
    </w:p>
    <w:p w14:paraId="2E6B68BE" w14:textId="77777777" w:rsidR="006F382B" w:rsidRDefault="006F382B" w:rsidP="006F382B">
      <w:pPr>
        <w:spacing w:line="240" w:lineRule="auto"/>
        <w:rPr>
          <w:rFonts w:ascii="Times New Roman" w:hAnsi="Times New Roman" w:cs="Times New Roman"/>
          <w:sz w:val="16"/>
          <w:szCs w:val="16"/>
        </w:rPr>
      </w:pPr>
    </w:p>
    <w:p w14:paraId="0A31ECB1" w14:textId="77777777" w:rsidR="00AC439C" w:rsidRPr="006F382B" w:rsidRDefault="00AC439C" w:rsidP="006F382B">
      <w:pPr>
        <w:spacing w:line="240" w:lineRule="auto"/>
        <w:rPr>
          <w:rFonts w:ascii="Times New Roman" w:hAnsi="Times New Roman" w:cs="Times New Roman"/>
          <w:sz w:val="16"/>
          <w:szCs w:val="16"/>
        </w:rPr>
      </w:pPr>
    </w:p>
    <w:p w14:paraId="4555379E" w14:textId="1B81D26F" w:rsidR="006F382B" w:rsidRPr="006F382B" w:rsidRDefault="00225F0B" w:rsidP="00B8224A">
      <w:pPr>
        <w:spacing w:line="240" w:lineRule="auto"/>
        <w:ind w:left="851" w:hanging="720"/>
        <w:rPr>
          <w:rFonts w:ascii="Times New Roman" w:hAnsi="Times New Roman" w:cs="Times New Roman"/>
          <w:sz w:val="16"/>
          <w:szCs w:val="16"/>
        </w:rPr>
      </w:pPr>
      <w:r w:rsidRPr="00225F0B">
        <w:rPr>
          <w:rFonts w:ascii="Times New Roman" w:hAnsi="Times New Roman" w:cs="Times New Roman"/>
          <w:b/>
          <w:bCs/>
          <w:sz w:val="20"/>
          <w:szCs w:val="20"/>
        </w:rPr>
        <w:lastRenderedPageBreak/>
        <w:t>Supplementary File C: Publications Included in the Systematic Review</w:t>
      </w:r>
    </w:p>
    <w:p w14:paraId="714378A5" w14:textId="431B7BE5" w:rsidR="006F382B" w:rsidRPr="006F382B" w:rsidRDefault="00225F0B" w:rsidP="00B8224A">
      <w:pPr>
        <w:spacing w:line="240" w:lineRule="auto"/>
        <w:ind w:left="851" w:hanging="720"/>
        <w:rPr>
          <w:rFonts w:ascii="Times New Roman" w:hAnsi="Times New Roman" w:cs="Times New Roman"/>
          <w:b/>
          <w:bCs/>
          <w:sz w:val="16"/>
          <w:szCs w:val="16"/>
        </w:rPr>
      </w:pPr>
      <w:r>
        <w:rPr>
          <w:rFonts w:ascii="Times New Roman" w:hAnsi="Times New Roman" w:cs="Times New Roman"/>
          <w:b/>
          <w:bCs/>
          <w:sz w:val="16"/>
          <w:szCs w:val="16"/>
        </w:rPr>
        <w:t>D</w:t>
      </w:r>
      <w:r w:rsidR="006F382B" w:rsidRPr="006F382B">
        <w:rPr>
          <w:rFonts w:ascii="Times New Roman" w:hAnsi="Times New Roman" w:cs="Times New Roman"/>
          <w:b/>
          <w:bCs/>
          <w:sz w:val="16"/>
          <w:szCs w:val="16"/>
        </w:rPr>
        <w:t>atabases</w:t>
      </w:r>
    </w:p>
    <w:p w14:paraId="48ACD6C2" w14:textId="32790BCA" w:rsidR="00C1481B" w:rsidRPr="00FB6FF5"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Acheson, E. S., Galanis, E., Bartlett, K., Mak, S., &amp; Klinkenberg, B. (2018). Searching for clues for eighteen years: Deciphering the ecological determinants of </w:t>
      </w:r>
      <w:r w:rsidRPr="008C797A">
        <w:rPr>
          <w:rFonts w:ascii="Times New Roman" w:eastAsia="Times New Roman" w:hAnsi="Times New Roman" w:cs="Times New Roman"/>
          <w:i/>
          <w:iCs/>
          <w:kern w:val="0"/>
          <w:sz w:val="16"/>
          <w:szCs w:val="16"/>
          <w:lang w:val="en-RS" w:eastAsia="en-GB"/>
          <w14:ligatures w14:val="none"/>
        </w:rPr>
        <w:t>Cryptococcus gattii</w:t>
      </w:r>
      <w:r w:rsidRPr="008C797A">
        <w:rPr>
          <w:rFonts w:ascii="Times New Roman" w:eastAsia="Times New Roman" w:hAnsi="Times New Roman" w:cs="Times New Roman"/>
          <w:kern w:val="0"/>
          <w:sz w:val="16"/>
          <w:szCs w:val="16"/>
          <w:lang w:val="en-RS" w:eastAsia="en-GB"/>
          <w14:ligatures w14:val="none"/>
        </w:rPr>
        <w:t> on Vancouver Island, British Columbia. </w:t>
      </w:r>
      <w:r w:rsidRPr="008C797A">
        <w:rPr>
          <w:rFonts w:ascii="Times New Roman" w:eastAsia="Times New Roman" w:hAnsi="Times New Roman" w:cs="Times New Roman"/>
          <w:i/>
          <w:iCs/>
          <w:kern w:val="0"/>
          <w:sz w:val="16"/>
          <w:szCs w:val="16"/>
          <w:lang w:val="en-RS" w:eastAsia="en-GB"/>
          <w14:ligatures w14:val="none"/>
        </w:rPr>
        <w:t>Medical Mycology, 56</w:t>
      </w:r>
      <w:r w:rsidRPr="008C797A">
        <w:rPr>
          <w:rFonts w:ascii="Times New Roman" w:eastAsia="Times New Roman" w:hAnsi="Times New Roman" w:cs="Times New Roman"/>
          <w:kern w:val="0"/>
          <w:sz w:val="16"/>
          <w:szCs w:val="16"/>
          <w:lang w:val="en-RS" w:eastAsia="en-GB"/>
          <w14:ligatures w14:val="none"/>
        </w:rPr>
        <w:t>(</w:t>
      </w:r>
      <w:r w:rsidR="00D15800" w:rsidRPr="008C797A">
        <w:rPr>
          <w:rFonts w:ascii="Times New Roman" w:eastAsia="Times New Roman" w:hAnsi="Times New Roman" w:cs="Times New Roman"/>
          <w:kern w:val="0"/>
          <w:sz w:val="16"/>
          <w:szCs w:val="16"/>
          <w:lang w:val="en-RS" w:eastAsia="en-GB"/>
          <w14:ligatures w14:val="none"/>
        </w:rPr>
        <w:t>2</w:t>
      </w:r>
      <w:r w:rsidRPr="008C797A">
        <w:rPr>
          <w:rFonts w:ascii="Times New Roman" w:eastAsia="Times New Roman" w:hAnsi="Times New Roman" w:cs="Times New Roman"/>
          <w:kern w:val="0"/>
          <w:sz w:val="16"/>
          <w:szCs w:val="16"/>
          <w:lang w:val="en-RS" w:eastAsia="en-GB"/>
          <w14:ligatures w14:val="none"/>
        </w:rPr>
        <w:t>), 1</w:t>
      </w:r>
      <w:r w:rsidR="00D15800" w:rsidRPr="008C797A">
        <w:rPr>
          <w:rFonts w:ascii="Times New Roman" w:eastAsia="Times New Roman" w:hAnsi="Times New Roman" w:cs="Times New Roman"/>
          <w:kern w:val="0"/>
          <w:sz w:val="16"/>
          <w:szCs w:val="16"/>
          <w:lang w:val="en-RS" w:eastAsia="en-GB"/>
          <w14:ligatures w14:val="none"/>
        </w:rPr>
        <w:t>29</w:t>
      </w:r>
      <w:r w:rsidRPr="008C797A">
        <w:rPr>
          <w:rFonts w:ascii="Times New Roman" w:eastAsia="Times New Roman" w:hAnsi="Times New Roman" w:cs="Times New Roman"/>
          <w:kern w:val="0"/>
          <w:sz w:val="16"/>
          <w:szCs w:val="16"/>
          <w:lang w:val="en-RS" w:eastAsia="en-GB"/>
          <w14:ligatures w14:val="none"/>
        </w:rPr>
        <w:t>–1</w:t>
      </w:r>
      <w:r w:rsidR="00D15800" w:rsidRPr="008C797A">
        <w:rPr>
          <w:rFonts w:ascii="Times New Roman" w:eastAsia="Times New Roman" w:hAnsi="Times New Roman" w:cs="Times New Roman"/>
          <w:kern w:val="0"/>
          <w:sz w:val="16"/>
          <w:szCs w:val="16"/>
          <w:lang w:val="en-RS" w:eastAsia="en-GB"/>
          <w14:ligatures w14:val="none"/>
        </w:rPr>
        <w:t>44</w:t>
      </w:r>
      <w:r w:rsidRPr="008C797A">
        <w:rPr>
          <w:rFonts w:ascii="Times New Roman" w:eastAsia="Times New Roman" w:hAnsi="Times New Roman" w:cs="Times New Roman"/>
          <w:kern w:val="0"/>
          <w:sz w:val="16"/>
          <w:szCs w:val="16"/>
          <w:lang w:val="en-RS" w:eastAsia="en-GB"/>
          <w14:ligatures w14:val="none"/>
        </w:rPr>
        <w:t>.</w:t>
      </w:r>
      <w:r w:rsidR="003B2712" w:rsidRPr="008C797A">
        <w:rPr>
          <w:rFonts w:ascii="Times New Roman" w:eastAsia="Times New Roman" w:hAnsi="Times New Roman" w:cs="Times New Roman"/>
          <w:kern w:val="0"/>
          <w:sz w:val="16"/>
          <w:szCs w:val="16"/>
          <w:lang w:val="en-RS" w:eastAsia="en-GB"/>
          <w14:ligatures w14:val="none"/>
        </w:rPr>
        <w:t xml:space="preserve"> </w:t>
      </w:r>
      <w:hyperlink r:id="rId168" w:history="1">
        <w:r w:rsidR="00FB6FF5" w:rsidRPr="00FB6FF5">
          <w:rPr>
            <w:rStyle w:val="Hyperlink"/>
            <w:rFonts w:ascii="Times New Roman" w:eastAsia="Times New Roman" w:hAnsi="Times New Roman" w:cs="Times New Roman"/>
            <w:kern w:val="0"/>
            <w:sz w:val="16"/>
            <w:szCs w:val="16"/>
            <w:lang w:val="en-RS" w:eastAsia="en-GB"/>
            <w14:ligatures w14:val="none"/>
          </w:rPr>
          <w:t>https://doi.org/</w:t>
        </w:r>
        <w:r w:rsidR="00FB6FF5" w:rsidRPr="00FB6FF5">
          <w:rPr>
            <w:rStyle w:val="Hyperlink"/>
            <w:rFonts w:ascii="Times New Roman" w:hAnsi="Times New Roman" w:cs="Times New Roman"/>
            <w:kern w:val="0"/>
            <w:sz w:val="16"/>
            <w:szCs w:val="16"/>
          </w:rPr>
          <w:t>10.1093/mmy/myx037</w:t>
        </w:r>
      </w:hyperlink>
      <w:r w:rsidR="00FB6FF5" w:rsidRPr="00FB6FF5">
        <w:rPr>
          <w:rFonts w:ascii="Times New Roman" w:hAnsi="Times New Roman" w:cs="Times New Roman"/>
          <w:kern w:val="0"/>
          <w:sz w:val="16"/>
          <w:szCs w:val="16"/>
        </w:rPr>
        <w:t xml:space="preserve"> </w:t>
      </w:r>
      <w:r w:rsidR="003B2712" w:rsidRPr="00FB6FF5">
        <w:rPr>
          <w:rFonts w:ascii="Times New Roman" w:hAnsi="Times New Roman" w:cs="Times New Roman"/>
          <w:kern w:val="0"/>
          <w:sz w:val="16"/>
          <w:szCs w:val="16"/>
        </w:rPr>
        <w:t xml:space="preserve"> </w:t>
      </w:r>
    </w:p>
    <w:p w14:paraId="60BF0603" w14:textId="7C3580BA" w:rsidR="00D15800"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Akter, R., Naish, S., Hu, W., &amp; Tong, S. (2017). Socio-demographic, ecological factors and dengue infection trends in Australia. </w:t>
      </w:r>
      <w:r w:rsidRPr="008C797A">
        <w:rPr>
          <w:rFonts w:ascii="Times New Roman" w:eastAsia="Times New Roman" w:hAnsi="Times New Roman" w:cs="Times New Roman"/>
          <w:i/>
          <w:iCs/>
          <w:kern w:val="0"/>
          <w:sz w:val="16"/>
          <w:szCs w:val="16"/>
          <w:lang w:val="en-RS" w:eastAsia="en-GB"/>
          <w14:ligatures w14:val="none"/>
        </w:rPr>
        <w:t>PLOS ONE, 12</w:t>
      </w:r>
      <w:r w:rsidRPr="008C797A">
        <w:rPr>
          <w:rFonts w:ascii="Times New Roman" w:eastAsia="Times New Roman" w:hAnsi="Times New Roman" w:cs="Times New Roman"/>
          <w:kern w:val="0"/>
          <w:sz w:val="16"/>
          <w:szCs w:val="16"/>
          <w:lang w:val="en-RS" w:eastAsia="en-GB"/>
          <w14:ligatures w14:val="none"/>
        </w:rPr>
        <w:t>(10), e0185551. </w:t>
      </w:r>
      <w:hyperlink r:id="rId169" w:history="1">
        <w:r w:rsidR="00FB6FF5" w:rsidRPr="00341C23">
          <w:rPr>
            <w:rStyle w:val="Hyperlink"/>
            <w:rFonts w:ascii="Times New Roman" w:eastAsia="Times New Roman" w:hAnsi="Times New Roman" w:cs="Times New Roman"/>
            <w:kern w:val="0"/>
            <w:sz w:val="16"/>
            <w:szCs w:val="16"/>
            <w:lang w:val="en-RS" w:eastAsia="en-GB"/>
            <w14:ligatures w14:val="none"/>
          </w:rPr>
          <w:t>https://doi.org/10.1371/journal.pone.0185551</w:t>
        </w:r>
      </w:hyperlink>
      <w:r w:rsidR="00FB6FF5">
        <w:rPr>
          <w:rFonts w:ascii="Times New Roman" w:eastAsia="Times New Roman" w:hAnsi="Times New Roman" w:cs="Times New Roman"/>
          <w:kern w:val="0"/>
          <w:sz w:val="16"/>
          <w:szCs w:val="16"/>
          <w:lang w:val="en-RS" w:eastAsia="en-GB"/>
          <w14:ligatures w14:val="none"/>
        </w:rPr>
        <w:t xml:space="preserve"> </w:t>
      </w:r>
    </w:p>
    <w:p w14:paraId="10276BE6" w14:textId="039FB999" w:rsidR="00D15800"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Almalki, M., &amp; Karunamoorthi, K. (2024). Impact of bio-geo-ecological determinants on the current and future mosquito fauna in the Kingdom of Saudi Arabia: Challenges and emerging innovative bio-computational opportunities. </w:t>
      </w:r>
      <w:r w:rsidRPr="008C797A">
        <w:rPr>
          <w:rFonts w:ascii="Times New Roman" w:eastAsia="Times New Roman" w:hAnsi="Times New Roman" w:cs="Times New Roman"/>
          <w:i/>
          <w:iCs/>
          <w:kern w:val="0"/>
          <w:sz w:val="16"/>
          <w:szCs w:val="16"/>
          <w:lang w:val="en-RS" w:eastAsia="en-GB"/>
          <w14:ligatures w14:val="none"/>
        </w:rPr>
        <w:t xml:space="preserve">Current Tropical Medicine Reports, </w:t>
      </w:r>
      <w:r w:rsidR="00D15800" w:rsidRPr="008C797A">
        <w:rPr>
          <w:rFonts w:ascii="Times New Roman" w:hAnsi="Times New Roman" w:cs="Times New Roman"/>
          <w:i/>
          <w:iCs/>
          <w:color w:val="000000"/>
          <w:kern w:val="0"/>
          <w:sz w:val="16"/>
          <w:szCs w:val="16"/>
        </w:rPr>
        <w:t xml:space="preserve">11:41–59. </w:t>
      </w:r>
      <w:hyperlink r:id="rId170" w:history="1">
        <w:r w:rsidR="00FB6FF5" w:rsidRPr="00FB6FF5">
          <w:rPr>
            <w:rStyle w:val="Hyperlink"/>
            <w:rFonts w:ascii="Times New Roman" w:hAnsi="Times New Roman" w:cs="Times New Roman"/>
            <w:kern w:val="0"/>
            <w:sz w:val="16"/>
            <w:szCs w:val="16"/>
          </w:rPr>
          <w:t>https://doi.org/10.1007/s40475-024-00315-1</w:t>
        </w:r>
      </w:hyperlink>
      <w:r w:rsidR="00FB6FF5">
        <w:rPr>
          <w:rFonts w:ascii="Times New Roman" w:hAnsi="Times New Roman" w:cs="Times New Roman"/>
          <w:i/>
          <w:iCs/>
          <w:color w:val="000000"/>
          <w:kern w:val="0"/>
          <w:sz w:val="16"/>
          <w:szCs w:val="16"/>
        </w:rPr>
        <w:t xml:space="preserve"> </w:t>
      </w:r>
    </w:p>
    <w:p w14:paraId="569B7AB6" w14:textId="0347B3D7" w:rsidR="00D15800"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Basir, M. F. M., Hassan, N. M. A., Mohamad, I. A., Mohamed, S., Kutubudin, A. F. M., Aziz, M. Z. A., </w:t>
      </w:r>
      <w:r w:rsidR="00E6427C" w:rsidRPr="008C797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xml:space="preserve"> (2024). Biological and ecological determinants of Hand Foot and Mouth Disease (HFMD) in coastal districts of northeastern Peninsular Malaysia: A 5-year retrospective study. </w:t>
      </w:r>
      <w:r w:rsidRPr="008C797A">
        <w:rPr>
          <w:rFonts w:ascii="Times New Roman" w:eastAsia="Times New Roman" w:hAnsi="Times New Roman" w:cs="Times New Roman"/>
          <w:i/>
          <w:iCs/>
          <w:kern w:val="0"/>
          <w:sz w:val="16"/>
          <w:szCs w:val="16"/>
          <w:lang w:val="en-RS" w:eastAsia="en-GB"/>
          <w14:ligatures w14:val="none"/>
        </w:rPr>
        <w:t xml:space="preserve">Journal of Public Health and Development, </w:t>
      </w:r>
      <w:r w:rsidR="00D15800" w:rsidRPr="008C797A">
        <w:rPr>
          <w:rFonts w:ascii="Times New Roman" w:eastAsia="Times New Roman" w:hAnsi="Times New Roman" w:cs="Times New Roman"/>
          <w:i/>
          <w:iCs/>
          <w:kern w:val="0"/>
          <w:sz w:val="16"/>
          <w:szCs w:val="16"/>
          <w:lang w:eastAsia="en-GB"/>
          <w14:ligatures w14:val="none"/>
        </w:rPr>
        <w:t xml:space="preserve">22(3):256-271. </w:t>
      </w:r>
      <w:hyperlink r:id="rId171" w:history="1">
        <w:r w:rsidR="00FB6FF5" w:rsidRPr="00FB6FF5">
          <w:rPr>
            <w:rStyle w:val="Hyperlink"/>
            <w:rFonts w:ascii="Times New Roman" w:eastAsia="Times New Roman" w:hAnsi="Times New Roman" w:cs="Times New Roman"/>
            <w:kern w:val="0"/>
            <w:sz w:val="16"/>
            <w:szCs w:val="16"/>
            <w:lang w:eastAsia="en-GB"/>
            <w14:ligatures w14:val="none"/>
          </w:rPr>
          <w:t>https://doi.org/10.55131/jphd/2024/220321</w:t>
        </w:r>
      </w:hyperlink>
      <w:r w:rsidR="00FB6FF5">
        <w:rPr>
          <w:rFonts w:ascii="Times New Roman" w:eastAsia="Times New Roman" w:hAnsi="Times New Roman" w:cs="Times New Roman"/>
          <w:i/>
          <w:iCs/>
          <w:kern w:val="0"/>
          <w:sz w:val="16"/>
          <w:szCs w:val="16"/>
          <w:lang w:eastAsia="en-GB"/>
          <w14:ligatures w14:val="none"/>
        </w:rPr>
        <w:t xml:space="preserve"> </w:t>
      </w:r>
    </w:p>
    <w:p w14:paraId="7299B144" w14:textId="03227B83" w:rsidR="00C41A1D"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Bennett, C., Russel, W., Upton, R., Frey, F., &amp; Taye, B. (2024). Social and ecological determinants of antimicrobial resistance in Africa: A systematic review of epidemiological evidence. </w:t>
      </w:r>
      <w:r w:rsidRPr="008C797A">
        <w:rPr>
          <w:rFonts w:ascii="Times New Roman" w:eastAsia="Times New Roman" w:hAnsi="Times New Roman" w:cs="Times New Roman"/>
          <w:i/>
          <w:iCs/>
          <w:kern w:val="0"/>
          <w:sz w:val="16"/>
          <w:szCs w:val="16"/>
          <w:lang w:val="en-RS" w:eastAsia="en-GB"/>
          <w14:ligatures w14:val="none"/>
        </w:rPr>
        <w:t xml:space="preserve">Antimicrobial Stewardship &amp; Healthcare Epidemiology, </w:t>
      </w:r>
      <w:r w:rsidR="00D15800" w:rsidRPr="008C797A">
        <w:rPr>
          <w:rFonts w:ascii="Times New Roman" w:hAnsi="Times New Roman" w:cs="Times New Roman"/>
          <w:i/>
          <w:iCs/>
          <w:color w:val="000000"/>
          <w:kern w:val="0"/>
          <w:sz w:val="16"/>
          <w:szCs w:val="16"/>
        </w:rPr>
        <w:t xml:space="preserve">4, e119, 1–8. </w:t>
      </w:r>
      <w:hyperlink r:id="rId172" w:history="1">
        <w:r w:rsidR="00FB6FF5" w:rsidRPr="00341C23">
          <w:rPr>
            <w:rStyle w:val="Hyperlink"/>
            <w:rFonts w:ascii="Times New Roman" w:hAnsi="Times New Roman" w:cs="Times New Roman"/>
            <w:kern w:val="0"/>
            <w:sz w:val="16"/>
            <w:szCs w:val="16"/>
          </w:rPr>
          <w:t>https://doi.org/10.1017/ash.2024.375</w:t>
        </w:r>
      </w:hyperlink>
      <w:r w:rsidR="00FB6FF5">
        <w:rPr>
          <w:rFonts w:ascii="Times New Roman" w:hAnsi="Times New Roman" w:cs="Times New Roman"/>
          <w:kern w:val="0"/>
          <w:sz w:val="16"/>
          <w:szCs w:val="16"/>
        </w:rPr>
        <w:t xml:space="preserve"> </w:t>
      </w:r>
    </w:p>
    <w:p w14:paraId="3060B74B" w14:textId="7147B120" w:rsidR="00C41A1D"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Blakely, T. A., &amp; Woodward, A. J. (2000). Ecological effects in multi-level studies. </w:t>
      </w:r>
      <w:r w:rsidRPr="008C797A">
        <w:rPr>
          <w:rFonts w:ascii="Times New Roman" w:eastAsia="Times New Roman" w:hAnsi="Times New Roman" w:cs="Times New Roman"/>
          <w:i/>
          <w:iCs/>
          <w:kern w:val="0"/>
          <w:sz w:val="16"/>
          <w:szCs w:val="16"/>
          <w:lang w:val="en-RS" w:eastAsia="en-GB"/>
          <w14:ligatures w14:val="none"/>
        </w:rPr>
        <w:t>Journal of Epidemiology and Community Health, 54</w:t>
      </w:r>
      <w:r w:rsidRPr="008C797A">
        <w:rPr>
          <w:rFonts w:ascii="Times New Roman" w:eastAsia="Times New Roman" w:hAnsi="Times New Roman" w:cs="Times New Roman"/>
          <w:kern w:val="0"/>
          <w:sz w:val="16"/>
          <w:szCs w:val="16"/>
          <w:lang w:val="en-RS" w:eastAsia="en-GB"/>
          <w14:ligatures w14:val="none"/>
        </w:rPr>
        <w:t>(5), 367–374. </w:t>
      </w:r>
      <w:hyperlink r:id="rId173" w:history="1">
        <w:r w:rsidR="00FB6FF5" w:rsidRPr="00341C23">
          <w:rPr>
            <w:rStyle w:val="Hyperlink"/>
            <w:rFonts w:ascii="Times New Roman" w:eastAsia="Times New Roman" w:hAnsi="Times New Roman" w:cs="Times New Roman"/>
            <w:kern w:val="0"/>
            <w:sz w:val="16"/>
            <w:szCs w:val="16"/>
            <w:lang w:val="en-RS" w:eastAsia="en-GB"/>
            <w14:ligatures w14:val="none"/>
          </w:rPr>
          <w:t>https://doi.org/10.1136/jech.54.5.367</w:t>
        </w:r>
      </w:hyperlink>
      <w:r w:rsidR="00FB6FF5">
        <w:rPr>
          <w:rFonts w:ascii="Times New Roman" w:eastAsia="Times New Roman" w:hAnsi="Times New Roman" w:cs="Times New Roman"/>
          <w:kern w:val="0"/>
          <w:sz w:val="16"/>
          <w:szCs w:val="16"/>
          <w:lang w:val="en-RS" w:eastAsia="en-GB"/>
          <w14:ligatures w14:val="none"/>
        </w:rPr>
        <w:t xml:space="preserve"> </w:t>
      </w:r>
    </w:p>
    <w:p w14:paraId="6BA1CA2F" w14:textId="751783FA" w:rsidR="00D15800" w:rsidRPr="008C797A" w:rsidRDefault="0014239D"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hAnsi="Times New Roman" w:cs="Times New Roman"/>
          <w:color w:val="000000"/>
          <w:sz w:val="16"/>
          <w:szCs w:val="16"/>
        </w:rPr>
        <w:t>Bogart, L. M., Ransome, Y., Allen, W., Higgins-Biddle, M., &amp; Ojikutu, B. O. (2019). HIV-related medical mistrust, HIV testing, and HIV risk in the National Survey on HIV in the Black Community.</w:t>
      </w:r>
      <w:r w:rsidRPr="008C797A">
        <w:rPr>
          <w:rStyle w:val="apple-converted-space"/>
          <w:rFonts w:ascii="Times New Roman" w:hAnsi="Times New Roman" w:cs="Times New Roman"/>
          <w:color w:val="000000"/>
          <w:sz w:val="16"/>
          <w:szCs w:val="16"/>
        </w:rPr>
        <w:t> </w:t>
      </w:r>
      <w:r w:rsidRPr="008C797A">
        <w:rPr>
          <w:rStyle w:val="Emphasis"/>
          <w:rFonts w:ascii="Times New Roman" w:hAnsi="Times New Roman" w:cs="Times New Roman"/>
          <w:color w:val="000000"/>
          <w:sz w:val="16"/>
          <w:szCs w:val="16"/>
        </w:rPr>
        <w:t>Behavioral Medicine, 45</w:t>
      </w:r>
      <w:r w:rsidRPr="008C797A">
        <w:rPr>
          <w:rFonts w:ascii="Times New Roman" w:hAnsi="Times New Roman" w:cs="Times New Roman"/>
          <w:color w:val="000000"/>
          <w:sz w:val="16"/>
          <w:szCs w:val="16"/>
        </w:rPr>
        <w:t>(2), 134–142.</w:t>
      </w:r>
      <w:r w:rsidR="00D15800" w:rsidRPr="008C797A">
        <w:rPr>
          <w:rStyle w:val="apple-converted-space"/>
          <w:rFonts w:ascii="Times New Roman" w:hAnsi="Times New Roman" w:cs="Times New Roman"/>
          <w:color w:val="000000"/>
          <w:sz w:val="16"/>
          <w:szCs w:val="16"/>
        </w:rPr>
        <w:t xml:space="preserve"> </w:t>
      </w:r>
      <w:hyperlink r:id="rId174" w:history="1">
        <w:r w:rsidR="00FB6FF5" w:rsidRPr="00341C23">
          <w:rPr>
            <w:rStyle w:val="Hyperlink"/>
            <w:rFonts w:ascii="Times New Roman" w:hAnsi="Times New Roman" w:cs="Times New Roman"/>
            <w:sz w:val="16"/>
            <w:szCs w:val="16"/>
          </w:rPr>
          <w:t>https://doi.org/10.1080/08964289.2019.1585324</w:t>
        </w:r>
      </w:hyperlink>
      <w:r w:rsidR="00FB6FF5">
        <w:rPr>
          <w:rFonts w:ascii="Times New Roman" w:eastAsia="Times New Roman" w:hAnsi="Times New Roman" w:cs="Times New Roman"/>
          <w:kern w:val="0"/>
          <w:sz w:val="16"/>
          <w:szCs w:val="16"/>
          <w:lang w:val="en-RS" w:eastAsia="en-GB"/>
          <w14:ligatures w14:val="none"/>
        </w:rPr>
        <w:t xml:space="preserve"> </w:t>
      </w:r>
    </w:p>
    <w:p w14:paraId="7B5E284D" w14:textId="77777777" w:rsidR="00E6427C"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Bohra, B., Srivastava, K. S., Raj, A., Pal, N., &amp; Shukla, R. (2025). Kyasanur Forest Disease Virus: Epidemiological insights, pathogenesis, therapeutic strategies, and advances in vaccines and diagnostics. </w:t>
      </w:r>
      <w:r w:rsidRPr="008C797A">
        <w:rPr>
          <w:rFonts w:ascii="Times New Roman" w:eastAsia="Times New Roman" w:hAnsi="Times New Roman" w:cs="Times New Roman"/>
          <w:i/>
          <w:iCs/>
          <w:kern w:val="0"/>
          <w:sz w:val="16"/>
          <w:szCs w:val="16"/>
          <w:lang w:val="en-RS" w:eastAsia="en-GB"/>
          <w14:ligatures w14:val="none"/>
        </w:rPr>
        <w:t xml:space="preserve">Viruses, </w:t>
      </w:r>
      <w:r w:rsidR="00D15800" w:rsidRPr="008C797A">
        <w:rPr>
          <w:rFonts w:ascii="Times New Roman" w:hAnsi="Times New Roman" w:cs="Times New Roman"/>
          <w:i/>
          <w:iCs/>
          <w:kern w:val="0"/>
          <w:sz w:val="16"/>
          <w:szCs w:val="16"/>
        </w:rPr>
        <w:t xml:space="preserve">17, 1022. </w:t>
      </w:r>
      <w:hyperlink r:id="rId175" w:history="1">
        <w:r w:rsidR="00D15800" w:rsidRPr="008C797A">
          <w:rPr>
            <w:rStyle w:val="Hyperlink"/>
            <w:rFonts w:ascii="Times New Roman" w:hAnsi="Times New Roman" w:cs="Times New Roman"/>
            <w:kern w:val="0"/>
            <w:sz w:val="16"/>
            <w:szCs w:val="16"/>
          </w:rPr>
          <w:t>https://doi.org/10.3390/v17081022</w:t>
        </w:r>
      </w:hyperlink>
    </w:p>
    <w:p w14:paraId="62F185D4" w14:textId="6313714C" w:rsidR="00C41A1D"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Buse, C. G., Hancock, T., Allison, S., Astle, B., Cole, D., Fumerton, R., </w:t>
      </w:r>
      <w:r w:rsidR="00E6427C" w:rsidRPr="008C797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(2023). Where are the ecological determinants of health? </w:t>
      </w:r>
      <w:r w:rsidRPr="008C797A">
        <w:rPr>
          <w:rFonts w:ascii="Times New Roman" w:eastAsia="Times New Roman" w:hAnsi="Times New Roman" w:cs="Times New Roman"/>
          <w:i/>
          <w:iCs/>
          <w:kern w:val="0"/>
          <w:sz w:val="16"/>
          <w:szCs w:val="16"/>
          <w:lang w:val="en-RS" w:eastAsia="en-GB"/>
          <w14:ligatures w14:val="none"/>
        </w:rPr>
        <w:t xml:space="preserve">Canadian Journal of Public Health, </w:t>
      </w:r>
      <w:r w:rsidR="00E6427C" w:rsidRPr="008C797A">
        <w:rPr>
          <w:rFonts w:ascii="Times New Roman" w:hAnsi="Times New Roman" w:cs="Times New Roman"/>
          <w:i/>
          <w:iCs/>
          <w:kern w:val="0"/>
          <w:sz w:val="16"/>
          <w:szCs w:val="16"/>
        </w:rPr>
        <w:t xml:space="preserve">114:152–153. </w:t>
      </w:r>
      <w:hyperlink r:id="rId176" w:history="1">
        <w:r w:rsidR="00FB6FF5" w:rsidRPr="00341C23">
          <w:rPr>
            <w:rStyle w:val="Hyperlink"/>
            <w:rFonts w:ascii="Times New Roman" w:hAnsi="Times New Roman" w:cs="Times New Roman"/>
            <w:kern w:val="0"/>
            <w:sz w:val="16"/>
            <w:szCs w:val="16"/>
          </w:rPr>
          <w:t>https://doi.org/10.17269/s41997-022-00720-x</w:t>
        </w:r>
      </w:hyperlink>
      <w:r w:rsidR="00FB6FF5">
        <w:rPr>
          <w:rFonts w:ascii="Times New Roman" w:hAnsi="Times New Roman" w:cs="Times New Roman"/>
          <w:i/>
          <w:iCs/>
          <w:kern w:val="0"/>
          <w:sz w:val="16"/>
          <w:szCs w:val="16"/>
        </w:rPr>
        <w:t xml:space="preserve"> </w:t>
      </w:r>
    </w:p>
    <w:p w14:paraId="43F631DB" w14:textId="16936F32" w:rsidR="00707A4A" w:rsidRPr="008C797A" w:rsidRDefault="00707A4A"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eastAsia="en-GB"/>
          <w14:ligatures w14:val="none"/>
        </w:rPr>
        <w:t>Capps, B. (2024). The environment, population health ethics, and genomics. In D. Kumar &amp; R. Chadwick (Eds.), </w:t>
      </w:r>
      <w:r w:rsidRPr="008C797A">
        <w:rPr>
          <w:rFonts w:ascii="Times New Roman" w:eastAsia="Times New Roman" w:hAnsi="Times New Roman" w:cs="Times New Roman"/>
          <w:i/>
          <w:iCs/>
          <w:kern w:val="0"/>
          <w:sz w:val="16"/>
          <w:szCs w:val="16"/>
          <w:lang w:eastAsia="en-GB"/>
          <w14:ligatures w14:val="none"/>
        </w:rPr>
        <w:t>Genomics, populations, and society</w:t>
      </w:r>
      <w:r w:rsidRPr="008C797A">
        <w:rPr>
          <w:rFonts w:ascii="Times New Roman" w:eastAsia="Times New Roman" w:hAnsi="Times New Roman" w:cs="Times New Roman"/>
          <w:kern w:val="0"/>
          <w:sz w:val="16"/>
          <w:szCs w:val="16"/>
          <w:lang w:eastAsia="en-GB"/>
          <w14:ligatures w14:val="none"/>
        </w:rPr>
        <w:t> (pp. 253–271). Elsevier. </w:t>
      </w:r>
      <w:hyperlink r:id="rId177" w:history="1">
        <w:r w:rsidR="00FB6FF5" w:rsidRPr="00341C23">
          <w:rPr>
            <w:rStyle w:val="Hyperlink"/>
            <w:rFonts w:ascii="Times New Roman" w:eastAsia="Times New Roman" w:hAnsi="Times New Roman" w:cs="Times New Roman"/>
            <w:kern w:val="0"/>
            <w:sz w:val="16"/>
            <w:szCs w:val="16"/>
            <w:lang w:eastAsia="en-GB"/>
            <w14:ligatures w14:val="none"/>
          </w:rPr>
          <w:t>https://doi.org/10.1016/B978-0-323-91799-5.00011-5</w:t>
        </w:r>
      </w:hyperlink>
      <w:r w:rsidR="00FB6FF5">
        <w:rPr>
          <w:rFonts w:ascii="Times New Roman" w:eastAsia="Times New Roman" w:hAnsi="Times New Roman" w:cs="Times New Roman"/>
          <w:kern w:val="0"/>
          <w:sz w:val="16"/>
          <w:szCs w:val="16"/>
          <w:lang w:eastAsia="en-GB"/>
          <w14:ligatures w14:val="none"/>
        </w:rPr>
        <w:t xml:space="preserve"> </w:t>
      </w:r>
    </w:p>
    <w:p w14:paraId="5B09C76E" w14:textId="218FBEB6" w:rsidR="00C41A1D" w:rsidRPr="008C797A" w:rsidRDefault="00C1481B" w:rsidP="008C797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Capps, B., Chadwick, R., Lederman, Z., Lysaght, T., Mills, C., Mulvihill, J. J., </w:t>
      </w:r>
      <w:r w:rsidR="00B8224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xml:space="preserve"> (2023). The Human Genome Organisation (HUGO) and a vision for Ecogenomics: The Ecological Genome Project. </w:t>
      </w:r>
      <w:r w:rsidRPr="008C797A">
        <w:rPr>
          <w:rFonts w:ascii="Times New Roman" w:eastAsia="Times New Roman" w:hAnsi="Times New Roman" w:cs="Times New Roman"/>
          <w:i/>
          <w:iCs/>
          <w:kern w:val="0"/>
          <w:sz w:val="16"/>
          <w:szCs w:val="16"/>
          <w:lang w:val="en-RS" w:eastAsia="en-GB"/>
          <w14:ligatures w14:val="none"/>
        </w:rPr>
        <w:t>Human Genomics, 17</w:t>
      </w:r>
      <w:r w:rsidR="003B2712" w:rsidRPr="008C797A">
        <w:rPr>
          <w:rFonts w:ascii="Times New Roman" w:eastAsia="Times New Roman" w:hAnsi="Times New Roman" w:cs="Times New Roman"/>
          <w:kern w:val="0"/>
          <w:sz w:val="16"/>
          <w:szCs w:val="16"/>
          <w:lang w:val="en-RS" w:eastAsia="en-GB"/>
          <w14:ligatures w14:val="none"/>
        </w:rPr>
        <w:t xml:space="preserve">:115. </w:t>
      </w:r>
      <w:hyperlink r:id="rId178" w:history="1">
        <w:r w:rsidR="003B2712" w:rsidRPr="008C797A">
          <w:rPr>
            <w:rStyle w:val="Hyperlink"/>
            <w:rFonts w:ascii="Times New Roman" w:hAnsi="Times New Roman" w:cs="Times New Roman"/>
            <w:kern w:val="0"/>
            <w:sz w:val="16"/>
            <w:szCs w:val="16"/>
          </w:rPr>
          <w:t>https://doi.org/10.1186/s40246-023-00560-x</w:t>
        </w:r>
      </w:hyperlink>
      <w:r w:rsidR="003B2712" w:rsidRPr="008C797A">
        <w:rPr>
          <w:rFonts w:ascii="Times New Roman" w:hAnsi="Times New Roman" w:cs="Times New Roman"/>
          <w:i/>
          <w:iCs/>
          <w:kern w:val="0"/>
          <w:sz w:val="16"/>
          <w:szCs w:val="16"/>
        </w:rPr>
        <w:t xml:space="preserve"> </w:t>
      </w:r>
    </w:p>
    <w:p w14:paraId="462AD7F9" w14:textId="77777777" w:rsidR="0084739A" w:rsidRPr="0084739A" w:rsidRDefault="00C1481B" w:rsidP="0084739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Carrier, K., &amp; Padilla, B. I. (2025). Environmental contributors to chronic kidney disease: A screening and prevention agenda for nurse practitioners. </w:t>
      </w:r>
      <w:r w:rsidRPr="008C797A">
        <w:rPr>
          <w:rFonts w:ascii="Times New Roman" w:eastAsia="Times New Roman" w:hAnsi="Times New Roman" w:cs="Times New Roman"/>
          <w:i/>
          <w:iCs/>
          <w:kern w:val="0"/>
          <w:sz w:val="16"/>
          <w:szCs w:val="16"/>
          <w:lang w:val="en-RS" w:eastAsia="en-GB"/>
          <w14:ligatures w14:val="none"/>
        </w:rPr>
        <w:t>Journal for Nurse Practitioners, 21</w:t>
      </w:r>
      <w:r w:rsidR="003B2712" w:rsidRPr="008C797A">
        <w:rPr>
          <w:rFonts w:ascii="Times New Roman" w:eastAsia="Times New Roman" w:hAnsi="Times New Roman" w:cs="Times New Roman"/>
          <w:kern w:val="0"/>
          <w:sz w:val="16"/>
          <w:szCs w:val="16"/>
          <w:lang w:val="en-RS" w:eastAsia="en-GB"/>
          <w14:ligatures w14:val="none"/>
        </w:rPr>
        <w:t>:105512</w:t>
      </w:r>
      <w:r w:rsidRPr="008C797A">
        <w:rPr>
          <w:rFonts w:ascii="Times New Roman" w:eastAsia="Times New Roman" w:hAnsi="Times New Roman" w:cs="Times New Roman"/>
          <w:kern w:val="0"/>
          <w:sz w:val="16"/>
          <w:szCs w:val="16"/>
          <w:lang w:val="en-RS" w:eastAsia="en-GB"/>
          <w14:ligatures w14:val="none"/>
        </w:rPr>
        <w:t>. </w:t>
      </w:r>
      <w:hyperlink r:id="rId179" w:history="1">
        <w:r w:rsidR="003B2712" w:rsidRPr="008C797A">
          <w:rPr>
            <w:rStyle w:val="Hyperlink"/>
            <w:rFonts w:ascii="Times New Roman" w:hAnsi="Times New Roman" w:cs="Times New Roman"/>
            <w:sz w:val="16"/>
            <w:szCs w:val="16"/>
          </w:rPr>
          <w:t>https://doi.org/10.1016/j.nurpra.2025.105512</w:t>
        </w:r>
      </w:hyperlink>
      <w:r w:rsidR="003B2712" w:rsidRPr="008C797A">
        <w:rPr>
          <w:rFonts w:ascii="Times New Roman" w:hAnsi="Times New Roman" w:cs="Times New Roman"/>
          <w:sz w:val="16"/>
          <w:szCs w:val="16"/>
        </w:rPr>
        <w:t xml:space="preserve"> </w:t>
      </w:r>
    </w:p>
    <w:p w14:paraId="4F887ADB" w14:textId="36ED6195" w:rsidR="0084739A" w:rsidRPr="0084739A" w:rsidRDefault="0084739A" w:rsidP="0084739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4739A">
        <w:rPr>
          <w:rFonts w:ascii="Times New Roman" w:eastAsia="Times New Roman" w:hAnsi="Times New Roman" w:cs="Times New Roman"/>
          <w:kern w:val="0"/>
          <w:sz w:val="16"/>
          <w:szCs w:val="16"/>
          <w:lang w:eastAsia="en-GB"/>
          <w14:ligatures w14:val="none"/>
        </w:rPr>
        <w:t>Colombo, A. P. V., &amp; Tanner, A. C. R. (2019). The role of bacterial biofilms in dental caries and periodontal and peri-implant diseases: A historical perspective. </w:t>
      </w:r>
      <w:r w:rsidRPr="0084739A">
        <w:rPr>
          <w:rFonts w:ascii="Times New Roman" w:eastAsia="Times New Roman" w:hAnsi="Times New Roman" w:cs="Times New Roman"/>
          <w:i/>
          <w:iCs/>
          <w:kern w:val="0"/>
          <w:sz w:val="16"/>
          <w:szCs w:val="16"/>
          <w:lang w:eastAsia="en-GB"/>
          <w14:ligatures w14:val="none"/>
        </w:rPr>
        <w:t>Journal of Dental Research, 98</w:t>
      </w:r>
      <w:r w:rsidRPr="0084739A">
        <w:rPr>
          <w:rFonts w:ascii="Times New Roman" w:eastAsia="Times New Roman" w:hAnsi="Times New Roman" w:cs="Times New Roman"/>
          <w:kern w:val="0"/>
          <w:sz w:val="16"/>
          <w:szCs w:val="16"/>
          <w:lang w:eastAsia="en-GB"/>
          <w14:ligatures w14:val="none"/>
        </w:rPr>
        <w:t xml:space="preserve">(4), 373–385. </w:t>
      </w:r>
      <w:hyperlink r:id="rId180" w:history="1">
        <w:r w:rsidR="00FB6FF5" w:rsidRPr="00FB6FF5">
          <w:rPr>
            <w:rStyle w:val="Hyperlink"/>
            <w:rFonts w:ascii="Times New Roman" w:eastAsia="Times New Roman" w:hAnsi="Times New Roman" w:cs="Times New Roman"/>
            <w:kern w:val="0"/>
            <w:sz w:val="16"/>
            <w:szCs w:val="16"/>
            <w:lang w:eastAsia="en-GB"/>
            <w14:ligatures w14:val="none"/>
          </w:rPr>
          <w:t>https://doi.org/</w:t>
        </w:r>
        <w:r w:rsidR="00FB6FF5" w:rsidRPr="00FB6FF5">
          <w:rPr>
            <w:rStyle w:val="Hyperlink"/>
            <w:rFonts w:ascii="Times New Roman" w:hAnsi="Times New Roman" w:cs="Times New Roman"/>
            <w:kern w:val="0"/>
            <w:sz w:val="16"/>
            <w:szCs w:val="16"/>
          </w:rPr>
          <w:t>10.1177/0022034519830686</w:t>
        </w:r>
      </w:hyperlink>
      <w:r w:rsidR="00FB6FF5">
        <w:rPr>
          <w:rFonts w:ascii="Times New Roman" w:hAnsi="Times New Roman" w:cs="Times New Roman"/>
          <w:i/>
          <w:iCs/>
          <w:kern w:val="0"/>
          <w:sz w:val="14"/>
          <w:szCs w:val="14"/>
        </w:rPr>
        <w:t xml:space="preserve"> </w:t>
      </w:r>
    </w:p>
    <w:p w14:paraId="16072376" w14:textId="58A353B3" w:rsidR="002152B0" w:rsidRDefault="002152B0" w:rsidP="0084739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2152B0">
        <w:rPr>
          <w:rFonts w:ascii="Times New Roman" w:eastAsia="Times New Roman" w:hAnsi="Times New Roman" w:cs="Times New Roman"/>
          <w:kern w:val="0"/>
          <w:sz w:val="16"/>
          <w:szCs w:val="16"/>
          <w:lang w:eastAsia="en-GB"/>
          <w14:ligatures w14:val="none"/>
        </w:rPr>
        <w:t>Courtois, P. (2021). Oral peroxidases: From antimicrobial agents to ecological actors (Review). </w:t>
      </w:r>
      <w:r w:rsidRPr="002152B0">
        <w:rPr>
          <w:rFonts w:ascii="Times New Roman" w:eastAsia="Times New Roman" w:hAnsi="Times New Roman" w:cs="Times New Roman"/>
          <w:i/>
          <w:iCs/>
          <w:kern w:val="0"/>
          <w:sz w:val="16"/>
          <w:szCs w:val="16"/>
          <w:lang w:eastAsia="en-GB"/>
          <w14:ligatures w14:val="none"/>
        </w:rPr>
        <w:t>Molecular Medicine Reports, 24</w:t>
      </w:r>
      <w:r w:rsidRPr="002152B0">
        <w:rPr>
          <w:rFonts w:ascii="Times New Roman" w:eastAsia="Times New Roman" w:hAnsi="Times New Roman" w:cs="Times New Roman"/>
          <w:kern w:val="0"/>
          <w:sz w:val="16"/>
          <w:szCs w:val="16"/>
          <w:lang w:eastAsia="en-GB"/>
          <w14:ligatures w14:val="none"/>
        </w:rPr>
        <w:t>(1), 500. </w:t>
      </w:r>
      <w:hyperlink r:id="rId181" w:history="1">
        <w:r w:rsidRPr="00341C23">
          <w:rPr>
            <w:rStyle w:val="Hyperlink"/>
            <w:rFonts w:ascii="Times New Roman" w:eastAsia="Times New Roman" w:hAnsi="Times New Roman" w:cs="Times New Roman"/>
            <w:kern w:val="0"/>
            <w:sz w:val="16"/>
            <w:szCs w:val="16"/>
            <w:lang w:eastAsia="en-GB"/>
            <w14:ligatures w14:val="none"/>
          </w:rPr>
          <w:t>https://doi.org/10.3892/mmr.2021.12139</w:t>
        </w:r>
      </w:hyperlink>
      <w:r>
        <w:rPr>
          <w:rFonts w:ascii="Times New Roman" w:eastAsia="Times New Roman" w:hAnsi="Times New Roman" w:cs="Times New Roman"/>
          <w:kern w:val="0"/>
          <w:sz w:val="16"/>
          <w:szCs w:val="16"/>
          <w:lang w:eastAsia="en-GB"/>
          <w14:ligatures w14:val="none"/>
        </w:rPr>
        <w:t xml:space="preserve"> </w:t>
      </w:r>
    </w:p>
    <w:p w14:paraId="020F18AC" w14:textId="3F8F3940" w:rsidR="00C41A1D" w:rsidRPr="0084739A" w:rsidRDefault="00C1481B" w:rsidP="0084739A">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4739A">
        <w:rPr>
          <w:rFonts w:ascii="Times New Roman" w:eastAsia="Times New Roman" w:hAnsi="Times New Roman" w:cs="Times New Roman"/>
          <w:kern w:val="0"/>
          <w:sz w:val="16"/>
          <w:szCs w:val="16"/>
          <w:lang w:val="en-RS" w:eastAsia="en-GB"/>
          <w14:ligatures w14:val="none"/>
        </w:rPr>
        <w:t>Crosse, A. M., Barry, M. M., Lavelle, M. J., &amp; Sixsmith, J. (2021). Bridging knowledge systems: A community-participatory approach to ecohealth. </w:t>
      </w:r>
      <w:r w:rsidRPr="0084739A">
        <w:rPr>
          <w:rFonts w:ascii="Times New Roman" w:eastAsia="Times New Roman" w:hAnsi="Times New Roman" w:cs="Times New Roman"/>
          <w:i/>
          <w:iCs/>
          <w:kern w:val="0"/>
          <w:sz w:val="16"/>
          <w:szCs w:val="16"/>
          <w:lang w:val="en-RS" w:eastAsia="en-GB"/>
          <w14:ligatures w14:val="none"/>
        </w:rPr>
        <w:t>International Journal of Environmental Research and Public Health, 18</w:t>
      </w:r>
      <w:r w:rsidRPr="0084739A">
        <w:rPr>
          <w:rFonts w:ascii="Times New Roman" w:eastAsia="Times New Roman" w:hAnsi="Times New Roman" w:cs="Times New Roman"/>
          <w:kern w:val="0"/>
          <w:sz w:val="16"/>
          <w:szCs w:val="16"/>
          <w:lang w:val="en-RS" w:eastAsia="en-GB"/>
          <w14:ligatures w14:val="none"/>
        </w:rPr>
        <w:t>(23), 12437.</w:t>
      </w:r>
      <w:r w:rsidR="00707A4A" w:rsidRPr="0084739A">
        <w:rPr>
          <w:rFonts w:ascii="Times New Roman" w:eastAsia="Times New Roman" w:hAnsi="Times New Roman" w:cs="Times New Roman"/>
          <w:kern w:val="0"/>
          <w:sz w:val="16"/>
          <w:szCs w:val="16"/>
          <w:lang w:val="en-RS" w:eastAsia="en-GB"/>
          <w14:ligatures w14:val="none"/>
        </w:rPr>
        <w:t xml:space="preserve"> </w:t>
      </w:r>
      <w:hyperlink r:id="rId182" w:history="1">
        <w:r w:rsidR="00FB6FF5" w:rsidRPr="00341C23">
          <w:rPr>
            <w:rStyle w:val="Hyperlink"/>
            <w:rFonts w:ascii="Times New Roman" w:eastAsia="Times New Roman" w:hAnsi="Times New Roman" w:cs="Times New Roman"/>
            <w:kern w:val="0"/>
            <w:sz w:val="16"/>
            <w:szCs w:val="16"/>
            <w:lang w:val="en-RS" w:eastAsia="en-GB"/>
            <w14:ligatures w14:val="none"/>
          </w:rPr>
          <w:t>https://doi.org/10.3390/ijerph182312437</w:t>
        </w:r>
      </w:hyperlink>
      <w:r w:rsidR="00FB6FF5">
        <w:rPr>
          <w:rFonts w:ascii="Times New Roman" w:eastAsia="Times New Roman" w:hAnsi="Times New Roman" w:cs="Times New Roman"/>
          <w:kern w:val="0"/>
          <w:sz w:val="16"/>
          <w:szCs w:val="16"/>
          <w:lang w:val="en-RS" w:eastAsia="en-GB"/>
          <w14:ligatures w14:val="none"/>
        </w:rPr>
        <w:t xml:space="preserve"> </w:t>
      </w:r>
      <w:r w:rsidR="00707A4A" w:rsidRPr="0084739A">
        <w:rPr>
          <w:rFonts w:ascii="Times New Roman" w:eastAsia="Times New Roman" w:hAnsi="Times New Roman" w:cs="Times New Roman"/>
          <w:kern w:val="0"/>
          <w:sz w:val="16"/>
          <w:szCs w:val="16"/>
          <w:lang w:val="en-RS" w:eastAsia="en-GB"/>
          <w14:ligatures w14:val="none"/>
        </w:rPr>
        <w:t xml:space="preserve"> </w:t>
      </w:r>
      <w:r w:rsidR="00FB6FF5">
        <w:rPr>
          <w:rFonts w:ascii="Times New Roman" w:eastAsia="Times New Roman" w:hAnsi="Times New Roman" w:cs="Times New Roman"/>
          <w:kern w:val="0"/>
          <w:sz w:val="16"/>
          <w:szCs w:val="16"/>
          <w:lang w:val="en-RS" w:eastAsia="en-GB"/>
          <w14:ligatures w14:val="none"/>
        </w:rPr>
        <w:t xml:space="preserve"> </w:t>
      </w:r>
    </w:p>
    <w:p w14:paraId="2DF0A897" w14:textId="1F56FE44" w:rsidR="007C3046" w:rsidRPr="008C797A" w:rsidRDefault="007C3046"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Dea, C., Gauvin, L., Fournier, M., &amp; Goldfeld, S. (2019). Does place matter? An international comparison of early childhood development outcomes between the metropolitan areas of Melbourne, Australia and Montreal, Canada. </w:t>
      </w:r>
      <w:r w:rsidRPr="008C797A">
        <w:rPr>
          <w:rFonts w:ascii="Times New Roman" w:eastAsia="Times New Roman" w:hAnsi="Times New Roman" w:cs="Times New Roman"/>
          <w:i/>
          <w:iCs/>
          <w:kern w:val="0"/>
          <w:sz w:val="16"/>
          <w:szCs w:val="16"/>
          <w:lang w:val="en-RS" w:eastAsia="en-GB"/>
          <w14:ligatures w14:val="none"/>
        </w:rPr>
        <w:t>International Journal of Environmental Research and Public Health, 16</w:t>
      </w:r>
      <w:r w:rsidRPr="008C797A">
        <w:rPr>
          <w:rFonts w:ascii="Times New Roman" w:eastAsia="Times New Roman" w:hAnsi="Times New Roman" w:cs="Times New Roman"/>
          <w:kern w:val="0"/>
          <w:sz w:val="16"/>
          <w:szCs w:val="16"/>
          <w:lang w:val="en-RS" w:eastAsia="en-GB"/>
          <w14:ligatures w14:val="none"/>
        </w:rPr>
        <w:t>:</w:t>
      </w:r>
      <w:r w:rsidRPr="008C797A">
        <w:rPr>
          <w:rFonts w:ascii="Times New Roman" w:hAnsi="Times New Roman" w:cs="Times New Roman"/>
          <w:i/>
          <w:iCs/>
          <w:kern w:val="0"/>
          <w:sz w:val="16"/>
          <w:szCs w:val="16"/>
        </w:rPr>
        <w:t xml:space="preserve"> 16, 2915; </w:t>
      </w:r>
      <w:hyperlink r:id="rId183" w:history="1">
        <w:r w:rsidR="00FB6FF5" w:rsidRPr="00341C23">
          <w:rPr>
            <w:rStyle w:val="Hyperlink"/>
            <w:rFonts w:ascii="Times New Roman" w:hAnsi="Times New Roman" w:cs="Times New Roman"/>
            <w:kern w:val="0"/>
            <w:sz w:val="16"/>
            <w:szCs w:val="16"/>
          </w:rPr>
          <w:t>https://doi.org/10.3390/ijerph16162915</w:t>
        </w:r>
      </w:hyperlink>
      <w:r w:rsidR="00FB6FF5">
        <w:rPr>
          <w:rFonts w:ascii="Times New Roman" w:hAnsi="Times New Roman" w:cs="Times New Roman"/>
          <w:i/>
          <w:iCs/>
          <w:kern w:val="0"/>
          <w:sz w:val="16"/>
          <w:szCs w:val="16"/>
        </w:rPr>
        <w:t xml:space="preserve"> </w:t>
      </w:r>
    </w:p>
    <w:p w14:paraId="6F387477" w14:textId="541FA48E" w:rsidR="00C41A1D" w:rsidRPr="008C797A" w:rsidRDefault="00C1481B"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Degeling, C., &amp; Kerridge, I. (2013). Hendra in the news: Public policy meets public morality in times of zoonotic uncertainty. </w:t>
      </w:r>
      <w:r w:rsidRPr="008C797A">
        <w:rPr>
          <w:rFonts w:ascii="Times New Roman" w:eastAsia="Times New Roman" w:hAnsi="Times New Roman" w:cs="Times New Roman"/>
          <w:i/>
          <w:iCs/>
          <w:kern w:val="0"/>
          <w:sz w:val="16"/>
          <w:szCs w:val="16"/>
          <w:lang w:val="en-RS" w:eastAsia="en-GB"/>
          <w14:ligatures w14:val="none"/>
        </w:rPr>
        <w:t xml:space="preserve">Social Science &amp; Medicine, </w:t>
      </w:r>
      <w:r w:rsidR="00444DBF" w:rsidRPr="008C797A">
        <w:rPr>
          <w:rFonts w:ascii="Times New Roman" w:eastAsia="Times New Roman" w:hAnsi="Times New Roman" w:cs="Times New Roman"/>
          <w:i/>
          <w:iCs/>
          <w:kern w:val="0"/>
          <w:sz w:val="16"/>
          <w:szCs w:val="16"/>
          <w:lang w:val="en-RS" w:eastAsia="en-GB"/>
          <w14:ligatures w14:val="none"/>
        </w:rPr>
        <w:t>82</w:t>
      </w:r>
      <w:r w:rsidR="003B2712" w:rsidRPr="008C797A">
        <w:rPr>
          <w:rFonts w:ascii="Times New Roman" w:eastAsia="Times New Roman" w:hAnsi="Times New Roman" w:cs="Times New Roman"/>
          <w:kern w:val="0"/>
          <w:sz w:val="16"/>
          <w:szCs w:val="16"/>
          <w:lang w:val="en-RS" w:eastAsia="en-GB"/>
          <w14:ligatures w14:val="none"/>
        </w:rPr>
        <w:t xml:space="preserve">: 156-163. </w:t>
      </w:r>
      <w:hyperlink r:id="rId184" w:history="1">
        <w:r w:rsidR="003B2712" w:rsidRPr="008C797A">
          <w:rPr>
            <w:rStyle w:val="Hyperlink"/>
            <w:rFonts w:ascii="Times New Roman" w:hAnsi="Times New Roman" w:cs="Times New Roman"/>
            <w:kern w:val="0"/>
            <w:sz w:val="16"/>
            <w:szCs w:val="16"/>
          </w:rPr>
          <w:t>http://dx.doi.org/10.1016/j.socscimed.2012.12.024</w:t>
        </w:r>
      </w:hyperlink>
      <w:r w:rsidR="003B2712" w:rsidRPr="008C797A">
        <w:rPr>
          <w:rFonts w:ascii="Times New Roman" w:hAnsi="Times New Roman" w:cs="Times New Roman"/>
          <w:i/>
          <w:iCs/>
          <w:color w:val="000066"/>
          <w:kern w:val="0"/>
          <w:sz w:val="16"/>
          <w:szCs w:val="16"/>
        </w:rPr>
        <w:t xml:space="preserve"> </w:t>
      </w:r>
    </w:p>
    <w:p w14:paraId="5EC3C790" w14:textId="77777777" w:rsidR="007C3046" w:rsidRPr="008C797A" w:rsidRDefault="007C3046"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Dennis, M., Barker, A., Anderson, J., Ashton, J. C., Cavan, G., Cook, P. A., et al. (2023). Integrating knowledge on green infrastructure, health and well-being in ageing populations: Principles for research and practice. </w:t>
      </w:r>
      <w:r w:rsidRPr="008C797A">
        <w:rPr>
          <w:rFonts w:ascii="Times New Roman" w:eastAsia="Times New Roman" w:hAnsi="Times New Roman" w:cs="Times New Roman"/>
          <w:i/>
          <w:iCs/>
          <w:kern w:val="0"/>
          <w:sz w:val="16"/>
          <w:szCs w:val="16"/>
          <w:lang w:val="en-RS" w:eastAsia="en-GB"/>
          <w14:ligatures w14:val="none"/>
        </w:rPr>
        <w:t xml:space="preserve">Ambio, </w:t>
      </w:r>
      <w:r w:rsidRPr="008C797A">
        <w:rPr>
          <w:rFonts w:ascii="Times New Roman" w:hAnsi="Times New Roman" w:cs="Times New Roman"/>
          <w:i/>
          <w:iCs/>
          <w:kern w:val="0"/>
          <w:sz w:val="16"/>
          <w:szCs w:val="16"/>
        </w:rPr>
        <w:t>52</w:t>
      </w:r>
      <w:r w:rsidRPr="008C797A">
        <w:rPr>
          <w:rFonts w:ascii="Times New Roman" w:hAnsi="Times New Roman" w:cs="Times New Roman"/>
          <w:kern w:val="0"/>
          <w:sz w:val="16"/>
          <w:szCs w:val="16"/>
        </w:rPr>
        <w:t xml:space="preserve">:107–125. </w:t>
      </w:r>
      <w:hyperlink r:id="rId185" w:history="1">
        <w:r w:rsidRPr="008C797A">
          <w:rPr>
            <w:rStyle w:val="Hyperlink"/>
            <w:rFonts w:ascii="Times New Roman" w:hAnsi="Times New Roman" w:cs="Times New Roman"/>
            <w:kern w:val="0"/>
            <w:sz w:val="16"/>
            <w:szCs w:val="16"/>
          </w:rPr>
          <w:t>https://doi.org/10.1007/s13280-022-01765-5</w:t>
        </w:r>
      </w:hyperlink>
      <w:r w:rsidRPr="008C797A">
        <w:rPr>
          <w:rFonts w:ascii="Times New Roman" w:hAnsi="Times New Roman" w:cs="Times New Roman"/>
          <w:i/>
          <w:iCs/>
          <w:kern w:val="0"/>
          <w:sz w:val="16"/>
          <w:szCs w:val="16"/>
        </w:rPr>
        <w:t xml:space="preserve"> </w:t>
      </w:r>
    </w:p>
    <w:p w14:paraId="479404A1" w14:textId="406D68E3" w:rsidR="00444DBF" w:rsidRPr="008C797A" w:rsidRDefault="00C1481B"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DeWinter, S., Shahin, K., Fernández-Prada, C., Greer, A. L., Weese, J. S., &amp; Clow, K. M. (2024). Ecological determinants of leishmaniasis vector, </w:t>
      </w:r>
      <w:r w:rsidRPr="008C797A">
        <w:rPr>
          <w:rFonts w:ascii="Times New Roman" w:eastAsia="Times New Roman" w:hAnsi="Times New Roman" w:cs="Times New Roman"/>
          <w:i/>
          <w:iCs/>
          <w:kern w:val="0"/>
          <w:sz w:val="16"/>
          <w:szCs w:val="16"/>
          <w:lang w:val="en-RS" w:eastAsia="en-GB"/>
          <w14:ligatures w14:val="none"/>
        </w:rPr>
        <w:t>Lutzomyia</w:t>
      </w:r>
      <w:r w:rsidRPr="008C797A">
        <w:rPr>
          <w:rFonts w:ascii="Times New Roman" w:eastAsia="Times New Roman" w:hAnsi="Times New Roman" w:cs="Times New Roman"/>
          <w:kern w:val="0"/>
          <w:sz w:val="16"/>
          <w:szCs w:val="16"/>
          <w:lang w:val="en-RS" w:eastAsia="en-GB"/>
          <w14:ligatures w14:val="none"/>
        </w:rPr>
        <w:t> spp.: A scoping review. </w:t>
      </w:r>
      <w:r w:rsidR="00444DBF" w:rsidRPr="008C797A">
        <w:rPr>
          <w:rFonts w:ascii="Times New Roman" w:hAnsi="Times New Roman" w:cs="Times New Roman"/>
          <w:i/>
          <w:iCs/>
          <w:color w:val="000000"/>
          <w:kern w:val="0"/>
          <w:sz w:val="16"/>
          <w:szCs w:val="16"/>
        </w:rPr>
        <w:t xml:space="preserve">Medical and Veterinary Entomology, </w:t>
      </w:r>
      <w:r w:rsidR="00444DBF" w:rsidRPr="008C797A">
        <w:rPr>
          <w:rFonts w:ascii="Times New Roman" w:hAnsi="Times New Roman" w:cs="Times New Roman"/>
          <w:color w:val="000000"/>
          <w:kern w:val="0"/>
          <w:sz w:val="16"/>
          <w:szCs w:val="16"/>
        </w:rPr>
        <w:t>38(4): 393–406</w:t>
      </w:r>
      <w:r w:rsidR="00444DBF" w:rsidRPr="008C797A">
        <w:rPr>
          <w:rFonts w:ascii="Times New Roman" w:hAnsi="Times New Roman" w:cs="Times New Roman"/>
          <w:i/>
          <w:iCs/>
          <w:color w:val="000000"/>
          <w:kern w:val="0"/>
          <w:sz w:val="16"/>
          <w:szCs w:val="16"/>
        </w:rPr>
        <w:t xml:space="preserve">. </w:t>
      </w:r>
      <w:hyperlink r:id="rId186" w:history="1">
        <w:r w:rsidR="00444DBF" w:rsidRPr="008C797A">
          <w:rPr>
            <w:rStyle w:val="Hyperlink"/>
            <w:rFonts w:ascii="Times New Roman" w:hAnsi="Times New Roman" w:cs="Times New Roman"/>
            <w:kern w:val="0"/>
            <w:sz w:val="16"/>
            <w:szCs w:val="16"/>
          </w:rPr>
          <w:t>https://doi.org/10.1111/mve.12741</w:t>
        </w:r>
      </w:hyperlink>
    </w:p>
    <w:p w14:paraId="3213D2E9" w14:textId="0130ED6E" w:rsidR="00C41A1D" w:rsidRPr="008C797A" w:rsidRDefault="00C1481B"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hAnsi="Times New Roman" w:cs="Times New Roman"/>
          <w:sz w:val="16"/>
          <w:szCs w:val="16"/>
        </w:rPr>
        <w:t>Dickin, S. K., &amp; Schuster</w:t>
      </w:r>
      <w:r w:rsidRPr="008C797A">
        <w:rPr>
          <w:rFonts w:ascii="Times New Roman" w:hAnsi="Times New Roman" w:cs="Times New Roman"/>
          <w:sz w:val="16"/>
          <w:szCs w:val="16"/>
        </w:rPr>
        <w:noBreakHyphen/>
        <w:t>Wallace, C. J. (2014). Assessing changing vulnerability to dengue in northeastern Brazil using a water-associated disease index approach.</w:t>
      </w:r>
      <w:r w:rsidRPr="008C797A">
        <w:rPr>
          <w:rStyle w:val="apple-converted-space"/>
          <w:rFonts w:ascii="Times New Roman" w:hAnsi="Times New Roman" w:cs="Times New Roman"/>
          <w:sz w:val="16"/>
          <w:szCs w:val="16"/>
        </w:rPr>
        <w:t> </w:t>
      </w:r>
      <w:r w:rsidRPr="008C797A">
        <w:rPr>
          <w:rStyle w:val="Emphasis"/>
          <w:rFonts w:ascii="Times New Roman" w:hAnsi="Times New Roman" w:cs="Times New Roman"/>
          <w:sz w:val="16"/>
          <w:szCs w:val="16"/>
        </w:rPr>
        <w:t xml:space="preserve">Global Environmental Change, </w:t>
      </w:r>
      <w:r w:rsidRPr="008C797A">
        <w:rPr>
          <w:rStyle w:val="Emphasis"/>
          <w:rFonts w:ascii="Times New Roman" w:hAnsi="Times New Roman" w:cs="Times New Roman"/>
          <w:i w:val="0"/>
          <w:iCs w:val="0"/>
          <w:sz w:val="16"/>
          <w:szCs w:val="16"/>
        </w:rPr>
        <w:t>2</w:t>
      </w:r>
      <w:r w:rsidR="00444DBF" w:rsidRPr="008C797A">
        <w:rPr>
          <w:rStyle w:val="Emphasis"/>
          <w:rFonts w:ascii="Times New Roman" w:hAnsi="Times New Roman" w:cs="Times New Roman"/>
          <w:sz w:val="16"/>
          <w:szCs w:val="16"/>
        </w:rPr>
        <w:t>9</w:t>
      </w:r>
      <w:r w:rsidR="00444DBF" w:rsidRPr="008C797A">
        <w:rPr>
          <w:rFonts w:ascii="Times New Roman" w:hAnsi="Times New Roman" w:cs="Times New Roman"/>
          <w:i/>
          <w:iCs/>
          <w:sz w:val="16"/>
          <w:szCs w:val="16"/>
        </w:rPr>
        <w:t>:</w:t>
      </w:r>
      <w:r w:rsidR="00444DBF" w:rsidRPr="008C797A">
        <w:rPr>
          <w:rFonts w:ascii="Times New Roman" w:hAnsi="Times New Roman" w:cs="Times New Roman"/>
          <w:sz w:val="16"/>
          <w:szCs w:val="16"/>
        </w:rPr>
        <w:t xml:space="preserve"> 155–164. </w:t>
      </w:r>
      <w:hyperlink r:id="rId187" w:history="1">
        <w:r w:rsidR="00444DBF" w:rsidRPr="008C797A">
          <w:rPr>
            <w:rStyle w:val="Hyperlink"/>
            <w:rFonts w:ascii="Times New Roman" w:hAnsi="Times New Roman" w:cs="Times New Roman"/>
            <w:sz w:val="16"/>
            <w:szCs w:val="16"/>
          </w:rPr>
          <w:t>http://dx.doi.org/10.1016/j.gloenvcha.2014.09.007</w:t>
        </w:r>
      </w:hyperlink>
      <w:r w:rsidR="00444DBF" w:rsidRPr="008C797A">
        <w:rPr>
          <w:rFonts w:ascii="Times New Roman" w:hAnsi="Times New Roman" w:cs="Times New Roman"/>
          <w:sz w:val="16"/>
          <w:szCs w:val="16"/>
        </w:rPr>
        <w:t xml:space="preserve"> </w:t>
      </w:r>
    </w:p>
    <w:p w14:paraId="0289D4DA" w14:textId="79156FFE" w:rsidR="00C1481B" w:rsidRPr="008C797A" w:rsidRDefault="00C1481B"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hAnsi="Times New Roman" w:cs="Times New Roman"/>
          <w:sz w:val="16"/>
          <w:szCs w:val="16"/>
        </w:rPr>
        <w:t>Douglas, J. A., Archer, R. S., &amp; Alexander, S. E. (2019). Ecological determinants of respiratory health: Examining associations between asthma emergency department visits, diesel particulate matter, and public parks and open space in Los Angeles, California.</w:t>
      </w:r>
      <w:r w:rsidRPr="008C797A">
        <w:rPr>
          <w:rStyle w:val="apple-converted-space"/>
          <w:rFonts w:ascii="Times New Roman" w:hAnsi="Times New Roman" w:cs="Times New Roman"/>
          <w:sz w:val="16"/>
          <w:szCs w:val="16"/>
        </w:rPr>
        <w:t> </w:t>
      </w:r>
      <w:r w:rsidRPr="008C797A">
        <w:rPr>
          <w:rStyle w:val="Emphasis"/>
          <w:rFonts w:ascii="Times New Roman" w:hAnsi="Times New Roman" w:cs="Times New Roman"/>
          <w:sz w:val="16"/>
          <w:szCs w:val="16"/>
        </w:rPr>
        <w:t>Preventive Medicine Reports, 1</w:t>
      </w:r>
      <w:r w:rsidR="00444DBF" w:rsidRPr="008C797A">
        <w:rPr>
          <w:rStyle w:val="Emphasis"/>
          <w:rFonts w:ascii="Times New Roman" w:hAnsi="Times New Roman" w:cs="Times New Roman"/>
          <w:sz w:val="16"/>
          <w:szCs w:val="16"/>
        </w:rPr>
        <w:t>4</w:t>
      </w:r>
      <w:r w:rsidR="00444DBF" w:rsidRPr="008C797A">
        <w:rPr>
          <w:rFonts w:ascii="Times New Roman" w:hAnsi="Times New Roman" w:cs="Times New Roman"/>
          <w:sz w:val="16"/>
          <w:szCs w:val="16"/>
        </w:rPr>
        <w:t>:</w:t>
      </w:r>
      <w:r w:rsidRPr="008C797A">
        <w:rPr>
          <w:rFonts w:ascii="Times New Roman" w:hAnsi="Times New Roman" w:cs="Times New Roman"/>
          <w:sz w:val="16"/>
          <w:szCs w:val="16"/>
        </w:rPr>
        <w:t xml:space="preserve"> 100</w:t>
      </w:r>
      <w:r w:rsidR="00444DBF" w:rsidRPr="008C797A">
        <w:rPr>
          <w:rFonts w:ascii="Times New Roman" w:hAnsi="Times New Roman" w:cs="Times New Roman"/>
          <w:sz w:val="16"/>
          <w:szCs w:val="16"/>
        </w:rPr>
        <w:t>855</w:t>
      </w:r>
      <w:r w:rsidRPr="008C797A">
        <w:rPr>
          <w:rFonts w:ascii="Times New Roman" w:hAnsi="Times New Roman" w:cs="Times New Roman"/>
          <w:sz w:val="16"/>
          <w:szCs w:val="16"/>
        </w:rPr>
        <w:t>.</w:t>
      </w:r>
      <w:r w:rsidRPr="008C797A">
        <w:rPr>
          <w:rStyle w:val="apple-converted-space"/>
          <w:rFonts w:ascii="Times New Roman" w:hAnsi="Times New Roman" w:cs="Times New Roman"/>
          <w:sz w:val="16"/>
          <w:szCs w:val="16"/>
        </w:rPr>
        <w:t> </w:t>
      </w:r>
      <w:hyperlink r:id="rId188" w:history="1">
        <w:r w:rsidR="00444DBF" w:rsidRPr="008C797A">
          <w:rPr>
            <w:rStyle w:val="Hyperlink"/>
            <w:rFonts w:ascii="Times New Roman" w:hAnsi="Times New Roman" w:cs="Times New Roman"/>
            <w:kern w:val="0"/>
            <w:sz w:val="16"/>
            <w:szCs w:val="16"/>
          </w:rPr>
          <w:t>https://doi.org/10.1016/j.pmedr.2019.100855</w:t>
        </w:r>
      </w:hyperlink>
      <w:r w:rsidR="00444DBF" w:rsidRPr="008C797A">
        <w:rPr>
          <w:rFonts w:ascii="Times New Roman" w:hAnsi="Times New Roman" w:cs="Times New Roman"/>
          <w:color w:val="2197D2"/>
          <w:kern w:val="0"/>
          <w:sz w:val="16"/>
          <w:szCs w:val="16"/>
        </w:rPr>
        <w:t xml:space="preserve"> </w:t>
      </w:r>
    </w:p>
    <w:p w14:paraId="684126EC" w14:textId="0A851361" w:rsidR="00C41A1D" w:rsidRPr="008C797A" w:rsidRDefault="0014239D" w:rsidP="00D5752B">
      <w:pPr>
        <w:pStyle w:val="NormalWeb"/>
        <w:numPr>
          <w:ilvl w:val="0"/>
          <w:numId w:val="46"/>
        </w:numPr>
        <w:rPr>
          <w:sz w:val="16"/>
          <w:szCs w:val="16"/>
        </w:rPr>
      </w:pPr>
      <w:r w:rsidRPr="008C797A">
        <w:rPr>
          <w:sz w:val="16"/>
          <w:szCs w:val="16"/>
        </w:rPr>
        <w:t>Dzul</w:t>
      </w:r>
      <w:r w:rsidRPr="008C797A">
        <w:rPr>
          <w:sz w:val="16"/>
          <w:szCs w:val="16"/>
        </w:rPr>
        <w:noBreakHyphen/>
        <w:t>Rosado, K., Cámara</w:t>
      </w:r>
      <w:r w:rsidRPr="008C797A">
        <w:rPr>
          <w:sz w:val="16"/>
          <w:szCs w:val="16"/>
        </w:rPr>
        <w:noBreakHyphen/>
        <w:t>Herrera, R., Miranda</w:t>
      </w:r>
      <w:r w:rsidRPr="008C797A">
        <w:rPr>
          <w:sz w:val="16"/>
          <w:szCs w:val="16"/>
        </w:rPr>
        <w:noBreakHyphen/>
        <w:t>Schaeubinger, M., Arias</w:t>
      </w:r>
      <w:r w:rsidRPr="008C797A">
        <w:rPr>
          <w:sz w:val="16"/>
          <w:szCs w:val="16"/>
        </w:rPr>
        <w:noBreakHyphen/>
        <w:t>León, J., Peniche</w:t>
      </w:r>
      <w:r w:rsidRPr="008C797A">
        <w:rPr>
          <w:sz w:val="16"/>
          <w:szCs w:val="16"/>
        </w:rPr>
        <w:noBreakHyphen/>
        <w:t>Lara, G., Gilman</w:t>
      </w:r>
      <w:r w:rsidRPr="008C797A">
        <w:rPr>
          <w:sz w:val="16"/>
          <w:szCs w:val="16"/>
        </w:rPr>
        <w:noBreakHyphen/>
        <w:t xml:space="preserve">Robert, H., </w:t>
      </w:r>
      <w:r w:rsidR="00347FD5" w:rsidRPr="008C797A">
        <w:rPr>
          <w:sz w:val="16"/>
          <w:szCs w:val="16"/>
        </w:rPr>
        <w:t>et al</w:t>
      </w:r>
      <w:r w:rsidRPr="008C797A">
        <w:rPr>
          <w:sz w:val="16"/>
          <w:szCs w:val="16"/>
        </w:rPr>
        <w:t>. (2022). Socio</w:t>
      </w:r>
      <w:r w:rsidRPr="008C797A">
        <w:rPr>
          <w:sz w:val="16"/>
          <w:szCs w:val="16"/>
        </w:rPr>
        <w:noBreakHyphen/>
        <w:t>ecological determinants of rickettsial seroprevalence in a rural community of Yucatán, Mexico. </w:t>
      </w:r>
      <w:r w:rsidRPr="008C797A">
        <w:rPr>
          <w:i/>
          <w:iCs/>
          <w:sz w:val="16"/>
          <w:szCs w:val="16"/>
        </w:rPr>
        <w:t>Infection, Genetics and Evolution, 102</w:t>
      </w:r>
      <w:r w:rsidRPr="008C797A">
        <w:rPr>
          <w:sz w:val="16"/>
          <w:szCs w:val="16"/>
        </w:rPr>
        <w:t>, 105291. </w:t>
      </w:r>
      <w:hyperlink r:id="rId189" w:history="1">
        <w:r w:rsidR="00FB6FF5" w:rsidRPr="00341C23">
          <w:rPr>
            <w:rStyle w:val="Hyperlink"/>
            <w:sz w:val="16"/>
            <w:szCs w:val="16"/>
          </w:rPr>
          <w:t>https://doi.org/10.1016/j.meegid.2022.105291</w:t>
        </w:r>
      </w:hyperlink>
      <w:r w:rsidR="00FB6FF5">
        <w:rPr>
          <w:sz w:val="16"/>
          <w:szCs w:val="16"/>
        </w:rPr>
        <w:t xml:space="preserve"> </w:t>
      </w:r>
    </w:p>
    <w:p w14:paraId="5B41E30D" w14:textId="310E65F3" w:rsidR="00C41A1D" w:rsidRPr="008C797A" w:rsidRDefault="00C1481B" w:rsidP="00D5752B">
      <w:pPr>
        <w:pStyle w:val="NormalWeb"/>
        <w:numPr>
          <w:ilvl w:val="0"/>
          <w:numId w:val="46"/>
        </w:numPr>
        <w:rPr>
          <w:sz w:val="16"/>
          <w:szCs w:val="16"/>
        </w:rPr>
      </w:pPr>
      <w:r w:rsidRPr="008C797A">
        <w:rPr>
          <w:sz w:val="16"/>
          <w:szCs w:val="16"/>
        </w:rPr>
        <w:t>Elton, S. (2019). Reconsidering the retail foodscape from a posthumanist and ecological determinants of health perspective: Wading out of the food swamp.</w:t>
      </w:r>
      <w:r w:rsidRPr="008C797A">
        <w:rPr>
          <w:rStyle w:val="apple-converted-space"/>
          <w:sz w:val="16"/>
          <w:szCs w:val="16"/>
        </w:rPr>
        <w:t> </w:t>
      </w:r>
      <w:r w:rsidRPr="008C797A">
        <w:rPr>
          <w:rStyle w:val="Emphasis"/>
          <w:sz w:val="16"/>
          <w:szCs w:val="16"/>
        </w:rPr>
        <w:t xml:space="preserve">Critical Public Health, </w:t>
      </w:r>
      <w:r w:rsidR="00347FD5" w:rsidRPr="008C797A">
        <w:rPr>
          <w:rStyle w:val="Emphasis"/>
          <w:sz w:val="16"/>
          <w:szCs w:val="16"/>
        </w:rPr>
        <w:t xml:space="preserve">29(3): 370-378, </w:t>
      </w:r>
      <w:hyperlink r:id="rId190" w:history="1">
        <w:r w:rsidR="00FB6FF5" w:rsidRPr="00341C23">
          <w:rPr>
            <w:rStyle w:val="Hyperlink"/>
            <w:sz w:val="16"/>
            <w:szCs w:val="16"/>
          </w:rPr>
          <w:t>https://doi.org/10.1080/09581596.2018.1468870</w:t>
        </w:r>
      </w:hyperlink>
      <w:r w:rsidR="00FB6FF5">
        <w:rPr>
          <w:rStyle w:val="Emphasis"/>
          <w:i w:val="0"/>
          <w:iCs w:val="0"/>
          <w:sz w:val="16"/>
          <w:szCs w:val="16"/>
        </w:rPr>
        <w:t xml:space="preserve"> </w:t>
      </w:r>
      <w:r w:rsidR="00347FD5" w:rsidRPr="008C797A">
        <w:rPr>
          <w:rStyle w:val="Emphasis"/>
          <w:sz w:val="16"/>
          <w:szCs w:val="16"/>
        </w:rPr>
        <w:t xml:space="preserve"> </w:t>
      </w:r>
    </w:p>
    <w:p w14:paraId="74BBFA5D" w14:textId="6A4E78E8" w:rsidR="00C41A1D" w:rsidRPr="008C797A" w:rsidRDefault="00C1481B" w:rsidP="00D5752B">
      <w:pPr>
        <w:pStyle w:val="NormalWeb"/>
        <w:numPr>
          <w:ilvl w:val="0"/>
          <w:numId w:val="46"/>
        </w:numPr>
        <w:rPr>
          <w:sz w:val="16"/>
          <w:szCs w:val="16"/>
        </w:rPr>
      </w:pPr>
      <w:r w:rsidRPr="008C797A">
        <w:rPr>
          <w:sz w:val="16"/>
          <w:szCs w:val="16"/>
        </w:rPr>
        <w:t>Elton, S. (2021). Intimate ecosystems: The microbiome and the ecological determinants of health.</w:t>
      </w:r>
      <w:r w:rsidRPr="008C797A">
        <w:rPr>
          <w:rStyle w:val="apple-converted-space"/>
          <w:sz w:val="16"/>
          <w:szCs w:val="16"/>
        </w:rPr>
        <w:t> </w:t>
      </w:r>
      <w:r w:rsidRPr="008C797A">
        <w:rPr>
          <w:rStyle w:val="Emphasis"/>
          <w:sz w:val="16"/>
          <w:szCs w:val="16"/>
        </w:rPr>
        <w:t>Canadian Journal of Public Health, 112</w:t>
      </w:r>
      <w:r w:rsidRPr="008C797A">
        <w:rPr>
          <w:sz w:val="16"/>
          <w:szCs w:val="16"/>
        </w:rPr>
        <w:t>(3), 445–453.</w:t>
      </w:r>
      <w:r w:rsidRPr="008C797A">
        <w:rPr>
          <w:rStyle w:val="apple-converted-space"/>
          <w:sz w:val="16"/>
          <w:szCs w:val="16"/>
        </w:rPr>
        <w:t> </w:t>
      </w:r>
      <w:hyperlink r:id="rId191" w:history="1">
        <w:r w:rsidR="00FB6FF5" w:rsidRPr="00341C23">
          <w:rPr>
            <w:rStyle w:val="Hyperlink"/>
            <w:sz w:val="16"/>
            <w:szCs w:val="16"/>
          </w:rPr>
          <w:t>https://doi.org/10.17269/s41997-021-00504-3</w:t>
        </w:r>
      </w:hyperlink>
      <w:r w:rsidR="00FB6FF5">
        <w:rPr>
          <w:sz w:val="16"/>
          <w:szCs w:val="16"/>
        </w:rPr>
        <w:t xml:space="preserve"> </w:t>
      </w:r>
    </w:p>
    <w:p w14:paraId="4F9755D7" w14:textId="43DB91BC" w:rsidR="00347FD5" w:rsidRPr="008C797A" w:rsidRDefault="0014239D" w:rsidP="00D5752B">
      <w:pPr>
        <w:pStyle w:val="NormalWeb"/>
        <w:numPr>
          <w:ilvl w:val="0"/>
          <w:numId w:val="46"/>
        </w:numPr>
        <w:rPr>
          <w:sz w:val="16"/>
          <w:szCs w:val="16"/>
        </w:rPr>
      </w:pPr>
      <w:r w:rsidRPr="008C797A">
        <w:rPr>
          <w:sz w:val="16"/>
          <w:szCs w:val="16"/>
        </w:rPr>
        <w:t>Ferraguti, M., Magallanes, S., Mora-Rubio, C., Bravo-Barriga, D., De Lope, F., &amp; Marzal, A. (2024). Landscape and climatic factors shaping mosquito abundance and species composition in southern Spain: A machine learning approach to the study of vector ecology.</w:t>
      </w:r>
      <w:r w:rsidRPr="008C797A">
        <w:rPr>
          <w:rStyle w:val="apple-converted-space"/>
          <w:sz w:val="16"/>
          <w:szCs w:val="16"/>
        </w:rPr>
        <w:t> </w:t>
      </w:r>
      <w:r w:rsidRPr="008C797A">
        <w:rPr>
          <w:rStyle w:val="Emphasis"/>
          <w:sz w:val="16"/>
          <w:szCs w:val="16"/>
        </w:rPr>
        <w:t xml:space="preserve">Ecological Informatics, </w:t>
      </w:r>
      <w:r w:rsidR="00347FD5" w:rsidRPr="008C797A">
        <w:rPr>
          <w:rStyle w:val="Emphasis"/>
          <w:sz w:val="16"/>
          <w:szCs w:val="16"/>
        </w:rPr>
        <w:t>84</w:t>
      </w:r>
      <w:r w:rsidR="00347FD5" w:rsidRPr="008C797A">
        <w:rPr>
          <w:rStyle w:val="Emphasis"/>
          <w:i w:val="0"/>
          <w:iCs w:val="0"/>
          <w:sz w:val="16"/>
          <w:szCs w:val="16"/>
        </w:rPr>
        <w:t>:</w:t>
      </w:r>
      <w:r w:rsidRPr="008C797A">
        <w:rPr>
          <w:i/>
          <w:iCs/>
          <w:sz w:val="16"/>
          <w:szCs w:val="16"/>
        </w:rPr>
        <w:t xml:space="preserve"> </w:t>
      </w:r>
      <w:r w:rsidRPr="008C797A">
        <w:rPr>
          <w:sz w:val="16"/>
          <w:szCs w:val="16"/>
        </w:rPr>
        <w:t>10</w:t>
      </w:r>
      <w:r w:rsidR="00347FD5" w:rsidRPr="008C797A">
        <w:rPr>
          <w:sz w:val="16"/>
          <w:szCs w:val="16"/>
        </w:rPr>
        <w:t>2860</w:t>
      </w:r>
      <w:r w:rsidRPr="008C797A">
        <w:rPr>
          <w:sz w:val="16"/>
          <w:szCs w:val="16"/>
        </w:rPr>
        <w:t>.</w:t>
      </w:r>
      <w:r w:rsidRPr="008C797A">
        <w:rPr>
          <w:rStyle w:val="apple-converted-space"/>
          <w:sz w:val="16"/>
          <w:szCs w:val="16"/>
        </w:rPr>
        <w:t> </w:t>
      </w:r>
      <w:hyperlink r:id="rId192" w:history="1">
        <w:r w:rsidR="00347FD5" w:rsidRPr="008C797A">
          <w:rPr>
            <w:rStyle w:val="Hyperlink"/>
            <w:sz w:val="16"/>
            <w:szCs w:val="16"/>
          </w:rPr>
          <w:t>https://doi.org/10.1016/j.ecoinf.2024.102860</w:t>
        </w:r>
      </w:hyperlink>
    </w:p>
    <w:p w14:paraId="3DD7FA6B" w14:textId="5E4C48E8" w:rsidR="00751F84" w:rsidRPr="008C797A" w:rsidRDefault="00C1481B" w:rsidP="00D5752B">
      <w:pPr>
        <w:pStyle w:val="NormalWeb"/>
        <w:numPr>
          <w:ilvl w:val="0"/>
          <w:numId w:val="46"/>
        </w:numPr>
        <w:rPr>
          <w:sz w:val="16"/>
          <w:szCs w:val="16"/>
        </w:rPr>
      </w:pPr>
      <w:r w:rsidRPr="008C797A">
        <w:rPr>
          <w:sz w:val="16"/>
          <w:szCs w:val="16"/>
        </w:rPr>
        <w:t xml:space="preserve">Ferrari, A. J., Somerville, A. J., Baxter, A. J., Pacella, R., Patten, S. B., Vos, T., </w:t>
      </w:r>
      <w:r w:rsidR="00015ECB">
        <w:rPr>
          <w:sz w:val="16"/>
          <w:szCs w:val="16"/>
        </w:rPr>
        <w:t>et al</w:t>
      </w:r>
      <w:r w:rsidRPr="008C797A">
        <w:rPr>
          <w:sz w:val="16"/>
          <w:szCs w:val="16"/>
        </w:rPr>
        <w:t>. (2013). Global variation in the prevalence and incidence of major depressive disorder: A systematic review of the epidemiological literature.</w:t>
      </w:r>
      <w:r w:rsidRPr="008C797A">
        <w:rPr>
          <w:rStyle w:val="apple-converted-space"/>
          <w:sz w:val="16"/>
          <w:szCs w:val="16"/>
        </w:rPr>
        <w:t> </w:t>
      </w:r>
      <w:r w:rsidRPr="008C797A">
        <w:rPr>
          <w:rStyle w:val="Emphasis"/>
          <w:sz w:val="16"/>
          <w:szCs w:val="16"/>
        </w:rPr>
        <w:t>Psychological Medicine, 43</w:t>
      </w:r>
      <w:r w:rsidRPr="008C797A">
        <w:rPr>
          <w:sz w:val="16"/>
          <w:szCs w:val="16"/>
        </w:rPr>
        <w:t>(3), 471–481.</w:t>
      </w:r>
      <w:r w:rsidRPr="008C797A">
        <w:rPr>
          <w:rStyle w:val="apple-converted-space"/>
          <w:sz w:val="16"/>
          <w:szCs w:val="16"/>
        </w:rPr>
        <w:t> </w:t>
      </w:r>
      <w:hyperlink r:id="rId193" w:history="1">
        <w:r w:rsidR="00FB6FF5" w:rsidRPr="00341C23">
          <w:rPr>
            <w:rStyle w:val="Hyperlink"/>
            <w:sz w:val="16"/>
            <w:szCs w:val="16"/>
          </w:rPr>
          <w:t>https://doi.org/10.1017/S0033291712001511</w:t>
        </w:r>
      </w:hyperlink>
      <w:r w:rsidR="00FB6FF5">
        <w:rPr>
          <w:sz w:val="16"/>
          <w:szCs w:val="16"/>
        </w:rPr>
        <w:t xml:space="preserve"> </w:t>
      </w:r>
    </w:p>
    <w:p w14:paraId="3370D530" w14:textId="77777777" w:rsidR="00751F84" w:rsidRPr="008C797A" w:rsidRDefault="00C1481B" w:rsidP="00D5752B">
      <w:pPr>
        <w:pStyle w:val="NormalWeb"/>
        <w:numPr>
          <w:ilvl w:val="0"/>
          <w:numId w:val="46"/>
        </w:numPr>
        <w:rPr>
          <w:sz w:val="16"/>
          <w:szCs w:val="16"/>
        </w:rPr>
      </w:pPr>
      <w:r w:rsidRPr="008C797A">
        <w:rPr>
          <w:sz w:val="16"/>
          <w:szCs w:val="16"/>
        </w:rPr>
        <w:lastRenderedPageBreak/>
        <w:t>Friedsam, A. M., Brady, O. J., Pilic, A., Dobler, G., Hellenbrand, W., &amp; Nygren, T. M. (2022). Geo</w:t>
      </w:r>
      <w:r w:rsidRPr="008C797A">
        <w:rPr>
          <w:sz w:val="16"/>
          <w:szCs w:val="16"/>
        </w:rPr>
        <w:noBreakHyphen/>
        <w:t>spatial characteristics of 567 places of tick</w:t>
      </w:r>
      <w:r w:rsidRPr="008C797A">
        <w:rPr>
          <w:sz w:val="16"/>
          <w:szCs w:val="16"/>
        </w:rPr>
        <w:noBreakHyphen/>
        <w:t>borne encephalitis infection in Southern Germany, 2018–2020.</w:t>
      </w:r>
      <w:r w:rsidRPr="008C797A">
        <w:rPr>
          <w:rStyle w:val="apple-converted-space"/>
          <w:sz w:val="16"/>
          <w:szCs w:val="16"/>
        </w:rPr>
        <w:t> </w:t>
      </w:r>
      <w:r w:rsidRPr="008C797A">
        <w:rPr>
          <w:rStyle w:val="Emphasis"/>
          <w:sz w:val="16"/>
          <w:szCs w:val="16"/>
        </w:rPr>
        <w:t xml:space="preserve">Microorganisms, </w:t>
      </w:r>
      <w:r w:rsidR="00751F84" w:rsidRPr="008C797A">
        <w:rPr>
          <w:i/>
          <w:iCs/>
          <w:sz w:val="16"/>
          <w:szCs w:val="16"/>
        </w:rPr>
        <w:t xml:space="preserve">10: </w:t>
      </w:r>
      <w:r w:rsidR="00751F84" w:rsidRPr="008C797A">
        <w:rPr>
          <w:sz w:val="16"/>
          <w:szCs w:val="16"/>
        </w:rPr>
        <w:t xml:space="preserve">643. </w:t>
      </w:r>
      <w:hyperlink r:id="rId194" w:history="1">
        <w:r w:rsidR="00751F84" w:rsidRPr="008C797A">
          <w:rPr>
            <w:rStyle w:val="Hyperlink"/>
            <w:sz w:val="16"/>
            <w:szCs w:val="16"/>
          </w:rPr>
          <w:t>https://doi.org/10.3390/microorganisms10030643</w:t>
        </w:r>
      </w:hyperlink>
      <w:r w:rsidR="00751F84" w:rsidRPr="008C797A">
        <w:rPr>
          <w:sz w:val="16"/>
          <w:szCs w:val="16"/>
        </w:rPr>
        <w:t xml:space="preserve">  </w:t>
      </w:r>
    </w:p>
    <w:p w14:paraId="7C4AF182" w14:textId="77777777" w:rsidR="00751F84" w:rsidRPr="008C797A" w:rsidRDefault="00C1481B" w:rsidP="00D5752B">
      <w:pPr>
        <w:pStyle w:val="NormalWeb"/>
        <w:numPr>
          <w:ilvl w:val="0"/>
          <w:numId w:val="46"/>
        </w:numPr>
        <w:rPr>
          <w:sz w:val="16"/>
          <w:szCs w:val="16"/>
        </w:rPr>
      </w:pPr>
      <w:r w:rsidRPr="008C797A">
        <w:rPr>
          <w:sz w:val="16"/>
          <w:szCs w:val="16"/>
        </w:rPr>
        <w:t>Gaspe, M. S., Fernández, M. D. P., Cardinal, M. V., Enríquez, G. F., Rodríguez</w:t>
      </w:r>
      <w:r w:rsidRPr="008C797A">
        <w:rPr>
          <w:sz w:val="16"/>
          <w:szCs w:val="16"/>
        </w:rPr>
        <w:noBreakHyphen/>
        <w:t xml:space="preserve">Planes, L. I., Macchiaverna, N. P., </w:t>
      </w:r>
      <w:r w:rsidR="00751F84" w:rsidRPr="008C797A">
        <w:rPr>
          <w:sz w:val="16"/>
          <w:szCs w:val="16"/>
        </w:rPr>
        <w:t>et al</w:t>
      </w:r>
      <w:r w:rsidRPr="008C797A">
        <w:rPr>
          <w:sz w:val="16"/>
          <w:szCs w:val="16"/>
        </w:rPr>
        <w:t>. (2020). Urbanisation, risk stratification and house infestation with a major vector of Chagas disease in an endemic municipality of the Argentine Chaco.</w:t>
      </w:r>
      <w:r w:rsidRPr="008C797A">
        <w:rPr>
          <w:rStyle w:val="apple-converted-space"/>
          <w:sz w:val="16"/>
          <w:szCs w:val="16"/>
        </w:rPr>
        <w:t> </w:t>
      </w:r>
      <w:r w:rsidRPr="008C797A">
        <w:rPr>
          <w:rStyle w:val="Emphasis"/>
          <w:sz w:val="16"/>
          <w:szCs w:val="16"/>
        </w:rPr>
        <w:t xml:space="preserve">Parasites &amp; Vectors, </w:t>
      </w:r>
      <w:r w:rsidR="00751F84" w:rsidRPr="008C797A">
        <w:rPr>
          <w:i/>
          <w:iCs/>
          <w:sz w:val="16"/>
          <w:szCs w:val="16"/>
        </w:rPr>
        <w:t>13:</w:t>
      </w:r>
      <w:r w:rsidR="00751F84" w:rsidRPr="008C797A">
        <w:rPr>
          <w:sz w:val="16"/>
          <w:szCs w:val="16"/>
        </w:rPr>
        <w:t xml:space="preserve">316. </w:t>
      </w:r>
      <w:hyperlink r:id="rId195" w:history="1">
        <w:r w:rsidR="00751F84" w:rsidRPr="008C797A">
          <w:rPr>
            <w:rStyle w:val="Hyperlink"/>
            <w:sz w:val="16"/>
            <w:szCs w:val="16"/>
          </w:rPr>
          <w:t>https://doi.org/10.1186/s13071-020-04182-3</w:t>
        </w:r>
      </w:hyperlink>
      <w:r w:rsidR="00751F84" w:rsidRPr="008C797A">
        <w:rPr>
          <w:sz w:val="16"/>
          <w:szCs w:val="16"/>
        </w:rPr>
        <w:t xml:space="preserve"> </w:t>
      </w:r>
    </w:p>
    <w:p w14:paraId="3BA99A5A" w14:textId="77777777" w:rsidR="00751F84" w:rsidRPr="008C797A" w:rsidRDefault="00C1481B" w:rsidP="00D5752B">
      <w:pPr>
        <w:pStyle w:val="NormalWeb"/>
        <w:numPr>
          <w:ilvl w:val="0"/>
          <w:numId w:val="46"/>
        </w:numPr>
        <w:rPr>
          <w:sz w:val="16"/>
          <w:szCs w:val="16"/>
        </w:rPr>
      </w:pPr>
      <w:r w:rsidRPr="008C797A">
        <w:rPr>
          <w:sz w:val="16"/>
          <w:szCs w:val="16"/>
        </w:rPr>
        <w:t>George, M. (2007). Socio</w:t>
      </w:r>
      <w:r w:rsidRPr="008C797A">
        <w:rPr>
          <w:sz w:val="16"/>
          <w:szCs w:val="16"/>
        </w:rPr>
        <w:noBreakHyphen/>
        <w:t>economic and cultural dimensions, and health-seeking behavior for leptospirosis: A case study of Kerala.</w:t>
      </w:r>
      <w:r w:rsidRPr="008C797A">
        <w:rPr>
          <w:rStyle w:val="apple-converted-space"/>
          <w:sz w:val="16"/>
          <w:szCs w:val="16"/>
        </w:rPr>
        <w:t> </w:t>
      </w:r>
      <w:r w:rsidRPr="008C797A">
        <w:rPr>
          <w:rStyle w:val="Emphasis"/>
          <w:sz w:val="16"/>
          <w:szCs w:val="16"/>
        </w:rPr>
        <w:t>Journal of Health Management, 9</w:t>
      </w:r>
      <w:r w:rsidRPr="008C797A">
        <w:rPr>
          <w:sz w:val="16"/>
          <w:szCs w:val="16"/>
        </w:rPr>
        <w:t>(</w:t>
      </w:r>
      <w:r w:rsidR="00751F84" w:rsidRPr="008C797A">
        <w:rPr>
          <w:sz w:val="16"/>
          <w:szCs w:val="16"/>
        </w:rPr>
        <w:t>3</w:t>
      </w:r>
      <w:r w:rsidRPr="008C797A">
        <w:rPr>
          <w:sz w:val="16"/>
          <w:szCs w:val="16"/>
        </w:rPr>
        <w:t xml:space="preserve">), </w:t>
      </w:r>
      <w:r w:rsidR="00751F84" w:rsidRPr="008C797A">
        <w:rPr>
          <w:sz w:val="16"/>
          <w:szCs w:val="16"/>
        </w:rPr>
        <w:t>381</w:t>
      </w:r>
      <w:r w:rsidRPr="008C797A">
        <w:rPr>
          <w:sz w:val="16"/>
          <w:szCs w:val="16"/>
        </w:rPr>
        <w:t>–</w:t>
      </w:r>
      <w:r w:rsidR="00751F84" w:rsidRPr="008C797A">
        <w:rPr>
          <w:sz w:val="16"/>
          <w:szCs w:val="16"/>
        </w:rPr>
        <w:t>398</w:t>
      </w:r>
      <w:r w:rsidRPr="008C797A">
        <w:rPr>
          <w:sz w:val="16"/>
          <w:szCs w:val="16"/>
        </w:rPr>
        <w:t>.</w:t>
      </w:r>
      <w:r w:rsidRPr="008C797A">
        <w:rPr>
          <w:rStyle w:val="apple-converted-space"/>
          <w:sz w:val="16"/>
          <w:szCs w:val="16"/>
        </w:rPr>
        <w:t> </w:t>
      </w:r>
      <w:hyperlink r:id="rId196" w:history="1">
        <w:r w:rsidR="00751F84" w:rsidRPr="00FB6FF5">
          <w:rPr>
            <w:rStyle w:val="Hyperlink"/>
            <w:sz w:val="16"/>
            <w:szCs w:val="16"/>
          </w:rPr>
          <w:t>https://doi.org/10.1177/097206340700900305</w:t>
        </w:r>
      </w:hyperlink>
      <w:r w:rsidR="00751F84" w:rsidRPr="008C797A">
        <w:rPr>
          <w:i/>
          <w:iCs/>
          <w:sz w:val="16"/>
          <w:szCs w:val="16"/>
        </w:rPr>
        <w:t xml:space="preserve"> </w:t>
      </w:r>
    </w:p>
    <w:p w14:paraId="10655DE1" w14:textId="77777777" w:rsidR="00751F84" w:rsidRPr="008C797A" w:rsidRDefault="00C1481B" w:rsidP="00D5752B">
      <w:pPr>
        <w:pStyle w:val="NormalWeb"/>
        <w:numPr>
          <w:ilvl w:val="0"/>
          <w:numId w:val="46"/>
        </w:numPr>
        <w:rPr>
          <w:sz w:val="16"/>
          <w:szCs w:val="16"/>
        </w:rPr>
      </w:pPr>
      <w:r w:rsidRPr="008C797A">
        <w:rPr>
          <w:sz w:val="16"/>
          <w:szCs w:val="16"/>
        </w:rPr>
        <w:t>Gislason, M. K., Kennedy, A. M., &amp; Witham, S. M. (2021). The interplay between social and ecological determinants of mental health for children and youth in the climate crisis.</w:t>
      </w:r>
      <w:r w:rsidRPr="008C797A">
        <w:rPr>
          <w:rStyle w:val="apple-converted-space"/>
          <w:sz w:val="16"/>
          <w:szCs w:val="16"/>
        </w:rPr>
        <w:t> </w:t>
      </w:r>
      <w:r w:rsidRPr="008C797A">
        <w:rPr>
          <w:rStyle w:val="Emphasis"/>
          <w:sz w:val="16"/>
          <w:szCs w:val="16"/>
        </w:rPr>
        <w:t xml:space="preserve">International Journal of Environmental Research and Public Health, </w:t>
      </w:r>
      <w:r w:rsidR="00751F84" w:rsidRPr="008C797A">
        <w:rPr>
          <w:i/>
          <w:iCs/>
          <w:sz w:val="16"/>
          <w:szCs w:val="16"/>
        </w:rPr>
        <w:t xml:space="preserve">18, 4573. </w:t>
      </w:r>
      <w:hyperlink r:id="rId197" w:history="1">
        <w:r w:rsidR="00751F84" w:rsidRPr="00FB6FF5">
          <w:rPr>
            <w:rStyle w:val="Hyperlink"/>
            <w:sz w:val="16"/>
            <w:szCs w:val="16"/>
          </w:rPr>
          <w:t>https://doi.org/10.3390/ijerph18094573</w:t>
        </w:r>
      </w:hyperlink>
      <w:r w:rsidR="00751F84" w:rsidRPr="008C797A">
        <w:rPr>
          <w:i/>
          <w:iCs/>
          <w:sz w:val="16"/>
          <w:szCs w:val="16"/>
        </w:rPr>
        <w:t xml:space="preserve"> </w:t>
      </w:r>
    </w:p>
    <w:p w14:paraId="59CBBDAA" w14:textId="77777777" w:rsidR="00EE4163" w:rsidRPr="008C797A" w:rsidRDefault="00C1481B" w:rsidP="00D5752B">
      <w:pPr>
        <w:pStyle w:val="NormalWeb"/>
        <w:numPr>
          <w:ilvl w:val="0"/>
          <w:numId w:val="46"/>
        </w:numPr>
        <w:rPr>
          <w:sz w:val="16"/>
          <w:szCs w:val="16"/>
        </w:rPr>
      </w:pPr>
      <w:r w:rsidRPr="008C797A">
        <w:rPr>
          <w:sz w:val="16"/>
          <w:szCs w:val="16"/>
        </w:rPr>
        <w:t>Goodman, B. (2014). The debate on climate change and health in the context of ecological public health: A necessary corrective to Costello et al’s “biggest global health threat”, or co-opted apologists for the neoliberal hegemony?</w:t>
      </w:r>
      <w:r w:rsidRPr="008C797A">
        <w:rPr>
          <w:rStyle w:val="apple-converted-space"/>
          <w:sz w:val="16"/>
          <w:szCs w:val="16"/>
        </w:rPr>
        <w:t> </w:t>
      </w:r>
      <w:r w:rsidRPr="008C797A">
        <w:rPr>
          <w:rStyle w:val="Emphasis"/>
          <w:sz w:val="16"/>
          <w:szCs w:val="16"/>
        </w:rPr>
        <w:t>Public Health, 128</w:t>
      </w:r>
      <w:r w:rsidR="00751F84" w:rsidRPr="008C797A">
        <w:rPr>
          <w:sz w:val="16"/>
          <w:szCs w:val="16"/>
        </w:rPr>
        <w:t>:</w:t>
      </w:r>
      <w:r w:rsidRPr="008C797A">
        <w:rPr>
          <w:sz w:val="16"/>
          <w:szCs w:val="16"/>
        </w:rPr>
        <w:t xml:space="preserve"> 10</w:t>
      </w:r>
      <w:r w:rsidR="00751F84" w:rsidRPr="008C797A">
        <w:rPr>
          <w:sz w:val="16"/>
          <w:szCs w:val="16"/>
        </w:rPr>
        <w:t>59</w:t>
      </w:r>
      <w:r w:rsidRPr="008C797A">
        <w:rPr>
          <w:sz w:val="16"/>
          <w:szCs w:val="16"/>
        </w:rPr>
        <w:t>–10</w:t>
      </w:r>
      <w:r w:rsidR="00751F84" w:rsidRPr="008C797A">
        <w:rPr>
          <w:sz w:val="16"/>
          <w:szCs w:val="16"/>
        </w:rPr>
        <w:t>65</w:t>
      </w:r>
      <w:r w:rsidRPr="008C797A">
        <w:rPr>
          <w:sz w:val="16"/>
          <w:szCs w:val="16"/>
        </w:rPr>
        <w:t>.</w:t>
      </w:r>
      <w:r w:rsidRPr="008C797A">
        <w:rPr>
          <w:rStyle w:val="apple-converted-space"/>
          <w:sz w:val="16"/>
          <w:szCs w:val="16"/>
        </w:rPr>
        <w:t> </w:t>
      </w:r>
      <w:hyperlink r:id="rId198" w:history="1">
        <w:r w:rsidR="00751F84" w:rsidRPr="008C797A">
          <w:rPr>
            <w:rStyle w:val="Hyperlink"/>
            <w:sz w:val="16"/>
            <w:szCs w:val="16"/>
          </w:rPr>
          <w:t>http://dx.doi.org/10.1016/j.puhe.2014.08.017</w:t>
        </w:r>
      </w:hyperlink>
      <w:r w:rsidR="00751F84" w:rsidRPr="008C797A">
        <w:rPr>
          <w:i/>
          <w:iCs/>
          <w:color w:val="2197D2"/>
          <w:sz w:val="16"/>
          <w:szCs w:val="16"/>
        </w:rPr>
        <w:t xml:space="preserve"> </w:t>
      </w:r>
    </w:p>
    <w:p w14:paraId="461F2150" w14:textId="6BCBCEFC" w:rsidR="00C41A1D" w:rsidRPr="008C797A" w:rsidRDefault="00C1481B" w:rsidP="00D5752B">
      <w:pPr>
        <w:pStyle w:val="NormalWeb"/>
        <w:numPr>
          <w:ilvl w:val="0"/>
          <w:numId w:val="46"/>
        </w:numPr>
        <w:rPr>
          <w:sz w:val="16"/>
          <w:szCs w:val="16"/>
        </w:rPr>
      </w:pPr>
      <w:r w:rsidRPr="008C797A">
        <w:rPr>
          <w:sz w:val="16"/>
          <w:szCs w:val="16"/>
        </w:rPr>
        <w:t>Hancock, T. (2015). Population health promotion 2.0: An eco-social approach to public health in the Anthropocene.</w:t>
      </w:r>
      <w:r w:rsidRPr="008C797A">
        <w:rPr>
          <w:rStyle w:val="apple-converted-space"/>
          <w:sz w:val="16"/>
          <w:szCs w:val="16"/>
        </w:rPr>
        <w:t> </w:t>
      </w:r>
      <w:r w:rsidRPr="008C797A">
        <w:rPr>
          <w:rStyle w:val="Emphasis"/>
          <w:sz w:val="16"/>
          <w:szCs w:val="16"/>
        </w:rPr>
        <w:t xml:space="preserve">Canadian Journal of Public Health, </w:t>
      </w:r>
      <w:r w:rsidR="00EE4163" w:rsidRPr="008C797A">
        <w:rPr>
          <w:i/>
          <w:iCs/>
          <w:color w:val="131413"/>
          <w:sz w:val="16"/>
          <w:szCs w:val="16"/>
        </w:rPr>
        <w:t>106</w:t>
      </w:r>
      <w:r w:rsidR="00EE4163" w:rsidRPr="00015ECB">
        <w:rPr>
          <w:color w:val="131413"/>
          <w:sz w:val="16"/>
          <w:szCs w:val="16"/>
        </w:rPr>
        <w:t>(4):</w:t>
      </w:r>
      <w:r w:rsidR="00EE4163" w:rsidRPr="00FB6FF5">
        <w:rPr>
          <w:color w:val="131413"/>
          <w:sz w:val="16"/>
          <w:szCs w:val="16"/>
        </w:rPr>
        <w:t>e252–e255</w:t>
      </w:r>
      <w:r w:rsidR="00EE4163" w:rsidRPr="00FB6FF5">
        <w:rPr>
          <w:sz w:val="16"/>
          <w:szCs w:val="16"/>
        </w:rPr>
        <w:t xml:space="preserve">. </w:t>
      </w:r>
      <w:hyperlink r:id="rId199" w:history="1">
        <w:r w:rsidR="00EE4163" w:rsidRPr="00FB6FF5">
          <w:rPr>
            <w:rStyle w:val="Hyperlink"/>
            <w:sz w:val="16"/>
            <w:szCs w:val="16"/>
          </w:rPr>
          <w:t>https://doi.org/10.17269/CJPH.106.5161</w:t>
        </w:r>
      </w:hyperlink>
      <w:r w:rsidR="00EE4163" w:rsidRPr="008C797A">
        <w:rPr>
          <w:i/>
          <w:iCs/>
          <w:color w:val="131413"/>
          <w:sz w:val="16"/>
          <w:szCs w:val="16"/>
        </w:rPr>
        <w:t xml:space="preserve"> </w:t>
      </w:r>
    </w:p>
    <w:p w14:paraId="7D4E6FEF" w14:textId="2A3DA539" w:rsidR="00707A4A" w:rsidRPr="008C797A" w:rsidRDefault="00707A4A"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color w:val="000000"/>
          <w:kern w:val="0"/>
          <w:sz w:val="16"/>
          <w:szCs w:val="16"/>
          <w:lang w:val="en-RS" w:eastAsia="en-GB"/>
          <w14:ligatures w14:val="none"/>
        </w:rPr>
      </w:pPr>
      <w:r w:rsidRPr="008C797A">
        <w:rPr>
          <w:rFonts w:ascii="Times New Roman" w:eastAsia="Times New Roman" w:hAnsi="Times New Roman" w:cs="Times New Roman"/>
          <w:color w:val="000000"/>
          <w:kern w:val="0"/>
          <w:sz w:val="16"/>
          <w:szCs w:val="16"/>
          <w:lang w:val="en-RS" w:eastAsia="en-GB"/>
          <w14:ligatures w14:val="none"/>
        </w:rPr>
        <w:t>Hancock, T. (2022). Gaia and the Anthropocene: The ultimate determinant of health. In S. Kokko &amp; M. Baybutt (Eds.), </w:t>
      </w:r>
      <w:r w:rsidRPr="008C797A">
        <w:rPr>
          <w:rFonts w:ascii="Times New Roman" w:eastAsia="Times New Roman" w:hAnsi="Times New Roman" w:cs="Times New Roman"/>
          <w:i/>
          <w:iCs/>
          <w:color w:val="000000"/>
          <w:kern w:val="0"/>
          <w:sz w:val="16"/>
          <w:szCs w:val="16"/>
          <w:lang w:val="en-RS" w:eastAsia="en-GB"/>
          <w14:ligatures w14:val="none"/>
        </w:rPr>
        <w:t>Handbook of settings</w:t>
      </w:r>
      <w:r w:rsidRPr="008C797A">
        <w:rPr>
          <w:rFonts w:ascii="Times New Roman" w:eastAsia="Times New Roman" w:hAnsi="Times New Roman" w:cs="Times New Roman"/>
          <w:i/>
          <w:iCs/>
          <w:color w:val="000000"/>
          <w:kern w:val="0"/>
          <w:sz w:val="16"/>
          <w:szCs w:val="16"/>
          <w:lang w:val="en-RS" w:eastAsia="en-GB"/>
          <w14:ligatures w14:val="none"/>
        </w:rPr>
        <w:noBreakHyphen/>
        <w:t>based health promotion</w:t>
      </w:r>
      <w:r w:rsidRPr="008C797A">
        <w:rPr>
          <w:rFonts w:ascii="Times New Roman" w:eastAsia="Times New Roman" w:hAnsi="Times New Roman" w:cs="Times New Roman"/>
          <w:color w:val="000000"/>
          <w:kern w:val="0"/>
          <w:sz w:val="16"/>
          <w:szCs w:val="16"/>
          <w:lang w:val="en-RS" w:eastAsia="en-GB"/>
          <w14:ligatures w14:val="none"/>
        </w:rPr>
        <w:t> (pp. 241–258). Springer. </w:t>
      </w:r>
      <w:hyperlink r:id="rId200" w:history="1">
        <w:r w:rsidR="00015ECB" w:rsidRPr="00341C23">
          <w:rPr>
            <w:rStyle w:val="Hyperlink"/>
            <w:rFonts w:ascii="Times New Roman" w:eastAsia="Times New Roman" w:hAnsi="Times New Roman" w:cs="Times New Roman"/>
            <w:kern w:val="0"/>
            <w:sz w:val="16"/>
            <w:szCs w:val="16"/>
            <w:lang w:val="en-RS" w:eastAsia="en-GB"/>
            <w14:ligatures w14:val="none"/>
          </w:rPr>
          <w:t>https://doi.org/10.1007/978</w:t>
        </w:r>
        <w:r w:rsidR="00015ECB" w:rsidRPr="00341C23">
          <w:rPr>
            <w:rStyle w:val="Hyperlink"/>
            <w:rFonts w:ascii="Times New Roman" w:eastAsia="Times New Roman" w:hAnsi="Times New Roman" w:cs="Times New Roman"/>
            <w:kern w:val="0"/>
            <w:sz w:val="16"/>
            <w:szCs w:val="16"/>
            <w:lang w:val="en-RS" w:eastAsia="en-GB"/>
            <w14:ligatures w14:val="none"/>
          </w:rPr>
          <w:noBreakHyphen/>
          <w:t>3</w:t>
        </w:r>
        <w:r w:rsidR="00015ECB" w:rsidRPr="00341C23">
          <w:rPr>
            <w:rStyle w:val="Hyperlink"/>
            <w:rFonts w:ascii="Times New Roman" w:eastAsia="Times New Roman" w:hAnsi="Times New Roman" w:cs="Times New Roman"/>
            <w:kern w:val="0"/>
            <w:sz w:val="16"/>
            <w:szCs w:val="16"/>
            <w:lang w:val="en-RS" w:eastAsia="en-GB"/>
            <w14:ligatures w14:val="none"/>
          </w:rPr>
          <w:noBreakHyphen/>
          <w:t>030</w:t>
        </w:r>
        <w:r w:rsidR="00015ECB" w:rsidRPr="00341C23">
          <w:rPr>
            <w:rStyle w:val="Hyperlink"/>
            <w:rFonts w:ascii="Times New Roman" w:eastAsia="Times New Roman" w:hAnsi="Times New Roman" w:cs="Times New Roman"/>
            <w:kern w:val="0"/>
            <w:sz w:val="16"/>
            <w:szCs w:val="16"/>
            <w:lang w:val="en-RS" w:eastAsia="en-GB"/>
            <w14:ligatures w14:val="none"/>
          </w:rPr>
          <w:noBreakHyphen/>
          <w:t>95856</w:t>
        </w:r>
        <w:r w:rsidR="00015ECB" w:rsidRPr="00341C23">
          <w:rPr>
            <w:rStyle w:val="Hyperlink"/>
            <w:rFonts w:ascii="Times New Roman" w:eastAsia="Times New Roman" w:hAnsi="Times New Roman" w:cs="Times New Roman"/>
            <w:kern w:val="0"/>
            <w:sz w:val="16"/>
            <w:szCs w:val="16"/>
            <w:lang w:val="en-RS" w:eastAsia="en-GB"/>
            <w14:ligatures w14:val="none"/>
          </w:rPr>
          <w:noBreakHyphen/>
          <w:t>5</w:t>
        </w:r>
      </w:hyperlink>
      <w:r w:rsidR="00015ECB">
        <w:rPr>
          <w:rFonts w:ascii="Times New Roman" w:eastAsia="Times New Roman" w:hAnsi="Times New Roman" w:cs="Times New Roman"/>
          <w:color w:val="000000"/>
          <w:kern w:val="0"/>
          <w:sz w:val="16"/>
          <w:szCs w:val="16"/>
          <w:lang w:val="en-RS" w:eastAsia="en-GB"/>
          <w14:ligatures w14:val="none"/>
        </w:rPr>
        <w:t xml:space="preserve"> </w:t>
      </w:r>
    </w:p>
    <w:p w14:paraId="5492BA60" w14:textId="5A624D82" w:rsidR="00707A4A" w:rsidRPr="008C797A" w:rsidRDefault="00707A4A"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color w:val="000000"/>
          <w:kern w:val="0"/>
          <w:sz w:val="16"/>
          <w:szCs w:val="16"/>
          <w:lang w:val="en-RS" w:eastAsia="en-GB"/>
          <w14:ligatures w14:val="none"/>
        </w:rPr>
      </w:pPr>
      <w:r w:rsidRPr="008C797A">
        <w:rPr>
          <w:rFonts w:ascii="Times New Roman" w:eastAsia="Times New Roman" w:hAnsi="Times New Roman" w:cs="Times New Roman"/>
          <w:color w:val="000000"/>
          <w:kern w:val="0"/>
          <w:sz w:val="16"/>
          <w:szCs w:val="16"/>
          <w:lang w:val="en-RS" w:eastAsia="en-GB"/>
          <w14:ligatures w14:val="none"/>
        </w:rPr>
        <w:t>Hancock, T. (2022</w:t>
      </w:r>
      <w:r w:rsidR="00FF4D05">
        <w:rPr>
          <w:rFonts w:ascii="Times New Roman" w:eastAsia="Times New Roman" w:hAnsi="Times New Roman" w:cs="Times New Roman"/>
          <w:color w:val="000000"/>
          <w:kern w:val="0"/>
          <w:sz w:val="16"/>
          <w:szCs w:val="16"/>
          <w:lang w:val="en-RS" w:eastAsia="en-GB"/>
          <w14:ligatures w14:val="none"/>
        </w:rPr>
        <w:t>a</w:t>
      </w:r>
      <w:r w:rsidRPr="008C797A">
        <w:rPr>
          <w:rFonts w:ascii="Times New Roman" w:eastAsia="Times New Roman" w:hAnsi="Times New Roman" w:cs="Times New Roman"/>
          <w:color w:val="000000"/>
          <w:kern w:val="0"/>
          <w:sz w:val="16"/>
          <w:szCs w:val="16"/>
          <w:lang w:val="en-RS" w:eastAsia="en-GB"/>
          <w14:ligatures w14:val="none"/>
        </w:rPr>
        <w:t>). Health promotion in the Anthropocene. In S. Kokko &amp; M. Baybutt (Eds.), </w:t>
      </w:r>
      <w:r w:rsidRPr="008C797A">
        <w:rPr>
          <w:rFonts w:ascii="Times New Roman" w:eastAsia="Times New Roman" w:hAnsi="Times New Roman" w:cs="Times New Roman"/>
          <w:i/>
          <w:iCs/>
          <w:color w:val="000000"/>
          <w:kern w:val="0"/>
          <w:sz w:val="16"/>
          <w:szCs w:val="16"/>
          <w:lang w:val="en-RS" w:eastAsia="en-GB"/>
          <w14:ligatures w14:val="none"/>
        </w:rPr>
        <w:t>Handbook of settings</w:t>
      </w:r>
      <w:r w:rsidRPr="008C797A">
        <w:rPr>
          <w:rFonts w:ascii="Times New Roman" w:eastAsia="Times New Roman" w:hAnsi="Times New Roman" w:cs="Times New Roman"/>
          <w:i/>
          <w:iCs/>
          <w:color w:val="000000"/>
          <w:kern w:val="0"/>
          <w:sz w:val="16"/>
          <w:szCs w:val="16"/>
          <w:lang w:val="en-RS" w:eastAsia="en-GB"/>
          <w14:ligatures w14:val="none"/>
        </w:rPr>
        <w:noBreakHyphen/>
        <w:t>based health promotion</w:t>
      </w:r>
      <w:r w:rsidRPr="008C797A">
        <w:rPr>
          <w:rFonts w:ascii="Times New Roman" w:eastAsia="Times New Roman" w:hAnsi="Times New Roman" w:cs="Times New Roman"/>
          <w:color w:val="000000"/>
          <w:kern w:val="0"/>
          <w:sz w:val="16"/>
          <w:szCs w:val="16"/>
          <w:lang w:val="en-RS" w:eastAsia="en-GB"/>
          <w14:ligatures w14:val="none"/>
        </w:rPr>
        <w:t> (pp. 2</w:t>
      </w:r>
      <w:r w:rsidR="00EE4163" w:rsidRPr="008C797A">
        <w:rPr>
          <w:rFonts w:ascii="Times New Roman" w:eastAsia="Times New Roman" w:hAnsi="Times New Roman" w:cs="Times New Roman"/>
          <w:color w:val="000000"/>
          <w:kern w:val="0"/>
          <w:sz w:val="16"/>
          <w:szCs w:val="16"/>
          <w:lang w:val="en-RS" w:eastAsia="en-GB"/>
          <w14:ligatures w14:val="none"/>
        </w:rPr>
        <w:t>41</w:t>
      </w:r>
      <w:r w:rsidRPr="008C797A">
        <w:rPr>
          <w:rFonts w:ascii="Times New Roman" w:eastAsia="Times New Roman" w:hAnsi="Times New Roman" w:cs="Times New Roman"/>
          <w:color w:val="000000"/>
          <w:kern w:val="0"/>
          <w:sz w:val="16"/>
          <w:szCs w:val="16"/>
          <w:lang w:val="en-RS" w:eastAsia="en-GB"/>
          <w14:ligatures w14:val="none"/>
        </w:rPr>
        <w:t>–2</w:t>
      </w:r>
      <w:r w:rsidR="00EE4163" w:rsidRPr="008C797A">
        <w:rPr>
          <w:rFonts w:ascii="Times New Roman" w:eastAsia="Times New Roman" w:hAnsi="Times New Roman" w:cs="Times New Roman"/>
          <w:color w:val="000000"/>
          <w:kern w:val="0"/>
          <w:sz w:val="16"/>
          <w:szCs w:val="16"/>
          <w:lang w:val="en-RS" w:eastAsia="en-GB"/>
          <w14:ligatures w14:val="none"/>
        </w:rPr>
        <w:t>57</w:t>
      </w:r>
      <w:r w:rsidRPr="008C797A">
        <w:rPr>
          <w:rFonts w:ascii="Times New Roman" w:eastAsia="Times New Roman" w:hAnsi="Times New Roman" w:cs="Times New Roman"/>
          <w:color w:val="000000"/>
          <w:kern w:val="0"/>
          <w:sz w:val="16"/>
          <w:szCs w:val="16"/>
          <w:lang w:val="en-RS" w:eastAsia="en-GB"/>
          <w14:ligatures w14:val="none"/>
        </w:rPr>
        <w:t>). Springer. </w:t>
      </w:r>
      <w:hyperlink r:id="rId201" w:history="1">
        <w:r w:rsidR="00EE4163" w:rsidRPr="008C797A">
          <w:rPr>
            <w:rStyle w:val="Hyperlink"/>
            <w:rFonts w:ascii="Times New Roman" w:hAnsi="Times New Roman" w:cs="Times New Roman"/>
            <w:kern w:val="0"/>
            <w:sz w:val="16"/>
            <w:szCs w:val="16"/>
          </w:rPr>
          <w:t>https://doi.org/10.1007/978-3-030-95856-5_14</w:t>
        </w:r>
      </w:hyperlink>
      <w:r w:rsidR="00EE4163" w:rsidRPr="008C797A">
        <w:rPr>
          <w:rFonts w:ascii="Times New Roman" w:hAnsi="Times New Roman" w:cs="Times New Roman"/>
          <w:i/>
          <w:iCs/>
          <w:color w:val="0000FB"/>
          <w:kern w:val="0"/>
          <w:sz w:val="16"/>
          <w:szCs w:val="16"/>
        </w:rPr>
        <w:t xml:space="preserve"> </w:t>
      </w:r>
    </w:p>
    <w:p w14:paraId="79817608" w14:textId="14F904E9" w:rsidR="00EE4163" w:rsidRPr="008C797A" w:rsidRDefault="00707A4A" w:rsidP="00D5752B">
      <w:pPr>
        <w:pStyle w:val="NormalWeb"/>
        <w:numPr>
          <w:ilvl w:val="0"/>
          <w:numId w:val="46"/>
        </w:numPr>
        <w:rPr>
          <w:sz w:val="16"/>
          <w:szCs w:val="16"/>
        </w:rPr>
      </w:pPr>
      <w:r w:rsidRPr="008C797A">
        <w:rPr>
          <w:rFonts w:eastAsiaTheme="minorHAnsi"/>
          <w:kern w:val="2"/>
          <w:sz w:val="16"/>
          <w:szCs w:val="16"/>
          <w:lang w:eastAsia="en-US"/>
          <w14:ligatures w14:val="standardContextual"/>
        </w:rPr>
        <w:t>Hill, K. X., &amp; Mad Plume, L. M. (2024). Climate justice and Indigenous youth mental health in the Anthropocene. In E. Haase &amp; K. Hudson (Eds.), </w:t>
      </w:r>
      <w:r w:rsidRPr="008C797A">
        <w:rPr>
          <w:rFonts w:eastAsiaTheme="minorHAnsi"/>
          <w:i/>
          <w:iCs/>
          <w:kern w:val="2"/>
          <w:sz w:val="16"/>
          <w:szCs w:val="16"/>
          <w:lang w:eastAsia="en-US"/>
          <w14:ligatures w14:val="standardContextual"/>
        </w:rPr>
        <w:t>Climate change and youth mental health: Multidisciplinary perspectives</w:t>
      </w:r>
      <w:r w:rsidRPr="008C797A">
        <w:rPr>
          <w:rFonts w:eastAsiaTheme="minorHAnsi"/>
          <w:kern w:val="2"/>
          <w:sz w:val="16"/>
          <w:szCs w:val="16"/>
          <w:lang w:eastAsia="en-US"/>
          <w14:ligatures w14:val="standardContextual"/>
        </w:rPr>
        <w:t> (pp. 385–402). Cambridge University Press. </w:t>
      </w:r>
      <w:hyperlink r:id="rId202" w:history="1">
        <w:r w:rsidR="00015ECB" w:rsidRPr="00341C23">
          <w:rPr>
            <w:rStyle w:val="Hyperlink"/>
            <w:rFonts w:eastAsiaTheme="minorHAnsi"/>
            <w:kern w:val="2"/>
            <w:sz w:val="16"/>
            <w:szCs w:val="16"/>
            <w:lang w:eastAsia="en-US"/>
            <w14:ligatures w14:val="standardContextual"/>
          </w:rPr>
          <w:t>https://doi.org/10.1017/9781009252904.022</w:t>
        </w:r>
      </w:hyperlink>
      <w:r w:rsidR="00015ECB">
        <w:rPr>
          <w:rFonts w:eastAsiaTheme="minorHAnsi"/>
          <w:kern w:val="2"/>
          <w:sz w:val="16"/>
          <w:szCs w:val="16"/>
          <w:lang w:eastAsia="en-US"/>
          <w14:ligatures w14:val="standardContextual"/>
        </w:rPr>
        <w:t xml:space="preserve"> </w:t>
      </w:r>
    </w:p>
    <w:p w14:paraId="30B4C450" w14:textId="5ED6E079" w:rsidR="00C41A1D" w:rsidRPr="008C797A" w:rsidRDefault="00C1481B" w:rsidP="00D5752B">
      <w:pPr>
        <w:pStyle w:val="NormalWeb"/>
        <w:numPr>
          <w:ilvl w:val="0"/>
          <w:numId w:val="46"/>
        </w:numPr>
        <w:rPr>
          <w:sz w:val="16"/>
          <w:szCs w:val="16"/>
        </w:rPr>
      </w:pPr>
      <w:r w:rsidRPr="008C797A">
        <w:rPr>
          <w:sz w:val="16"/>
          <w:szCs w:val="16"/>
        </w:rPr>
        <w:t xml:space="preserve">Hossain, M. M., Sultana, F., Mostafa, M., Ferdus, H., Kundu, M., Adhikary, S., </w:t>
      </w:r>
      <w:r w:rsidR="008817AE" w:rsidRPr="008C797A">
        <w:rPr>
          <w:sz w:val="16"/>
          <w:szCs w:val="16"/>
        </w:rPr>
        <w:t>et al</w:t>
      </w:r>
      <w:r w:rsidRPr="008C797A">
        <w:rPr>
          <w:sz w:val="16"/>
          <w:szCs w:val="16"/>
        </w:rPr>
        <w:t>. (2025). Stress responses and mechanisms of phytopathogens infecting humans: Threats, drivers, and recommendations.</w:t>
      </w:r>
      <w:r w:rsidRPr="008C797A">
        <w:rPr>
          <w:rStyle w:val="apple-converted-space"/>
          <w:sz w:val="16"/>
          <w:szCs w:val="16"/>
        </w:rPr>
        <w:t> </w:t>
      </w:r>
      <w:r w:rsidRPr="008C797A">
        <w:rPr>
          <w:rStyle w:val="Emphasis"/>
          <w:sz w:val="16"/>
          <w:szCs w:val="16"/>
        </w:rPr>
        <w:t xml:space="preserve">Stresses, </w:t>
      </w:r>
      <w:r w:rsidR="00EE4163" w:rsidRPr="008C797A">
        <w:rPr>
          <w:i/>
          <w:iCs/>
          <w:sz w:val="16"/>
          <w:szCs w:val="16"/>
        </w:rPr>
        <w:t xml:space="preserve">5: </w:t>
      </w:r>
      <w:r w:rsidR="00EE4163" w:rsidRPr="008C797A">
        <w:rPr>
          <w:sz w:val="16"/>
          <w:szCs w:val="16"/>
        </w:rPr>
        <w:t xml:space="preserve">28. </w:t>
      </w:r>
      <w:hyperlink r:id="rId203" w:history="1">
        <w:r w:rsidR="00EE4163" w:rsidRPr="008C797A">
          <w:rPr>
            <w:rStyle w:val="Hyperlink"/>
            <w:sz w:val="16"/>
            <w:szCs w:val="16"/>
          </w:rPr>
          <w:t>https://doi.org/10.3390/stresses5020028</w:t>
        </w:r>
      </w:hyperlink>
      <w:r w:rsidR="00EE4163" w:rsidRPr="008C797A">
        <w:rPr>
          <w:i/>
          <w:iCs/>
          <w:sz w:val="16"/>
          <w:szCs w:val="16"/>
        </w:rPr>
        <w:t xml:space="preserve"> </w:t>
      </w:r>
    </w:p>
    <w:p w14:paraId="7DE28B70" w14:textId="2238A8E9" w:rsidR="00C1481B" w:rsidRPr="008C797A" w:rsidRDefault="00C1481B" w:rsidP="00D5752B">
      <w:pPr>
        <w:pStyle w:val="NormalWeb"/>
        <w:numPr>
          <w:ilvl w:val="0"/>
          <w:numId w:val="46"/>
        </w:numPr>
        <w:rPr>
          <w:sz w:val="16"/>
          <w:szCs w:val="16"/>
        </w:rPr>
      </w:pPr>
      <w:r w:rsidRPr="008C797A">
        <w:rPr>
          <w:sz w:val="16"/>
          <w:szCs w:val="16"/>
        </w:rPr>
        <w:t>Huynen, M. M. T. E., Martens, P., &amp; Hilderink, H. B. M. (2005). The health impacts of globalization: A conceptual framework.</w:t>
      </w:r>
      <w:r w:rsidRPr="008C797A">
        <w:rPr>
          <w:rStyle w:val="apple-converted-space"/>
          <w:sz w:val="16"/>
          <w:szCs w:val="16"/>
        </w:rPr>
        <w:t> </w:t>
      </w:r>
      <w:r w:rsidRPr="008C797A">
        <w:rPr>
          <w:rStyle w:val="Emphasis"/>
          <w:sz w:val="16"/>
          <w:szCs w:val="16"/>
        </w:rPr>
        <w:t>Globalization and Health, 1</w:t>
      </w:r>
      <w:r w:rsidRPr="008C797A">
        <w:rPr>
          <w:sz w:val="16"/>
          <w:szCs w:val="16"/>
        </w:rPr>
        <w:t>, 14.</w:t>
      </w:r>
      <w:r w:rsidRPr="008C797A">
        <w:rPr>
          <w:rStyle w:val="apple-converted-space"/>
          <w:sz w:val="16"/>
          <w:szCs w:val="16"/>
        </w:rPr>
        <w:t> </w:t>
      </w:r>
      <w:hyperlink r:id="rId204" w:history="1">
        <w:r w:rsidR="00015ECB" w:rsidRPr="00341C23">
          <w:rPr>
            <w:rStyle w:val="Hyperlink"/>
            <w:sz w:val="16"/>
            <w:szCs w:val="16"/>
          </w:rPr>
          <w:t>https://doi.org/10.1186/1744-8603-1-14</w:t>
        </w:r>
      </w:hyperlink>
      <w:r w:rsidR="00015ECB">
        <w:rPr>
          <w:sz w:val="16"/>
          <w:szCs w:val="16"/>
        </w:rPr>
        <w:t xml:space="preserve"> </w:t>
      </w:r>
    </w:p>
    <w:p w14:paraId="6F9A1BBC" w14:textId="736A073F" w:rsidR="0084739A" w:rsidRDefault="0084739A" w:rsidP="00D5752B">
      <w:pPr>
        <w:pStyle w:val="NormalWeb"/>
        <w:numPr>
          <w:ilvl w:val="0"/>
          <w:numId w:val="46"/>
        </w:numPr>
        <w:rPr>
          <w:sz w:val="16"/>
          <w:szCs w:val="16"/>
        </w:rPr>
      </w:pPr>
      <w:r w:rsidRPr="008C797A">
        <w:rPr>
          <w:rFonts w:eastAsia="Times New Roman"/>
          <w:sz w:val="16"/>
          <w:szCs w:val="16"/>
        </w:rPr>
        <w:t>Inayatulloh &amp; Theresia</w:t>
      </w:r>
      <w:r w:rsidR="00157795">
        <w:rPr>
          <w:rFonts w:eastAsia="Times New Roman"/>
          <w:sz w:val="16"/>
          <w:szCs w:val="16"/>
        </w:rPr>
        <w:t>, S</w:t>
      </w:r>
      <w:r w:rsidRPr="008C797A">
        <w:rPr>
          <w:rFonts w:eastAsia="Times New Roman"/>
          <w:sz w:val="16"/>
          <w:szCs w:val="16"/>
        </w:rPr>
        <w:t xml:space="preserve">. Early warning system for infectious diseases. </w:t>
      </w:r>
      <w:r w:rsidRPr="008C797A">
        <w:rPr>
          <w:rFonts w:eastAsia="Times New Roman"/>
          <w:i/>
          <w:iCs/>
          <w:sz w:val="16"/>
          <w:szCs w:val="16"/>
        </w:rPr>
        <w:t>2015 9th International Conference on Telecommunication Systems Services and Applications (TSSA)</w:t>
      </w:r>
      <w:r w:rsidRPr="008C797A">
        <w:rPr>
          <w:rFonts w:eastAsia="Times New Roman"/>
          <w:sz w:val="16"/>
          <w:szCs w:val="16"/>
        </w:rPr>
        <w:t>, Bandung, Indonesia, 2015, pp. 1-5.</w:t>
      </w:r>
    </w:p>
    <w:p w14:paraId="2434D398" w14:textId="7EBE8FA8" w:rsidR="00EE4163" w:rsidRPr="008C797A" w:rsidRDefault="00C1481B" w:rsidP="00D5752B">
      <w:pPr>
        <w:pStyle w:val="NormalWeb"/>
        <w:numPr>
          <w:ilvl w:val="0"/>
          <w:numId w:val="46"/>
        </w:numPr>
        <w:rPr>
          <w:sz w:val="16"/>
          <w:szCs w:val="16"/>
        </w:rPr>
      </w:pPr>
      <w:r w:rsidRPr="008C797A">
        <w:rPr>
          <w:sz w:val="16"/>
          <w:szCs w:val="16"/>
        </w:rPr>
        <w:t>Jackson, S. F. (2017). How can health promotion address the ecological determinants of health?</w:t>
      </w:r>
      <w:r w:rsidRPr="008C797A">
        <w:rPr>
          <w:rStyle w:val="apple-converted-space"/>
          <w:sz w:val="16"/>
          <w:szCs w:val="16"/>
        </w:rPr>
        <w:t> </w:t>
      </w:r>
      <w:r w:rsidRPr="008C797A">
        <w:rPr>
          <w:rStyle w:val="Emphasis"/>
          <w:sz w:val="16"/>
          <w:szCs w:val="16"/>
        </w:rPr>
        <w:t>Global Health Promotion, 24</w:t>
      </w:r>
      <w:r w:rsidRPr="008C797A">
        <w:rPr>
          <w:sz w:val="16"/>
          <w:szCs w:val="16"/>
        </w:rPr>
        <w:t>(</w:t>
      </w:r>
      <w:r w:rsidR="00EE4163" w:rsidRPr="008C797A">
        <w:rPr>
          <w:sz w:val="16"/>
          <w:szCs w:val="16"/>
        </w:rPr>
        <w:t>4)</w:t>
      </w:r>
      <w:r w:rsidRPr="008C797A">
        <w:rPr>
          <w:sz w:val="16"/>
          <w:szCs w:val="16"/>
        </w:rPr>
        <w:t xml:space="preserve">, </w:t>
      </w:r>
      <w:r w:rsidR="00EE4163" w:rsidRPr="008C797A">
        <w:rPr>
          <w:sz w:val="16"/>
          <w:szCs w:val="16"/>
        </w:rPr>
        <w:t>3</w:t>
      </w:r>
      <w:r w:rsidRPr="008C797A">
        <w:rPr>
          <w:sz w:val="16"/>
          <w:szCs w:val="16"/>
        </w:rPr>
        <w:t>–</w:t>
      </w:r>
      <w:r w:rsidR="00EE4163" w:rsidRPr="008C797A">
        <w:rPr>
          <w:sz w:val="16"/>
          <w:szCs w:val="16"/>
        </w:rPr>
        <w:t>4</w:t>
      </w:r>
      <w:r w:rsidRPr="008C797A">
        <w:rPr>
          <w:sz w:val="16"/>
          <w:szCs w:val="16"/>
        </w:rPr>
        <w:t>.</w:t>
      </w:r>
      <w:r w:rsidRPr="008C797A">
        <w:rPr>
          <w:rStyle w:val="apple-converted-space"/>
          <w:sz w:val="16"/>
          <w:szCs w:val="16"/>
        </w:rPr>
        <w:t> </w:t>
      </w:r>
      <w:hyperlink r:id="rId205" w:history="1">
        <w:r w:rsidR="00EE4163" w:rsidRPr="008C797A">
          <w:rPr>
            <w:rStyle w:val="Hyperlink"/>
            <w:sz w:val="16"/>
            <w:szCs w:val="16"/>
          </w:rPr>
          <w:t>https://doi.org/10.1177/1757975917747448</w:t>
        </w:r>
      </w:hyperlink>
      <w:r w:rsidR="00EE4163" w:rsidRPr="008C797A">
        <w:rPr>
          <w:i/>
          <w:iCs/>
          <w:sz w:val="16"/>
          <w:szCs w:val="16"/>
        </w:rPr>
        <w:t xml:space="preserve">   </w:t>
      </w:r>
    </w:p>
    <w:p w14:paraId="236A96E6" w14:textId="1085EB6D" w:rsidR="00C41A1D" w:rsidRPr="008C797A" w:rsidRDefault="00C1481B" w:rsidP="00D5752B">
      <w:pPr>
        <w:pStyle w:val="NormalWeb"/>
        <w:numPr>
          <w:ilvl w:val="0"/>
          <w:numId w:val="46"/>
        </w:numPr>
        <w:rPr>
          <w:sz w:val="16"/>
          <w:szCs w:val="16"/>
        </w:rPr>
      </w:pPr>
      <w:r w:rsidRPr="008C797A">
        <w:rPr>
          <w:sz w:val="16"/>
          <w:szCs w:val="16"/>
        </w:rPr>
        <w:t>Kalolo, A., &amp; Kibusi, S. M. (2015). The influence of perceived behaviour control, attitude and empowerment on reported condom use and intention to use condoms among adolescents in rural Tanzania.</w:t>
      </w:r>
      <w:r w:rsidRPr="008C797A">
        <w:rPr>
          <w:rStyle w:val="apple-converted-space"/>
          <w:sz w:val="16"/>
          <w:szCs w:val="16"/>
        </w:rPr>
        <w:t> </w:t>
      </w:r>
      <w:r w:rsidRPr="008C797A">
        <w:rPr>
          <w:rStyle w:val="Emphasis"/>
          <w:sz w:val="16"/>
          <w:szCs w:val="16"/>
        </w:rPr>
        <w:t xml:space="preserve">Reproductive Health, </w:t>
      </w:r>
      <w:r w:rsidR="00EE4163" w:rsidRPr="008C797A">
        <w:rPr>
          <w:i/>
          <w:iCs/>
          <w:sz w:val="16"/>
          <w:szCs w:val="16"/>
        </w:rPr>
        <w:t>12:</w:t>
      </w:r>
      <w:r w:rsidR="00EE4163" w:rsidRPr="008C797A">
        <w:rPr>
          <w:sz w:val="16"/>
          <w:szCs w:val="16"/>
        </w:rPr>
        <w:t xml:space="preserve">105. </w:t>
      </w:r>
      <w:hyperlink r:id="rId206" w:history="1">
        <w:r w:rsidR="00EE4163" w:rsidRPr="008C797A">
          <w:rPr>
            <w:rStyle w:val="Hyperlink"/>
            <w:sz w:val="16"/>
            <w:szCs w:val="16"/>
          </w:rPr>
          <w:t>https://doi.org/10.1186/s12978-015-0097-5</w:t>
        </w:r>
      </w:hyperlink>
      <w:r w:rsidR="00EE4163" w:rsidRPr="008C797A">
        <w:rPr>
          <w:sz w:val="16"/>
          <w:szCs w:val="16"/>
        </w:rPr>
        <w:t xml:space="preserve"> </w:t>
      </w:r>
    </w:p>
    <w:p w14:paraId="764C817A" w14:textId="77777777" w:rsidR="00B84792" w:rsidRPr="008C797A" w:rsidRDefault="00C1481B" w:rsidP="00D5752B">
      <w:pPr>
        <w:pStyle w:val="NormalWeb"/>
        <w:numPr>
          <w:ilvl w:val="0"/>
          <w:numId w:val="46"/>
        </w:numPr>
        <w:rPr>
          <w:sz w:val="16"/>
          <w:szCs w:val="16"/>
        </w:rPr>
      </w:pPr>
      <w:r w:rsidRPr="008C797A">
        <w:rPr>
          <w:sz w:val="16"/>
          <w:szCs w:val="16"/>
        </w:rPr>
        <w:t>Kathe, N. J., &amp; Wani, R. J. (2021). Determinants of COVID</w:t>
      </w:r>
      <w:r w:rsidRPr="008C797A">
        <w:rPr>
          <w:sz w:val="16"/>
          <w:szCs w:val="16"/>
        </w:rPr>
        <w:noBreakHyphen/>
        <w:t>19 case fatality rate in the United States: Spatial analysis over one year of the pandemic.</w:t>
      </w:r>
      <w:r w:rsidRPr="008C797A">
        <w:rPr>
          <w:rStyle w:val="apple-converted-space"/>
          <w:sz w:val="16"/>
          <w:szCs w:val="16"/>
        </w:rPr>
        <w:t> </w:t>
      </w:r>
      <w:r w:rsidRPr="008C797A">
        <w:rPr>
          <w:rStyle w:val="Emphasis"/>
          <w:sz w:val="16"/>
          <w:szCs w:val="16"/>
        </w:rPr>
        <w:t xml:space="preserve">Journal of Health Economics and Outcomes Research, </w:t>
      </w:r>
      <w:r w:rsidR="00E7564B" w:rsidRPr="008C797A">
        <w:rPr>
          <w:i/>
          <w:iCs/>
          <w:sz w:val="16"/>
          <w:szCs w:val="16"/>
        </w:rPr>
        <w:t>8</w:t>
      </w:r>
      <w:r w:rsidR="00E7564B" w:rsidRPr="008C797A">
        <w:rPr>
          <w:sz w:val="16"/>
          <w:szCs w:val="16"/>
        </w:rPr>
        <w:t xml:space="preserve">(1):51-62. </w:t>
      </w:r>
      <w:hyperlink r:id="rId207" w:history="1">
        <w:r w:rsidR="00E7564B" w:rsidRPr="008C797A">
          <w:rPr>
            <w:rStyle w:val="Hyperlink"/>
            <w:sz w:val="16"/>
            <w:szCs w:val="16"/>
          </w:rPr>
          <w:t>https://doi:10.36469/jheor.2021.22978</w:t>
        </w:r>
      </w:hyperlink>
    </w:p>
    <w:p w14:paraId="39113E0B" w14:textId="0CA4FC31"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Keeney, A. J., Beseler, C. L., &amp; Ingold, S. S. (2023). County-level analysis on occupation and ecological determinants of child abuse and neglect rates employing elastic net regression. </w:t>
      </w:r>
      <w:r w:rsidRPr="008C797A">
        <w:rPr>
          <w:rFonts w:eastAsia="Times New Roman"/>
          <w:i/>
          <w:iCs/>
          <w:sz w:val="16"/>
          <w:szCs w:val="16"/>
          <w:lang w:val="en-RS"/>
        </w:rPr>
        <w:t>Child Abuse &amp; Neglect, 1</w:t>
      </w:r>
      <w:r w:rsidR="00E7564B" w:rsidRPr="008C797A">
        <w:rPr>
          <w:rFonts w:eastAsia="Times New Roman"/>
          <w:i/>
          <w:iCs/>
          <w:sz w:val="16"/>
          <w:szCs w:val="16"/>
          <w:lang w:val="en-RS"/>
        </w:rPr>
        <w:t>36</w:t>
      </w:r>
      <w:r w:rsidRPr="008C797A">
        <w:rPr>
          <w:rFonts w:eastAsia="Times New Roman"/>
          <w:sz w:val="16"/>
          <w:szCs w:val="16"/>
          <w:lang w:val="en-RS"/>
        </w:rPr>
        <w:t>, 106</w:t>
      </w:r>
      <w:r w:rsidR="00B84792" w:rsidRPr="008C797A">
        <w:rPr>
          <w:rFonts w:eastAsia="Times New Roman"/>
          <w:sz w:val="16"/>
          <w:szCs w:val="16"/>
          <w:lang w:val="en-RS"/>
        </w:rPr>
        <w:t>029</w:t>
      </w:r>
      <w:r w:rsidRPr="008C797A">
        <w:rPr>
          <w:rFonts w:eastAsia="Times New Roman"/>
          <w:sz w:val="16"/>
          <w:szCs w:val="16"/>
          <w:lang w:val="en-RS"/>
        </w:rPr>
        <w:t>.</w:t>
      </w:r>
      <w:r w:rsidR="00B84792" w:rsidRPr="008C797A">
        <w:rPr>
          <w:rFonts w:eastAsia="Times New Roman"/>
          <w:sz w:val="16"/>
          <w:szCs w:val="16"/>
          <w:lang w:val="en-RS"/>
        </w:rPr>
        <w:t xml:space="preserve"> </w:t>
      </w:r>
      <w:hyperlink r:id="rId208" w:history="1">
        <w:r w:rsidR="00B84792" w:rsidRPr="008C797A">
          <w:rPr>
            <w:rStyle w:val="Hyperlink"/>
            <w:sz w:val="16"/>
            <w:szCs w:val="16"/>
          </w:rPr>
          <w:t>https://doi.org/10.1016/j.chiabu.2023.106029</w:t>
        </w:r>
      </w:hyperlink>
      <w:r w:rsidR="00B84792" w:rsidRPr="008C797A">
        <w:rPr>
          <w:color w:val="2196D1"/>
          <w:sz w:val="16"/>
          <w:szCs w:val="16"/>
        </w:rPr>
        <w:t xml:space="preserve"> </w:t>
      </w:r>
    </w:p>
    <w:p w14:paraId="69A28259" w14:textId="21E9E573"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Kennedy, A. M., Tsakonas, K., Berman-Hatch, F., Conradi, S., Thaysen, M., Gillespie, M. A., </w:t>
      </w:r>
      <w:r w:rsidR="008817AE" w:rsidRPr="008C797A">
        <w:rPr>
          <w:rFonts w:eastAsia="Times New Roman"/>
          <w:sz w:val="16"/>
          <w:szCs w:val="16"/>
          <w:lang w:val="en-RS"/>
        </w:rPr>
        <w:t>et al</w:t>
      </w:r>
      <w:r w:rsidRPr="008C797A">
        <w:rPr>
          <w:rFonts w:eastAsia="Times New Roman"/>
          <w:sz w:val="16"/>
          <w:szCs w:val="16"/>
          <w:lang w:val="en-RS"/>
        </w:rPr>
        <w:t>. (2024). Promoting community health and climate justice co-benefits: Insights from a rural and remote island climate planning process. </w:t>
      </w:r>
      <w:r w:rsidRPr="008C797A">
        <w:rPr>
          <w:rFonts w:eastAsia="Times New Roman"/>
          <w:i/>
          <w:iCs/>
          <w:sz w:val="16"/>
          <w:szCs w:val="16"/>
          <w:lang w:val="en-RS"/>
        </w:rPr>
        <w:t>Frontiers in Public Health, 12</w:t>
      </w:r>
      <w:r w:rsidRPr="008C797A">
        <w:rPr>
          <w:rFonts w:eastAsia="Times New Roman"/>
          <w:sz w:val="16"/>
          <w:szCs w:val="16"/>
          <w:lang w:val="en-RS"/>
        </w:rPr>
        <w:t>, 1</w:t>
      </w:r>
      <w:r w:rsidR="00B84792" w:rsidRPr="008C797A">
        <w:rPr>
          <w:rFonts w:eastAsia="Times New Roman"/>
          <w:sz w:val="16"/>
          <w:szCs w:val="16"/>
          <w:lang w:val="en-RS"/>
        </w:rPr>
        <w:t>309186</w:t>
      </w:r>
      <w:r w:rsidRPr="008C797A">
        <w:rPr>
          <w:rFonts w:eastAsia="Times New Roman"/>
          <w:sz w:val="16"/>
          <w:szCs w:val="16"/>
          <w:lang w:val="en-RS"/>
        </w:rPr>
        <w:t>. </w:t>
      </w:r>
      <w:hyperlink r:id="rId209" w:history="1">
        <w:r w:rsidR="00B84792" w:rsidRPr="008C797A">
          <w:rPr>
            <w:rStyle w:val="Hyperlink"/>
            <w:rFonts w:eastAsia="Times New Roman"/>
            <w:sz w:val="16"/>
            <w:szCs w:val="16"/>
            <w:lang w:val="en-RS"/>
          </w:rPr>
          <w:t>https://doi.org/10.3389/fpubh.2024.1309186</w:t>
        </w:r>
      </w:hyperlink>
      <w:r w:rsidR="00B84792" w:rsidRPr="008C797A">
        <w:rPr>
          <w:rFonts w:eastAsia="Times New Roman"/>
          <w:sz w:val="16"/>
          <w:szCs w:val="16"/>
          <w:lang w:val="en-RS"/>
        </w:rPr>
        <w:t xml:space="preserve"> </w:t>
      </w:r>
    </w:p>
    <w:p w14:paraId="5D4F5987" w14:textId="7F173FFF" w:rsidR="00C41A1D" w:rsidRPr="00015ECB" w:rsidRDefault="00C1481B" w:rsidP="00D5752B">
      <w:pPr>
        <w:pStyle w:val="NormalWeb"/>
        <w:numPr>
          <w:ilvl w:val="0"/>
          <w:numId w:val="46"/>
        </w:numPr>
        <w:rPr>
          <w:sz w:val="16"/>
          <w:szCs w:val="16"/>
        </w:rPr>
      </w:pPr>
      <w:r w:rsidRPr="008C797A">
        <w:rPr>
          <w:rFonts w:eastAsia="Times New Roman"/>
          <w:sz w:val="16"/>
          <w:szCs w:val="16"/>
          <w:lang w:val="en-RS"/>
        </w:rPr>
        <w:t xml:space="preserve">Khalil, A. T., Ali, M., Tanveer, F., Ovais, M., Idrees, M., Shinwari, Z. K., </w:t>
      </w:r>
      <w:r w:rsidR="00015ECB">
        <w:rPr>
          <w:rFonts w:eastAsia="Times New Roman"/>
          <w:sz w:val="16"/>
          <w:szCs w:val="16"/>
          <w:lang w:val="en-RS"/>
        </w:rPr>
        <w:t>et al</w:t>
      </w:r>
      <w:r w:rsidRPr="008C797A">
        <w:rPr>
          <w:rFonts w:eastAsia="Times New Roman"/>
          <w:sz w:val="16"/>
          <w:szCs w:val="16"/>
          <w:lang w:val="en-RS"/>
        </w:rPr>
        <w:t xml:space="preserve"> (2017). Emerging viral infections in Pakistan: Issues, concerns, and future prospects. </w:t>
      </w:r>
      <w:r w:rsidRPr="008C797A">
        <w:rPr>
          <w:rFonts w:eastAsia="Times New Roman"/>
          <w:i/>
          <w:iCs/>
          <w:sz w:val="16"/>
          <w:szCs w:val="16"/>
          <w:lang w:val="en-RS"/>
        </w:rPr>
        <w:t>Health Security, 15</w:t>
      </w:r>
      <w:r w:rsidRPr="008C797A">
        <w:rPr>
          <w:rFonts w:eastAsia="Times New Roman"/>
          <w:sz w:val="16"/>
          <w:szCs w:val="16"/>
          <w:lang w:val="en-RS"/>
        </w:rPr>
        <w:t>(</w:t>
      </w:r>
      <w:r w:rsidR="00B84792" w:rsidRPr="008C797A">
        <w:rPr>
          <w:rFonts w:eastAsia="Times New Roman"/>
          <w:sz w:val="16"/>
          <w:szCs w:val="16"/>
          <w:lang w:val="en-RS"/>
        </w:rPr>
        <w:t>3</w:t>
      </w:r>
      <w:r w:rsidRPr="008C797A">
        <w:rPr>
          <w:rFonts w:eastAsia="Times New Roman"/>
          <w:sz w:val="16"/>
          <w:szCs w:val="16"/>
          <w:lang w:val="en-RS"/>
        </w:rPr>
        <w:t xml:space="preserve">), </w:t>
      </w:r>
      <w:r w:rsidR="00B84792" w:rsidRPr="008C797A">
        <w:rPr>
          <w:rFonts w:eastAsia="Times New Roman"/>
          <w:sz w:val="16"/>
          <w:szCs w:val="16"/>
          <w:lang w:val="en-RS"/>
        </w:rPr>
        <w:t>268</w:t>
      </w:r>
      <w:r w:rsidRPr="008C797A">
        <w:rPr>
          <w:rFonts w:eastAsia="Times New Roman"/>
          <w:sz w:val="16"/>
          <w:szCs w:val="16"/>
          <w:lang w:val="en-RS"/>
        </w:rPr>
        <w:t>–</w:t>
      </w:r>
      <w:r w:rsidR="00B84792" w:rsidRPr="008C797A">
        <w:rPr>
          <w:rFonts w:eastAsia="Times New Roman"/>
          <w:sz w:val="16"/>
          <w:szCs w:val="16"/>
          <w:lang w:val="en-RS"/>
        </w:rPr>
        <w:t>281</w:t>
      </w:r>
      <w:r w:rsidRPr="008C797A">
        <w:rPr>
          <w:rFonts w:eastAsia="Times New Roman"/>
          <w:sz w:val="16"/>
          <w:szCs w:val="16"/>
          <w:lang w:val="en-RS"/>
        </w:rPr>
        <w:t>. </w:t>
      </w:r>
      <w:hyperlink r:id="rId210" w:history="1">
        <w:r w:rsidR="00B84792" w:rsidRPr="00015ECB">
          <w:rPr>
            <w:rStyle w:val="Hyperlink"/>
            <w:sz w:val="16"/>
            <w:szCs w:val="16"/>
          </w:rPr>
          <w:t>https://doi.org/10.1089/hs.2016.0072</w:t>
        </w:r>
      </w:hyperlink>
      <w:r w:rsidR="00B84792" w:rsidRPr="00015ECB">
        <w:rPr>
          <w:sz w:val="16"/>
          <w:szCs w:val="16"/>
        </w:rPr>
        <w:t xml:space="preserve"> </w:t>
      </w:r>
    </w:p>
    <w:p w14:paraId="0228B253" w14:textId="1A3B9847"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Kusumayati, A., &amp; Gross, R. (1998). Ecological and geographic characteristics predict nutritional status of communities: Rapid assessment for poor villages. </w:t>
      </w:r>
      <w:r w:rsidRPr="008C797A">
        <w:rPr>
          <w:rFonts w:eastAsia="Times New Roman"/>
          <w:i/>
          <w:iCs/>
          <w:sz w:val="16"/>
          <w:szCs w:val="16"/>
          <w:lang w:val="en-RS"/>
        </w:rPr>
        <w:t>Health Policy and Planning, 13</w:t>
      </w:r>
      <w:r w:rsidRPr="008C797A">
        <w:rPr>
          <w:rFonts w:eastAsia="Times New Roman"/>
          <w:sz w:val="16"/>
          <w:szCs w:val="16"/>
          <w:lang w:val="en-RS"/>
        </w:rPr>
        <w:t>(</w:t>
      </w:r>
      <w:r w:rsidR="00B84792" w:rsidRPr="008C797A">
        <w:rPr>
          <w:rFonts w:eastAsia="Times New Roman"/>
          <w:sz w:val="16"/>
          <w:szCs w:val="16"/>
          <w:lang w:val="en-RS"/>
        </w:rPr>
        <w:t>4</w:t>
      </w:r>
      <w:r w:rsidRPr="008C797A">
        <w:rPr>
          <w:rFonts w:eastAsia="Times New Roman"/>
          <w:sz w:val="16"/>
          <w:szCs w:val="16"/>
          <w:lang w:val="en-RS"/>
        </w:rPr>
        <w:t xml:space="preserve">), </w:t>
      </w:r>
      <w:r w:rsidR="00B84792" w:rsidRPr="008C797A">
        <w:rPr>
          <w:rFonts w:eastAsia="Times New Roman"/>
          <w:sz w:val="16"/>
          <w:szCs w:val="16"/>
          <w:lang w:val="en-RS"/>
        </w:rPr>
        <w:t>408</w:t>
      </w:r>
      <w:r w:rsidRPr="008C797A">
        <w:rPr>
          <w:rFonts w:eastAsia="Times New Roman"/>
          <w:sz w:val="16"/>
          <w:szCs w:val="16"/>
          <w:lang w:val="en-RS"/>
        </w:rPr>
        <w:t>–</w:t>
      </w:r>
      <w:r w:rsidR="00B84792" w:rsidRPr="008C797A">
        <w:rPr>
          <w:rFonts w:eastAsia="Times New Roman"/>
          <w:sz w:val="16"/>
          <w:szCs w:val="16"/>
          <w:lang w:val="en-RS"/>
        </w:rPr>
        <w:t>416</w:t>
      </w:r>
      <w:r w:rsidRPr="008C797A">
        <w:rPr>
          <w:rFonts w:eastAsia="Times New Roman"/>
          <w:sz w:val="16"/>
          <w:szCs w:val="16"/>
          <w:lang w:val="en-RS"/>
        </w:rPr>
        <w:t>.</w:t>
      </w:r>
      <w:r w:rsidR="00B84792" w:rsidRPr="008C797A">
        <w:rPr>
          <w:sz w:val="16"/>
          <w:szCs w:val="16"/>
        </w:rPr>
        <w:t xml:space="preserve"> </w:t>
      </w:r>
    </w:p>
    <w:p w14:paraId="7078A632" w14:textId="52207470"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Langmaid, G., Patrick, R., Kingsley, J., Lawson, J., &amp; Judd, J. (2021). Applying the Mandala of Health in the Anthropocene.</w:t>
      </w:r>
      <w:r w:rsidR="00015ECB">
        <w:rPr>
          <w:rFonts w:eastAsia="Times New Roman"/>
          <w:sz w:val="16"/>
          <w:szCs w:val="16"/>
          <w:lang w:val="en-RS"/>
        </w:rPr>
        <w:t xml:space="preserve"> </w:t>
      </w:r>
      <w:r w:rsidR="00015ECB" w:rsidRPr="008C797A">
        <w:rPr>
          <w:rFonts w:eastAsia="Times New Roman"/>
          <w:i/>
          <w:iCs/>
          <w:sz w:val="16"/>
          <w:szCs w:val="16"/>
          <w:lang w:val="en-RS"/>
        </w:rPr>
        <w:t xml:space="preserve">Health Promotion Journal of Australia, </w:t>
      </w:r>
      <w:r w:rsidR="00015ECB" w:rsidRPr="008C797A">
        <w:rPr>
          <w:i/>
          <w:iCs/>
          <w:sz w:val="16"/>
          <w:szCs w:val="16"/>
        </w:rPr>
        <w:t>32(S2):</w:t>
      </w:r>
      <w:r w:rsidR="00015ECB" w:rsidRPr="008C797A">
        <w:rPr>
          <w:sz w:val="16"/>
          <w:szCs w:val="16"/>
        </w:rPr>
        <w:t>8–21</w:t>
      </w:r>
      <w:r w:rsidR="00015ECB" w:rsidRPr="008C797A">
        <w:rPr>
          <w:rFonts w:eastAsia="Times New Roman"/>
          <w:sz w:val="16"/>
          <w:szCs w:val="16"/>
          <w:lang w:val="en-RS"/>
        </w:rPr>
        <w:t>. </w:t>
      </w:r>
      <w:hyperlink r:id="rId211" w:history="1">
        <w:r w:rsidR="00015ECB" w:rsidRPr="00015ECB">
          <w:rPr>
            <w:rStyle w:val="Hyperlink"/>
            <w:sz w:val="16"/>
            <w:szCs w:val="16"/>
          </w:rPr>
          <w:t>https://doi.org/10.1002/hpja.434</w:t>
        </w:r>
      </w:hyperlink>
      <w:r w:rsidR="00015ECB" w:rsidRPr="008C797A">
        <w:rPr>
          <w:i/>
          <w:iCs/>
          <w:sz w:val="16"/>
          <w:szCs w:val="16"/>
        </w:rPr>
        <w:t xml:space="preserve"> </w:t>
      </w:r>
      <w:r w:rsidR="00C767B0" w:rsidRPr="008C797A">
        <w:rPr>
          <w:i/>
          <w:iCs/>
          <w:sz w:val="16"/>
          <w:szCs w:val="16"/>
        </w:rPr>
        <w:t xml:space="preserve"> </w:t>
      </w:r>
    </w:p>
    <w:p w14:paraId="2F0B84D6" w14:textId="755D66EC" w:rsidR="007528D1"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Lawes, T., López-Lozano, J.-M., Nebot, C. A., Macartney, G., Subbarao-Sharma, R., Dare, C. R. J., </w:t>
      </w:r>
      <w:r w:rsidR="008817AE" w:rsidRPr="008C797A">
        <w:rPr>
          <w:rFonts w:eastAsia="Times New Roman"/>
          <w:sz w:val="16"/>
          <w:szCs w:val="16"/>
          <w:lang w:val="en-RS"/>
        </w:rPr>
        <w:t>et al</w:t>
      </w:r>
      <w:r w:rsidRPr="008C797A">
        <w:rPr>
          <w:rFonts w:eastAsia="Times New Roman"/>
          <w:sz w:val="16"/>
          <w:szCs w:val="16"/>
          <w:lang w:val="en-RS"/>
        </w:rPr>
        <w:t>. (2015). Effects of national antibiotic stewardship and infection control strategies on hospital-associated and community-associated meticillin-resistant </w:t>
      </w:r>
      <w:r w:rsidRPr="008C797A">
        <w:rPr>
          <w:rFonts w:eastAsia="Times New Roman"/>
          <w:i/>
          <w:iCs/>
          <w:sz w:val="16"/>
          <w:szCs w:val="16"/>
          <w:lang w:val="en-RS"/>
        </w:rPr>
        <w:t>Staphylococcus aureus</w:t>
      </w:r>
      <w:r w:rsidRPr="008C797A">
        <w:rPr>
          <w:rFonts w:eastAsia="Times New Roman"/>
          <w:sz w:val="16"/>
          <w:szCs w:val="16"/>
          <w:lang w:val="en-RS"/>
        </w:rPr>
        <w:t> infections across a region of Scotland: A non-linear time-series study. </w:t>
      </w:r>
      <w:r w:rsidRPr="008C797A">
        <w:rPr>
          <w:rFonts w:eastAsia="Times New Roman"/>
          <w:i/>
          <w:iCs/>
          <w:sz w:val="16"/>
          <w:szCs w:val="16"/>
          <w:lang w:val="en-RS"/>
        </w:rPr>
        <w:t>The Lancet Infectious Diseases, 15</w:t>
      </w:r>
      <w:r w:rsidRPr="008C797A">
        <w:rPr>
          <w:rFonts w:eastAsia="Times New Roman"/>
          <w:sz w:val="16"/>
          <w:szCs w:val="16"/>
          <w:lang w:val="en-RS"/>
        </w:rPr>
        <w:t>(7), 846–854. </w:t>
      </w:r>
      <w:hyperlink r:id="rId212" w:history="1">
        <w:r w:rsidR="00C41A1D" w:rsidRPr="008C797A">
          <w:rPr>
            <w:rStyle w:val="Hyperlink"/>
            <w:rFonts w:eastAsia="Times New Roman"/>
            <w:sz w:val="16"/>
            <w:szCs w:val="16"/>
            <w:lang w:val="en-RS"/>
          </w:rPr>
          <w:t>https://doi.org/10.1016/S1473-3099(15)00113-6</w:t>
        </w:r>
      </w:hyperlink>
    </w:p>
    <w:p w14:paraId="58BF1E73" w14:textId="3B278624" w:rsidR="007528D1"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Lawes, T., Lopez-Lozano, J.-M., Nebot, C. A., Macartney, G., Subbarao-Sharma, R., Wares, K. D., </w:t>
      </w:r>
      <w:r w:rsidR="00015ECB">
        <w:rPr>
          <w:rFonts w:eastAsia="Times New Roman"/>
          <w:sz w:val="16"/>
          <w:szCs w:val="16"/>
          <w:lang w:val="en-RS"/>
        </w:rPr>
        <w:t>et al</w:t>
      </w:r>
      <w:r w:rsidRPr="008C797A">
        <w:rPr>
          <w:rFonts w:eastAsia="Times New Roman"/>
          <w:sz w:val="16"/>
          <w:szCs w:val="16"/>
          <w:lang w:val="en-RS"/>
        </w:rPr>
        <w:t>. (2017). Effect of a national 4C antibiotic stewardship intervention on the clinical and molecular epidemiology of </w:t>
      </w:r>
      <w:r w:rsidRPr="008C797A">
        <w:rPr>
          <w:rFonts w:eastAsia="Times New Roman"/>
          <w:i/>
          <w:iCs/>
          <w:sz w:val="16"/>
          <w:szCs w:val="16"/>
          <w:lang w:val="en-RS"/>
        </w:rPr>
        <w:t>Clostridium difficile</w:t>
      </w:r>
      <w:r w:rsidRPr="008C797A">
        <w:rPr>
          <w:rFonts w:eastAsia="Times New Roman"/>
          <w:sz w:val="16"/>
          <w:szCs w:val="16"/>
          <w:lang w:val="en-RS"/>
        </w:rPr>
        <w:t> infections in a region of Scotland: A non-linear time-series analysis. </w:t>
      </w:r>
      <w:r w:rsidRPr="008C797A">
        <w:rPr>
          <w:rFonts w:eastAsia="Times New Roman"/>
          <w:i/>
          <w:iCs/>
          <w:sz w:val="16"/>
          <w:szCs w:val="16"/>
          <w:lang w:val="en-RS"/>
        </w:rPr>
        <w:t xml:space="preserve">The Lancet Infectious Diseases, </w:t>
      </w:r>
      <w:r w:rsidR="00C767B0" w:rsidRPr="008C797A">
        <w:rPr>
          <w:rFonts w:eastAsia="Times New Roman"/>
          <w:i/>
          <w:iCs/>
          <w:sz w:val="16"/>
          <w:szCs w:val="16"/>
          <w:lang w:val="en-RS"/>
        </w:rPr>
        <w:t>1</w:t>
      </w:r>
      <w:r w:rsidR="007528D1" w:rsidRPr="008C797A">
        <w:rPr>
          <w:rFonts w:eastAsia="Times New Roman"/>
          <w:i/>
          <w:iCs/>
          <w:sz w:val="16"/>
          <w:szCs w:val="16"/>
          <w:lang w:val="en-RS"/>
        </w:rPr>
        <w:t>7</w:t>
      </w:r>
      <w:r w:rsidR="00C767B0" w:rsidRPr="008C797A">
        <w:rPr>
          <w:rFonts w:eastAsia="Times New Roman"/>
          <w:i/>
          <w:iCs/>
          <w:sz w:val="16"/>
          <w:szCs w:val="16"/>
          <w:lang w:val="en-RS"/>
        </w:rPr>
        <w:t>:</w:t>
      </w:r>
      <w:r w:rsidRPr="008C797A">
        <w:rPr>
          <w:rFonts w:eastAsia="Times New Roman"/>
          <w:sz w:val="16"/>
          <w:szCs w:val="16"/>
          <w:lang w:val="en-RS"/>
        </w:rPr>
        <w:t xml:space="preserve"> 1</w:t>
      </w:r>
      <w:r w:rsidR="007528D1" w:rsidRPr="008C797A">
        <w:rPr>
          <w:rFonts w:eastAsia="Times New Roman"/>
          <w:sz w:val="16"/>
          <w:szCs w:val="16"/>
          <w:lang w:val="en-RS"/>
        </w:rPr>
        <w:t>94</w:t>
      </w:r>
      <w:r w:rsidRPr="008C797A">
        <w:rPr>
          <w:rFonts w:eastAsia="Times New Roman"/>
          <w:sz w:val="16"/>
          <w:szCs w:val="16"/>
          <w:lang w:val="en-RS"/>
        </w:rPr>
        <w:t>–</w:t>
      </w:r>
      <w:r w:rsidR="007528D1" w:rsidRPr="008C797A">
        <w:rPr>
          <w:rFonts w:eastAsia="Times New Roman"/>
          <w:sz w:val="16"/>
          <w:szCs w:val="16"/>
          <w:lang w:val="en-RS"/>
        </w:rPr>
        <w:t>206</w:t>
      </w:r>
      <w:r w:rsidRPr="008C797A">
        <w:rPr>
          <w:rFonts w:eastAsia="Times New Roman"/>
          <w:sz w:val="16"/>
          <w:szCs w:val="16"/>
          <w:lang w:val="en-RS"/>
        </w:rPr>
        <w:t>.</w:t>
      </w:r>
      <w:r w:rsidR="00015ECB">
        <w:rPr>
          <w:rFonts w:eastAsia="Times New Roman"/>
          <w:sz w:val="16"/>
          <w:szCs w:val="16"/>
          <w:lang w:val="en-RS"/>
        </w:rPr>
        <w:t xml:space="preserve"> </w:t>
      </w:r>
      <w:hyperlink r:id="rId213" w:history="1">
        <w:r w:rsidR="00015ECB" w:rsidRPr="008C797A">
          <w:rPr>
            <w:rStyle w:val="Hyperlink"/>
            <w:rFonts w:eastAsia="Times New Roman"/>
            <w:sz w:val="16"/>
            <w:szCs w:val="16"/>
            <w:lang w:val="en-RS"/>
          </w:rPr>
          <w:t>https://doi.org/</w:t>
        </w:r>
        <w:r w:rsidR="00015ECB" w:rsidRPr="008C797A">
          <w:rPr>
            <w:rStyle w:val="Hyperlink"/>
            <w:sz w:val="16"/>
            <w:szCs w:val="16"/>
          </w:rPr>
          <w:t>10.1016/S1473-3099(16)30397-8</w:t>
        </w:r>
      </w:hyperlink>
      <w:r w:rsidR="00015ECB" w:rsidRPr="008C797A">
        <w:rPr>
          <w:i/>
          <w:iCs/>
          <w:sz w:val="16"/>
          <w:szCs w:val="16"/>
        </w:rPr>
        <w:t xml:space="preserve"> </w:t>
      </w:r>
      <w:r w:rsidR="007528D1" w:rsidRPr="008C797A">
        <w:rPr>
          <w:i/>
          <w:iCs/>
          <w:sz w:val="16"/>
          <w:szCs w:val="16"/>
        </w:rPr>
        <w:t xml:space="preserve"> </w:t>
      </w:r>
    </w:p>
    <w:p w14:paraId="5C653DA1" w14:textId="47AAD69B" w:rsidR="007C3046" w:rsidRPr="00015ECB" w:rsidRDefault="007C3046" w:rsidP="00D5752B">
      <w:pPr>
        <w:pStyle w:val="NormalWeb"/>
        <w:numPr>
          <w:ilvl w:val="0"/>
          <w:numId w:val="46"/>
        </w:numPr>
        <w:rPr>
          <w:rFonts w:eastAsia="Times New Roman"/>
          <w:sz w:val="16"/>
          <w:szCs w:val="16"/>
          <w:lang w:val="en-RS"/>
        </w:rPr>
      </w:pPr>
      <w:r w:rsidRPr="008C797A">
        <w:rPr>
          <w:rFonts w:eastAsia="Times New Roman"/>
          <w:sz w:val="16"/>
          <w:szCs w:val="16"/>
          <w:lang w:val="en-RS"/>
        </w:rPr>
        <w:t>Lawson, D. W., James, S., Ngadaya, E., Ngowi, B., Mfinanga, S. G. M., &amp; Mulder, M. B. (2015). No evidence that polygynous marriage is a harmful cultural practice in northern Tanzania. </w:t>
      </w:r>
      <w:r w:rsidRPr="008C797A">
        <w:rPr>
          <w:rFonts w:eastAsia="Times New Roman"/>
          <w:i/>
          <w:iCs/>
          <w:sz w:val="16"/>
          <w:szCs w:val="16"/>
          <w:lang w:val="en-RS"/>
        </w:rPr>
        <w:t xml:space="preserve">PNAS, 112 (45) 13827-13832. </w:t>
      </w:r>
      <w:hyperlink r:id="rId214" w:history="1">
        <w:r w:rsidRPr="00015ECB">
          <w:rPr>
            <w:rStyle w:val="Hyperlink"/>
            <w:rFonts w:eastAsia="Times New Roman"/>
            <w:sz w:val="16"/>
            <w:szCs w:val="16"/>
            <w:lang w:val="en-RS"/>
          </w:rPr>
          <w:t>https://doi.org/10.1073/pnas.1507151112</w:t>
        </w:r>
      </w:hyperlink>
    </w:p>
    <w:p w14:paraId="29C89E12" w14:textId="53BC7D08" w:rsidR="008817AE"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Lee, C. C., Miller, A. A., Tallman, P. S., Collins, S. M., Gildner, T. E., Cepon-Robins, T. J., </w:t>
      </w:r>
      <w:r w:rsidR="008817AE" w:rsidRPr="008C797A">
        <w:rPr>
          <w:rFonts w:eastAsia="Times New Roman"/>
          <w:sz w:val="16"/>
          <w:szCs w:val="16"/>
          <w:lang w:val="en-RS"/>
        </w:rPr>
        <w:t>et al.</w:t>
      </w:r>
      <w:r w:rsidRPr="008C797A">
        <w:rPr>
          <w:rFonts w:eastAsia="Times New Roman"/>
          <w:sz w:val="16"/>
          <w:szCs w:val="16"/>
          <w:lang w:val="en-RS"/>
        </w:rPr>
        <w:t xml:space="preserve"> (2025). </w:t>
      </w:r>
      <w:r w:rsidRPr="008C797A">
        <w:rPr>
          <w:rFonts w:eastAsia="Times New Roman"/>
          <w:i/>
          <w:iCs/>
          <w:sz w:val="16"/>
          <w:szCs w:val="16"/>
          <w:lang w:val="en-RS"/>
        </w:rPr>
        <w:t>Helicobacter pylori</w:t>
      </w:r>
      <w:r w:rsidRPr="008C797A">
        <w:rPr>
          <w:rFonts w:eastAsia="Times New Roman"/>
          <w:sz w:val="16"/>
          <w:szCs w:val="16"/>
          <w:lang w:val="en-RS"/>
        </w:rPr>
        <w:t> in the Philippines: Social and ecological determinants of seropositivity and lack of association with systemic inflammation.</w:t>
      </w:r>
      <w:r w:rsidR="00015ECB">
        <w:rPr>
          <w:rFonts w:eastAsia="Times New Roman"/>
          <w:sz w:val="16"/>
          <w:szCs w:val="16"/>
          <w:lang w:val="en-RS"/>
        </w:rPr>
        <w:t xml:space="preserve"> </w:t>
      </w:r>
      <w:r w:rsidR="00015ECB" w:rsidRPr="008C797A">
        <w:rPr>
          <w:rFonts w:eastAsia="Times New Roman"/>
          <w:i/>
          <w:iCs/>
          <w:sz w:val="16"/>
          <w:szCs w:val="16"/>
          <w:lang w:val="en-RS"/>
        </w:rPr>
        <w:t>American Journal of Human Biology, 40</w:t>
      </w:r>
      <w:r w:rsidR="00015ECB" w:rsidRPr="008C797A">
        <w:rPr>
          <w:rFonts w:eastAsia="Times New Roman"/>
          <w:sz w:val="16"/>
          <w:szCs w:val="16"/>
          <w:lang w:val="en-RS"/>
        </w:rPr>
        <w:t xml:space="preserve">(3): </w:t>
      </w:r>
      <w:r w:rsidR="00015ECB" w:rsidRPr="008C797A">
        <w:rPr>
          <w:i/>
          <w:iCs/>
          <w:color w:val="000000"/>
          <w:sz w:val="16"/>
          <w:szCs w:val="16"/>
        </w:rPr>
        <w:t xml:space="preserve">619–625. </w:t>
      </w:r>
      <w:hyperlink r:id="rId215" w:history="1">
        <w:r w:rsidR="00015ECB" w:rsidRPr="008C797A">
          <w:rPr>
            <w:rStyle w:val="Hyperlink"/>
            <w:sz w:val="16"/>
            <w:szCs w:val="16"/>
          </w:rPr>
          <w:t>https://doi.org/10.1093/ije/dyq085</w:t>
        </w:r>
      </w:hyperlink>
      <w:r w:rsidR="00015ECB" w:rsidRPr="008C797A">
        <w:rPr>
          <w:sz w:val="16"/>
          <w:szCs w:val="16"/>
        </w:rPr>
        <w:t xml:space="preserve"> </w:t>
      </w:r>
    </w:p>
    <w:p w14:paraId="1B6F792D" w14:textId="77777777" w:rsidR="008817AE" w:rsidRPr="008C797A" w:rsidRDefault="00C1481B" w:rsidP="00D5752B">
      <w:pPr>
        <w:pStyle w:val="NormalWeb"/>
        <w:numPr>
          <w:ilvl w:val="0"/>
          <w:numId w:val="46"/>
        </w:numPr>
        <w:rPr>
          <w:sz w:val="16"/>
          <w:szCs w:val="16"/>
        </w:rPr>
      </w:pPr>
      <w:r w:rsidRPr="008C797A">
        <w:rPr>
          <w:rFonts w:eastAsia="Times New Roman"/>
          <w:sz w:val="16"/>
          <w:szCs w:val="16"/>
          <w:lang w:val="en-RS"/>
        </w:rPr>
        <w:t>Li, A. M. L. (2017). Ecological determinants of health: Food and environment on human health. </w:t>
      </w:r>
      <w:r w:rsidRPr="008C797A">
        <w:rPr>
          <w:rFonts w:eastAsia="Times New Roman"/>
          <w:i/>
          <w:iCs/>
          <w:sz w:val="16"/>
          <w:szCs w:val="16"/>
          <w:lang w:val="en-RS"/>
        </w:rPr>
        <w:t xml:space="preserve">Environmental Science and Pollution Research, </w:t>
      </w:r>
      <w:r w:rsidR="008817AE" w:rsidRPr="008C797A">
        <w:rPr>
          <w:i/>
          <w:iCs/>
          <w:color w:val="131413"/>
          <w:sz w:val="16"/>
          <w:szCs w:val="16"/>
        </w:rPr>
        <w:t xml:space="preserve">24: </w:t>
      </w:r>
      <w:r w:rsidR="008817AE" w:rsidRPr="008C797A">
        <w:rPr>
          <w:color w:val="131413"/>
          <w:sz w:val="16"/>
          <w:szCs w:val="16"/>
        </w:rPr>
        <w:t>9002–9015</w:t>
      </w:r>
      <w:r w:rsidR="008817AE" w:rsidRPr="008C797A">
        <w:rPr>
          <w:sz w:val="16"/>
          <w:szCs w:val="16"/>
        </w:rPr>
        <w:t xml:space="preserve">. </w:t>
      </w:r>
      <w:hyperlink r:id="rId216" w:history="1">
        <w:r w:rsidR="008817AE" w:rsidRPr="008C797A">
          <w:rPr>
            <w:rStyle w:val="Hyperlink"/>
            <w:sz w:val="16"/>
            <w:szCs w:val="16"/>
          </w:rPr>
          <w:t>https://doi.org/10.1007/s11356-015-5707-9</w:t>
        </w:r>
      </w:hyperlink>
      <w:r w:rsidR="008817AE" w:rsidRPr="008C797A">
        <w:rPr>
          <w:i/>
          <w:iCs/>
          <w:color w:val="131413"/>
          <w:sz w:val="16"/>
          <w:szCs w:val="16"/>
        </w:rPr>
        <w:t xml:space="preserve"> </w:t>
      </w:r>
    </w:p>
    <w:p w14:paraId="2942A57B" w14:textId="77777777" w:rsidR="008817AE"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Li, J., Liang, J., Wang, J., Ren, Z., Yang, D., Wang, Y., </w:t>
      </w:r>
      <w:r w:rsidR="008817AE" w:rsidRPr="008C797A">
        <w:rPr>
          <w:rFonts w:eastAsia="Times New Roman"/>
          <w:sz w:val="16"/>
          <w:szCs w:val="16"/>
          <w:lang w:val="en-RS"/>
        </w:rPr>
        <w:t>et al</w:t>
      </w:r>
      <w:r w:rsidRPr="008C797A">
        <w:rPr>
          <w:rFonts w:eastAsia="Times New Roman"/>
          <w:sz w:val="16"/>
          <w:szCs w:val="16"/>
          <w:lang w:val="en-RS"/>
        </w:rPr>
        <w:t>. (2020). Spatiotemporal trends and ecological determinants in maternal mortality ratios in 2,205 Chinese counties, 2010–2013: A Bayesian modelling analysis. </w:t>
      </w:r>
      <w:r w:rsidRPr="008C797A">
        <w:rPr>
          <w:rFonts w:eastAsia="Times New Roman"/>
          <w:i/>
          <w:iCs/>
          <w:sz w:val="16"/>
          <w:szCs w:val="16"/>
          <w:lang w:val="en-RS"/>
        </w:rPr>
        <w:t xml:space="preserve">PLOS Medicine, </w:t>
      </w:r>
      <w:r w:rsidR="008817AE" w:rsidRPr="008C797A">
        <w:rPr>
          <w:i/>
          <w:iCs/>
          <w:color w:val="000000"/>
          <w:sz w:val="16"/>
          <w:szCs w:val="16"/>
        </w:rPr>
        <w:t xml:space="preserve">17(5): </w:t>
      </w:r>
      <w:r w:rsidR="008817AE" w:rsidRPr="008C797A">
        <w:rPr>
          <w:color w:val="000000"/>
          <w:sz w:val="16"/>
          <w:szCs w:val="16"/>
        </w:rPr>
        <w:t>e1003114</w:t>
      </w:r>
      <w:r w:rsidR="008817AE" w:rsidRPr="008C797A">
        <w:rPr>
          <w:i/>
          <w:iCs/>
          <w:color w:val="000000"/>
          <w:sz w:val="16"/>
          <w:szCs w:val="16"/>
        </w:rPr>
        <w:t>.</w:t>
      </w:r>
      <w:r w:rsidR="008817AE" w:rsidRPr="008C797A">
        <w:rPr>
          <w:sz w:val="16"/>
          <w:szCs w:val="16"/>
        </w:rPr>
        <w:t xml:space="preserve"> </w:t>
      </w:r>
      <w:hyperlink r:id="rId217" w:history="1">
        <w:r w:rsidR="008817AE" w:rsidRPr="008C797A">
          <w:rPr>
            <w:rStyle w:val="Hyperlink"/>
            <w:sz w:val="16"/>
            <w:szCs w:val="16"/>
          </w:rPr>
          <w:t>https://doi.org/10.1371/journal.pmed.1003114</w:t>
        </w:r>
      </w:hyperlink>
      <w:r w:rsidR="008817AE" w:rsidRPr="008C797A">
        <w:rPr>
          <w:i/>
          <w:iCs/>
          <w:color w:val="2C5CFB"/>
          <w:sz w:val="16"/>
          <w:szCs w:val="16"/>
        </w:rPr>
        <w:t xml:space="preserve"> </w:t>
      </w:r>
    </w:p>
    <w:p w14:paraId="64A4590E" w14:textId="0A8B2641"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Li, J., Xu, F., Chen, Y., Karim, M. R., Wang, Y., Zhang, K., </w:t>
      </w:r>
      <w:r w:rsidR="008817AE" w:rsidRPr="008C797A">
        <w:rPr>
          <w:rFonts w:eastAsia="Times New Roman"/>
          <w:sz w:val="16"/>
          <w:szCs w:val="16"/>
          <w:lang w:val="en-RS"/>
        </w:rPr>
        <w:t>et al</w:t>
      </w:r>
      <w:r w:rsidRPr="008C797A">
        <w:rPr>
          <w:rFonts w:eastAsia="Times New Roman"/>
          <w:sz w:val="16"/>
          <w:szCs w:val="16"/>
          <w:lang w:val="en-RS"/>
        </w:rPr>
        <w:t>. (2023). A marked decline in </w:t>
      </w:r>
      <w:r w:rsidRPr="008C797A">
        <w:rPr>
          <w:rFonts w:eastAsia="Times New Roman"/>
          <w:i/>
          <w:iCs/>
          <w:sz w:val="16"/>
          <w:szCs w:val="16"/>
          <w:lang w:val="en-RS"/>
        </w:rPr>
        <w:t>Taenia solium</w:t>
      </w:r>
      <w:r w:rsidRPr="008C797A">
        <w:rPr>
          <w:rFonts w:eastAsia="Times New Roman"/>
          <w:sz w:val="16"/>
          <w:szCs w:val="16"/>
          <w:lang w:val="en-RS"/>
        </w:rPr>
        <w:t> taeniasis and cysticercosis infections in China: Possible reasons from the ecological determinants perspective. </w:t>
      </w:r>
      <w:r w:rsidRPr="008C797A">
        <w:rPr>
          <w:rFonts w:eastAsia="Times New Roman"/>
          <w:i/>
          <w:iCs/>
          <w:sz w:val="16"/>
          <w:szCs w:val="16"/>
          <w:lang w:val="en-RS"/>
        </w:rPr>
        <w:t xml:space="preserve">Zoonoses, </w:t>
      </w:r>
      <w:r w:rsidR="008817AE" w:rsidRPr="008C797A">
        <w:rPr>
          <w:i/>
          <w:iCs/>
          <w:sz w:val="16"/>
          <w:szCs w:val="16"/>
        </w:rPr>
        <w:t>3:3</w:t>
      </w:r>
      <w:r w:rsidR="008817AE" w:rsidRPr="008C797A">
        <w:rPr>
          <w:sz w:val="16"/>
          <w:szCs w:val="16"/>
        </w:rPr>
        <w:t xml:space="preserve">. </w:t>
      </w:r>
      <w:hyperlink r:id="rId218" w:history="1">
        <w:r w:rsidR="008817AE" w:rsidRPr="008C797A">
          <w:rPr>
            <w:rStyle w:val="Hyperlink"/>
            <w:i/>
            <w:iCs/>
            <w:sz w:val="16"/>
            <w:szCs w:val="16"/>
          </w:rPr>
          <w:t>https://doi.org/10.15212/ZOONOSES-2022-0043</w:t>
        </w:r>
      </w:hyperlink>
      <w:r w:rsidR="008817AE" w:rsidRPr="008C797A">
        <w:rPr>
          <w:i/>
          <w:iCs/>
          <w:sz w:val="16"/>
          <w:szCs w:val="16"/>
        </w:rPr>
        <w:t xml:space="preserve"> </w:t>
      </w:r>
    </w:p>
    <w:p w14:paraId="76396200" w14:textId="1AF72746"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Lokmic-Tomkins, Z., &amp; Borda, A., &amp; Skouteris, H. (2024). Climate conscious health equity is essential to achieve climate-resilient digital healthcare. </w:t>
      </w:r>
      <w:r w:rsidRPr="008C797A">
        <w:rPr>
          <w:rFonts w:eastAsia="Times New Roman"/>
          <w:i/>
          <w:iCs/>
          <w:sz w:val="16"/>
          <w:szCs w:val="16"/>
          <w:lang w:val="en-RS"/>
        </w:rPr>
        <w:t xml:space="preserve">Journal of Climate Change and Health, </w:t>
      </w:r>
      <w:r w:rsidR="008817AE" w:rsidRPr="008C797A">
        <w:rPr>
          <w:rFonts w:eastAsia="Times New Roman"/>
          <w:i/>
          <w:iCs/>
          <w:sz w:val="16"/>
          <w:szCs w:val="16"/>
          <w:lang w:val="en-RS"/>
        </w:rPr>
        <w:t>16:</w:t>
      </w:r>
      <w:r w:rsidRPr="008C797A">
        <w:rPr>
          <w:rFonts w:eastAsia="Times New Roman"/>
          <w:sz w:val="16"/>
          <w:szCs w:val="16"/>
          <w:lang w:val="en-RS"/>
        </w:rPr>
        <w:t xml:space="preserve"> 10</w:t>
      </w:r>
      <w:r w:rsidR="008817AE" w:rsidRPr="008C797A">
        <w:rPr>
          <w:rFonts w:eastAsia="Times New Roman"/>
          <w:sz w:val="16"/>
          <w:szCs w:val="16"/>
          <w:lang w:val="en-RS"/>
        </w:rPr>
        <w:t>0301</w:t>
      </w:r>
      <w:r w:rsidRPr="008C797A">
        <w:rPr>
          <w:rFonts w:eastAsia="Times New Roman"/>
          <w:sz w:val="16"/>
          <w:szCs w:val="16"/>
          <w:lang w:val="en-RS"/>
        </w:rPr>
        <w:t>. </w:t>
      </w:r>
      <w:hyperlink r:id="rId219" w:history="1">
        <w:r w:rsidR="008817AE" w:rsidRPr="008C797A">
          <w:rPr>
            <w:rStyle w:val="Hyperlink"/>
            <w:sz w:val="16"/>
            <w:szCs w:val="16"/>
          </w:rPr>
          <w:t>https://doi.org/10.1016/j.joclim.2024.100301</w:t>
        </w:r>
      </w:hyperlink>
      <w:r w:rsidR="008817AE" w:rsidRPr="008C797A">
        <w:rPr>
          <w:color w:val="0080AA"/>
          <w:sz w:val="16"/>
          <w:szCs w:val="16"/>
        </w:rPr>
        <w:t xml:space="preserve"> </w:t>
      </w:r>
    </w:p>
    <w:p w14:paraId="5AD47DFF" w14:textId="58BB7783" w:rsidR="007C3046" w:rsidRPr="008C797A" w:rsidRDefault="007C3046" w:rsidP="00D5752B">
      <w:pPr>
        <w:pStyle w:val="NormalWeb"/>
        <w:numPr>
          <w:ilvl w:val="0"/>
          <w:numId w:val="46"/>
        </w:numPr>
        <w:rPr>
          <w:sz w:val="16"/>
          <w:szCs w:val="16"/>
        </w:rPr>
      </w:pPr>
      <w:r w:rsidRPr="008C797A">
        <w:rPr>
          <w:rFonts w:eastAsia="Times New Roman"/>
          <w:sz w:val="16"/>
          <w:szCs w:val="16"/>
          <w:lang w:val="en-RS"/>
        </w:rPr>
        <w:lastRenderedPageBreak/>
        <w:t>Mahfouz, A. A. R., El-Morshedy, H., Farghaly, A., &amp; Khalil, A. (1997). Ecological determinants of intestinal parasitic infections among pre-school children in an urban squatter settlement of Egypt. </w:t>
      </w:r>
      <w:r w:rsidRPr="008C797A">
        <w:rPr>
          <w:rFonts w:eastAsia="Times New Roman"/>
          <w:i/>
          <w:iCs/>
          <w:sz w:val="16"/>
          <w:szCs w:val="16"/>
          <w:lang w:val="en-RS"/>
        </w:rPr>
        <w:t>Journal of Tropical Pediatrics, 43</w:t>
      </w:r>
      <w:r w:rsidRPr="008C797A">
        <w:rPr>
          <w:rFonts w:eastAsia="Times New Roman"/>
          <w:sz w:val="16"/>
          <w:szCs w:val="16"/>
          <w:lang w:val="en-RS"/>
        </w:rPr>
        <w:t>(6), 341–344. </w:t>
      </w:r>
      <w:hyperlink r:id="rId220" w:history="1">
        <w:r w:rsidR="00015ECB" w:rsidRPr="00341C23">
          <w:rPr>
            <w:rStyle w:val="Hyperlink"/>
            <w:rFonts w:eastAsia="Times New Roman"/>
            <w:sz w:val="16"/>
            <w:szCs w:val="16"/>
            <w:lang w:val="en-RS"/>
          </w:rPr>
          <w:t>https://doi.org/10.1093/tropej/43.6.341</w:t>
        </w:r>
      </w:hyperlink>
      <w:r w:rsidR="00015ECB">
        <w:rPr>
          <w:rFonts w:eastAsia="Times New Roman"/>
          <w:sz w:val="16"/>
          <w:szCs w:val="16"/>
          <w:lang w:val="en-RS"/>
        </w:rPr>
        <w:t xml:space="preserve"> </w:t>
      </w:r>
    </w:p>
    <w:p w14:paraId="286C6112" w14:textId="50199AC9"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Mahmoudi Nezhad, G. S. M., Razeghinejad, R., Janghorbani, M., Mohamadian, A., Jalalpour, M. H., Bazdar, S., </w:t>
      </w:r>
      <w:r w:rsidR="008817AE" w:rsidRPr="008C797A">
        <w:rPr>
          <w:rFonts w:eastAsia="Times New Roman"/>
          <w:sz w:val="16"/>
          <w:szCs w:val="16"/>
          <w:lang w:val="en-RS"/>
        </w:rPr>
        <w:t>et al.</w:t>
      </w:r>
      <w:r w:rsidRPr="008C797A">
        <w:rPr>
          <w:rFonts w:eastAsia="Times New Roman"/>
          <w:sz w:val="16"/>
          <w:szCs w:val="16"/>
          <w:lang w:val="en-RS"/>
        </w:rPr>
        <w:t xml:space="preserve"> (2019). Prevalence, incidence and ecological determinants of diabetic retinopathy in Iran: Systematic review and meta-analysis. </w:t>
      </w:r>
      <w:r w:rsidRPr="008C797A">
        <w:rPr>
          <w:rFonts w:eastAsia="Times New Roman"/>
          <w:i/>
          <w:iCs/>
          <w:sz w:val="16"/>
          <w:szCs w:val="16"/>
          <w:lang w:val="en-RS"/>
        </w:rPr>
        <w:t xml:space="preserve">Journal of Ophthalmic &amp; Vision Research, </w:t>
      </w:r>
      <w:r w:rsidR="008817AE" w:rsidRPr="008C797A">
        <w:rPr>
          <w:rFonts w:eastAsia="Times New Roman"/>
          <w:i/>
          <w:iCs/>
          <w:sz w:val="16"/>
          <w:szCs w:val="16"/>
        </w:rPr>
        <w:t xml:space="preserve">14 (3): </w:t>
      </w:r>
      <w:r w:rsidR="008817AE" w:rsidRPr="008C797A">
        <w:rPr>
          <w:rFonts w:eastAsia="Times New Roman"/>
          <w:sz w:val="16"/>
          <w:szCs w:val="16"/>
        </w:rPr>
        <w:t>321–335</w:t>
      </w:r>
      <w:r w:rsidR="008817AE" w:rsidRPr="008C797A">
        <w:rPr>
          <w:rFonts w:eastAsia="Times New Roman"/>
          <w:i/>
          <w:iCs/>
          <w:sz w:val="16"/>
          <w:szCs w:val="16"/>
        </w:rPr>
        <w:t xml:space="preserve">. </w:t>
      </w:r>
      <w:hyperlink r:id="rId221" w:history="1">
        <w:r w:rsidR="00015ECB" w:rsidRPr="00341C23">
          <w:rPr>
            <w:rStyle w:val="Hyperlink"/>
            <w:rFonts w:eastAsia="Times New Roman"/>
            <w:sz w:val="16"/>
            <w:szCs w:val="16"/>
            <w:lang w:val="en-RS"/>
          </w:rPr>
          <w:t>https://doi.org/</w:t>
        </w:r>
        <w:r w:rsidR="00015ECB" w:rsidRPr="00341C23">
          <w:rPr>
            <w:rStyle w:val="Hyperlink"/>
            <w:rFonts w:eastAsia="Times New Roman"/>
            <w:sz w:val="16"/>
            <w:szCs w:val="16"/>
          </w:rPr>
          <w:t>10.18502/jovr.v14i3.4790</w:t>
        </w:r>
      </w:hyperlink>
      <w:r w:rsidR="00015ECB">
        <w:rPr>
          <w:rFonts w:eastAsia="Times New Roman"/>
          <w:sz w:val="16"/>
          <w:szCs w:val="16"/>
        </w:rPr>
        <w:t xml:space="preserve"> </w:t>
      </w:r>
      <w:r w:rsidR="008817AE" w:rsidRPr="008C797A">
        <w:rPr>
          <w:rFonts w:eastAsia="Times New Roman"/>
          <w:sz w:val="16"/>
          <w:szCs w:val="16"/>
          <w:lang w:val="en-RS"/>
        </w:rPr>
        <w:t xml:space="preserve"> </w:t>
      </w:r>
    </w:p>
    <w:p w14:paraId="146599E8" w14:textId="56DF4670" w:rsidR="00C41A1D" w:rsidRPr="008C797A" w:rsidRDefault="00C1481B" w:rsidP="00D5752B">
      <w:pPr>
        <w:pStyle w:val="NormalWeb"/>
        <w:numPr>
          <w:ilvl w:val="0"/>
          <w:numId w:val="46"/>
        </w:numPr>
        <w:rPr>
          <w:sz w:val="16"/>
          <w:szCs w:val="16"/>
        </w:rPr>
      </w:pPr>
      <w:r w:rsidRPr="008C797A">
        <w:rPr>
          <w:rFonts w:eastAsia="Times New Roman"/>
          <w:sz w:val="16"/>
          <w:szCs w:val="16"/>
          <w:lang w:val="en-RS"/>
        </w:rPr>
        <w:t xml:space="preserve">Maloney, E. M., Murphy, E. L., Figueroa, P., Gibbs, W. N., Cranston, B., Hanchard, B., </w:t>
      </w:r>
      <w:r w:rsidR="008817AE" w:rsidRPr="008C797A">
        <w:rPr>
          <w:rFonts w:eastAsia="Times New Roman"/>
          <w:sz w:val="16"/>
          <w:szCs w:val="16"/>
          <w:lang w:val="en-RS"/>
        </w:rPr>
        <w:t>et al.</w:t>
      </w:r>
      <w:r w:rsidRPr="008C797A">
        <w:rPr>
          <w:rFonts w:eastAsia="Times New Roman"/>
          <w:sz w:val="16"/>
          <w:szCs w:val="16"/>
          <w:lang w:val="en-RS"/>
        </w:rPr>
        <w:t xml:space="preserve"> (1991). Human T-lymphotropic virus type I (HTLV-I) seroprevalence in Jamaica: II. Geographic and ecologic determinants. </w:t>
      </w:r>
      <w:r w:rsidRPr="008C797A">
        <w:rPr>
          <w:rFonts w:eastAsia="Times New Roman"/>
          <w:i/>
          <w:iCs/>
          <w:sz w:val="16"/>
          <w:szCs w:val="16"/>
          <w:lang w:val="en-RS"/>
        </w:rPr>
        <w:t>American Journal of Epidemiology, 13</w:t>
      </w:r>
      <w:r w:rsidR="008817AE" w:rsidRPr="008C797A">
        <w:rPr>
          <w:rFonts w:eastAsia="Times New Roman"/>
          <w:i/>
          <w:iCs/>
          <w:sz w:val="16"/>
          <w:szCs w:val="16"/>
          <w:lang w:val="en-RS"/>
        </w:rPr>
        <w:t>3</w:t>
      </w:r>
      <w:r w:rsidRPr="008C797A">
        <w:rPr>
          <w:rFonts w:eastAsia="Times New Roman"/>
          <w:sz w:val="16"/>
          <w:szCs w:val="16"/>
          <w:lang w:val="en-RS"/>
        </w:rPr>
        <w:t>(1</w:t>
      </w:r>
      <w:r w:rsidR="008817AE" w:rsidRPr="008C797A">
        <w:rPr>
          <w:rFonts w:eastAsia="Times New Roman"/>
          <w:sz w:val="16"/>
          <w:szCs w:val="16"/>
          <w:lang w:val="en-RS"/>
        </w:rPr>
        <w:t>1</w:t>
      </w:r>
      <w:r w:rsidRPr="008C797A">
        <w:rPr>
          <w:rFonts w:eastAsia="Times New Roman"/>
          <w:sz w:val="16"/>
          <w:szCs w:val="16"/>
          <w:lang w:val="en-RS"/>
        </w:rPr>
        <w:t>), 1</w:t>
      </w:r>
      <w:r w:rsidR="008817AE" w:rsidRPr="008C797A">
        <w:rPr>
          <w:rFonts w:eastAsia="Times New Roman"/>
          <w:sz w:val="16"/>
          <w:szCs w:val="16"/>
          <w:lang w:val="en-RS"/>
        </w:rPr>
        <w:t>125</w:t>
      </w:r>
      <w:r w:rsidRPr="008C797A">
        <w:rPr>
          <w:rFonts w:eastAsia="Times New Roman"/>
          <w:sz w:val="16"/>
          <w:szCs w:val="16"/>
          <w:lang w:val="en-RS"/>
        </w:rPr>
        <w:t>–1</w:t>
      </w:r>
      <w:r w:rsidR="00665256" w:rsidRPr="008C797A">
        <w:rPr>
          <w:rFonts w:eastAsia="Times New Roman"/>
          <w:sz w:val="16"/>
          <w:szCs w:val="16"/>
          <w:lang w:val="en-RS"/>
        </w:rPr>
        <w:t>134</w:t>
      </w:r>
      <w:r w:rsidRPr="008C797A">
        <w:rPr>
          <w:rFonts w:eastAsia="Times New Roman"/>
          <w:sz w:val="16"/>
          <w:szCs w:val="16"/>
          <w:lang w:val="en-RS"/>
        </w:rPr>
        <w:t>. </w:t>
      </w:r>
      <w:r w:rsidR="008817AE" w:rsidRPr="008C797A">
        <w:rPr>
          <w:sz w:val="16"/>
          <w:szCs w:val="16"/>
        </w:rPr>
        <w:t xml:space="preserve"> </w:t>
      </w:r>
    </w:p>
    <w:p w14:paraId="096B0FC5" w14:textId="77777777" w:rsidR="007C3046" w:rsidRPr="008C797A" w:rsidRDefault="007C3046" w:rsidP="00D5752B">
      <w:pPr>
        <w:pStyle w:val="NormalWeb"/>
        <w:numPr>
          <w:ilvl w:val="0"/>
          <w:numId w:val="46"/>
        </w:numPr>
        <w:rPr>
          <w:sz w:val="16"/>
          <w:szCs w:val="16"/>
        </w:rPr>
      </w:pPr>
      <w:r w:rsidRPr="008C797A">
        <w:rPr>
          <w:rFonts w:eastAsia="Times New Roman"/>
          <w:sz w:val="16"/>
          <w:szCs w:val="16"/>
          <w:lang w:val="en-RS"/>
        </w:rPr>
        <w:t>Morou-Bermudez, E., Rodriguez, S., Bello, A. S., &amp; Dominguez-Bello, M. G. (2015). Urease and dental plaque microbial profiles in children. </w:t>
      </w:r>
      <w:r w:rsidRPr="008C797A">
        <w:rPr>
          <w:rFonts w:eastAsia="Times New Roman"/>
          <w:i/>
          <w:iCs/>
          <w:sz w:val="16"/>
          <w:szCs w:val="16"/>
          <w:lang w:val="en-RS"/>
        </w:rPr>
        <w:t xml:space="preserve">PLOS ONE, </w:t>
      </w:r>
      <w:r w:rsidRPr="008C797A">
        <w:rPr>
          <w:i/>
          <w:iCs/>
          <w:sz w:val="16"/>
          <w:szCs w:val="16"/>
        </w:rPr>
        <w:t xml:space="preserve">10(9): </w:t>
      </w:r>
      <w:r w:rsidRPr="008C797A">
        <w:rPr>
          <w:sz w:val="16"/>
          <w:szCs w:val="16"/>
        </w:rPr>
        <w:t>e0139315</w:t>
      </w:r>
      <w:r w:rsidRPr="008C797A">
        <w:rPr>
          <w:i/>
          <w:iCs/>
          <w:sz w:val="16"/>
          <w:szCs w:val="16"/>
        </w:rPr>
        <w:t xml:space="preserve">. </w:t>
      </w:r>
      <w:hyperlink r:id="rId222" w:history="1">
        <w:r w:rsidRPr="00015ECB">
          <w:rPr>
            <w:rStyle w:val="Hyperlink"/>
            <w:sz w:val="16"/>
            <w:szCs w:val="16"/>
          </w:rPr>
          <w:t>https://doi.org/10.1371/journal.pone.0139315</w:t>
        </w:r>
      </w:hyperlink>
      <w:r w:rsidRPr="008C797A">
        <w:rPr>
          <w:i/>
          <w:iCs/>
          <w:sz w:val="16"/>
          <w:szCs w:val="16"/>
        </w:rPr>
        <w:t xml:space="preserve">   </w:t>
      </w:r>
    </w:p>
    <w:p w14:paraId="4DD31A8E" w14:textId="49B14029" w:rsidR="00C41A1D" w:rsidRPr="002152B0" w:rsidRDefault="00C1481B" w:rsidP="00D5752B">
      <w:pPr>
        <w:pStyle w:val="NormalWeb"/>
        <w:numPr>
          <w:ilvl w:val="0"/>
          <w:numId w:val="46"/>
        </w:numPr>
        <w:rPr>
          <w:sz w:val="16"/>
          <w:szCs w:val="16"/>
        </w:rPr>
      </w:pPr>
      <w:r w:rsidRPr="008C797A">
        <w:rPr>
          <w:rFonts w:eastAsia="Times New Roman"/>
          <w:sz w:val="16"/>
          <w:szCs w:val="16"/>
          <w:lang w:val="en-RS"/>
        </w:rPr>
        <w:t>Moutinho, S., Rocha, J., Gomes, A., Gomes, B., &amp; Ribeiro, A. I. (2022). Spatial analysis of mosquito-borne diseases in Europe: A scoping review. </w:t>
      </w:r>
      <w:r w:rsidRPr="008C797A">
        <w:rPr>
          <w:rFonts w:eastAsia="Times New Roman"/>
          <w:i/>
          <w:iCs/>
          <w:sz w:val="16"/>
          <w:szCs w:val="16"/>
          <w:lang w:val="en-RS"/>
        </w:rPr>
        <w:t xml:space="preserve">Sustainability, </w:t>
      </w:r>
      <w:r w:rsidR="00665256" w:rsidRPr="008C797A">
        <w:rPr>
          <w:i/>
          <w:iCs/>
          <w:sz w:val="16"/>
          <w:szCs w:val="16"/>
        </w:rPr>
        <w:t xml:space="preserve">14, </w:t>
      </w:r>
      <w:r w:rsidR="00665256" w:rsidRPr="008C797A">
        <w:rPr>
          <w:sz w:val="16"/>
          <w:szCs w:val="16"/>
        </w:rPr>
        <w:t xml:space="preserve">8975. </w:t>
      </w:r>
      <w:hyperlink r:id="rId223" w:history="1">
        <w:r w:rsidR="00665256" w:rsidRPr="008C797A">
          <w:rPr>
            <w:rStyle w:val="Hyperlink"/>
            <w:sz w:val="16"/>
            <w:szCs w:val="16"/>
          </w:rPr>
          <w:t>https://doi.org/10.3390/su14158975</w:t>
        </w:r>
      </w:hyperlink>
      <w:r w:rsidR="00665256" w:rsidRPr="008C797A">
        <w:rPr>
          <w:i/>
          <w:iCs/>
          <w:sz w:val="16"/>
          <w:szCs w:val="16"/>
        </w:rPr>
        <w:t xml:space="preserve"> </w:t>
      </w:r>
    </w:p>
    <w:p w14:paraId="4893FB95" w14:textId="1C1B8D13" w:rsidR="002152B0" w:rsidRPr="008C797A" w:rsidRDefault="002152B0" w:rsidP="00D5752B">
      <w:pPr>
        <w:pStyle w:val="NormalWeb"/>
        <w:numPr>
          <w:ilvl w:val="0"/>
          <w:numId w:val="46"/>
        </w:numPr>
        <w:rPr>
          <w:sz w:val="16"/>
          <w:szCs w:val="16"/>
        </w:rPr>
      </w:pPr>
      <w:r w:rsidRPr="002152B0">
        <w:rPr>
          <w:sz w:val="16"/>
          <w:szCs w:val="16"/>
        </w:rPr>
        <w:t>Muntaner, C., &amp; Benach, J. (2023). </w:t>
      </w:r>
      <w:r w:rsidRPr="00FF4D05">
        <w:rPr>
          <w:sz w:val="16"/>
          <w:szCs w:val="16"/>
        </w:rPr>
        <w:t>Why social (political, economic, cultural, ecological) determinants of health? Part 1: Background of a contested construct</w:t>
      </w:r>
      <w:r w:rsidRPr="002152B0">
        <w:rPr>
          <w:i/>
          <w:iCs/>
          <w:sz w:val="16"/>
          <w:szCs w:val="16"/>
        </w:rPr>
        <w:t>.</w:t>
      </w:r>
      <w:r w:rsidRPr="002152B0">
        <w:rPr>
          <w:sz w:val="16"/>
          <w:szCs w:val="16"/>
        </w:rPr>
        <w:t> </w:t>
      </w:r>
      <w:r w:rsidRPr="002152B0">
        <w:rPr>
          <w:i/>
          <w:iCs/>
          <w:sz w:val="16"/>
          <w:szCs w:val="16"/>
        </w:rPr>
        <w:t>International Journal of Social Determinants of Health and Health Services, 53</w:t>
      </w:r>
      <w:r w:rsidRPr="002152B0">
        <w:rPr>
          <w:sz w:val="16"/>
          <w:szCs w:val="16"/>
        </w:rPr>
        <w:t>(2), 117–121. </w:t>
      </w:r>
      <w:hyperlink r:id="rId224" w:history="1">
        <w:r w:rsidRPr="00341C23">
          <w:rPr>
            <w:rStyle w:val="Hyperlink"/>
            <w:sz w:val="16"/>
            <w:szCs w:val="16"/>
          </w:rPr>
          <w:t>https://doi.org/10.1177/27551938231152996</w:t>
        </w:r>
      </w:hyperlink>
      <w:r>
        <w:rPr>
          <w:sz w:val="16"/>
          <w:szCs w:val="16"/>
        </w:rPr>
        <w:t xml:space="preserve"> </w:t>
      </w:r>
    </w:p>
    <w:p w14:paraId="0121C981" w14:textId="41D6D2EE" w:rsidR="00665256" w:rsidRPr="00015ECB" w:rsidRDefault="00C1481B" w:rsidP="00015ECB">
      <w:pPr>
        <w:pStyle w:val="NormalWeb"/>
        <w:numPr>
          <w:ilvl w:val="0"/>
          <w:numId w:val="46"/>
        </w:numPr>
        <w:rPr>
          <w:sz w:val="16"/>
          <w:szCs w:val="16"/>
        </w:rPr>
      </w:pPr>
      <w:r w:rsidRPr="008C797A">
        <w:rPr>
          <w:rFonts w:eastAsia="Times New Roman"/>
          <w:sz w:val="16"/>
          <w:szCs w:val="16"/>
          <w:lang w:val="en-RS"/>
        </w:rPr>
        <w:t xml:space="preserve">Neira, M., Erguler, K., Ahmady-Birgani, H., Al-Hmoud, N. D., Fears, R., Gogos, C., </w:t>
      </w:r>
      <w:r w:rsidR="00995257" w:rsidRPr="008C797A">
        <w:rPr>
          <w:rFonts w:eastAsia="Times New Roman"/>
          <w:sz w:val="16"/>
          <w:szCs w:val="16"/>
          <w:lang w:val="en-RS"/>
        </w:rPr>
        <w:t>et al</w:t>
      </w:r>
      <w:r w:rsidRPr="008C797A">
        <w:rPr>
          <w:rFonts w:eastAsia="Times New Roman"/>
          <w:sz w:val="16"/>
          <w:szCs w:val="16"/>
          <w:lang w:val="en-RS"/>
        </w:rPr>
        <w:t>. (2023). Climate change and human health in the Eastern Mediterranean and Middle East: Literature review, research priorities and policy suggestions.</w:t>
      </w:r>
      <w:r w:rsidR="00015ECB">
        <w:rPr>
          <w:rFonts w:eastAsia="Times New Roman"/>
          <w:sz w:val="16"/>
          <w:szCs w:val="16"/>
          <w:lang w:val="en-RS"/>
        </w:rPr>
        <w:t xml:space="preserve"> </w:t>
      </w:r>
      <w:r w:rsidR="00015ECB" w:rsidRPr="008C797A">
        <w:rPr>
          <w:rFonts w:eastAsia="Times New Roman"/>
          <w:i/>
          <w:iCs/>
          <w:sz w:val="16"/>
          <w:szCs w:val="16"/>
          <w:lang w:val="en-RS"/>
        </w:rPr>
        <w:t>Environmental Research, 216</w:t>
      </w:r>
      <w:r w:rsidR="00015ECB" w:rsidRPr="008C797A">
        <w:rPr>
          <w:rFonts w:eastAsia="Times New Roman"/>
          <w:sz w:val="16"/>
          <w:szCs w:val="16"/>
          <w:lang w:val="en-RS"/>
        </w:rPr>
        <w:t>, 114537.</w:t>
      </w:r>
      <w:r w:rsidR="00015ECB" w:rsidRPr="008C797A">
        <w:rPr>
          <w:sz w:val="16"/>
          <w:szCs w:val="16"/>
        </w:rPr>
        <w:t xml:space="preserve"> </w:t>
      </w:r>
      <w:hyperlink r:id="rId225" w:history="1">
        <w:r w:rsidR="00015ECB" w:rsidRPr="008C797A">
          <w:rPr>
            <w:rStyle w:val="Hyperlink"/>
            <w:sz w:val="16"/>
            <w:szCs w:val="16"/>
          </w:rPr>
          <w:t>https://doi.org/10.1016/j.envres.2022.114537</w:t>
        </w:r>
      </w:hyperlink>
      <w:r w:rsidR="00015ECB" w:rsidRPr="008C797A">
        <w:rPr>
          <w:color w:val="2196D1"/>
          <w:sz w:val="16"/>
          <w:szCs w:val="16"/>
        </w:rPr>
        <w:t xml:space="preserve"> </w:t>
      </w:r>
      <w:r w:rsidR="00665256" w:rsidRPr="00015ECB">
        <w:rPr>
          <w:color w:val="2196D1"/>
          <w:sz w:val="16"/>
          <w:szCs w:val="16"/>
        </w:rPr>
        <w:t xml:space="preserve"> </w:t>
      </w:r>
    </w:p>
    <w:p w14:paraId="518844E4" w14:textId="77777777" w:rsidR="00995257" w:rsidRPr="008C797A" w:rsidRDefault="00764470" w:rsidP="00D5752B">
      <w:pPr>
        <w:pStyle w:val="NormalWeb"/>
        <w:numPr>
          <w:ilvl w:val="0"/>
          <w:numId w:val="46"/>
        </w:numPr>
        <w:rPr>
          <w:sz w:val="16"/>
          <w:szCs w:val="16"/>
        </w:rPr>
      </w:pPr>
      <w:r w:rsidRPr="008C797A">
        <w:rPr>
          <w:rFonts w:eastAsia="Times New Roman"/>
          <w:sz w:val="16"/>
          <w:szCs w:val="16"/>
          <w:lang w:val="en-RS"/>
        </w:rPr>
        <w:t>Nunes, P. S., Guimarães, R. A., Martelli, C. M. T., de Souza, W. V., &amp; Turchi, M. D. (2021). Zika virus infection and microcephaly: Spatial analysis and socio-environmental determinants in a region of high </w:t>
      </w:r>
      <w:r w:rsidRPr="008C797A">
        <w:rPr>
          <w:rFonts w:eastAsia="Times New Roman"/>
          <w:i/>
          <w:iCs/>
          <w:sz w:val="16"/>
          <w:szCs w:val="16"/>
          <w:lang w:val="en-RS"/>
        </w:rPr>
        <w:t>Aedes aegypti</w:t>
      </w:r>
      <w:r w:rsidRPr="008C797A">
        <w:rPr>
          <w:rFonts w:eastAsia="Times New Roman"/>
          <w:sz w:val="16"/>
          <w:szCs w:val="16"/>
          <w:lang w:val="en-RS"/>
        </w:rPr>
        <w:t> infestation in the Central-West Region of Brazil. </w:t>
      </w:r>
      <w:r w:rsidRPr="008C797A">
        <w:rPr>
          <w:rFonts w:eastAsia="Times New Roman"/>
          <w:i/>
          <w:iCs/>
          <w:sz w:val="16"/>
          <w:szCs w:val="16"/>
          <w:lang w:val="en-RS"/>
        </w:rPr>
        <w:t xml:space="preserve">BMC Infectious Diseases, </w:t>
      </w:r>
      <w:r w:rsidR="00665256" w:rsidRPr="008C797A">
        <w:rPr>
          <w:i/>
          <w:iCs/>
          <w:sz w:val="16"/>
          <w:szCs w:val="16"/>
        </w:rPr>
        <w:t>21:</w:t>
      </w:r>
      <w:r w:rsidR="00665256" w:rsidRPr="008C797A">
        <w:rPr>
          <w:sz w:val="16"/>
          <w:szCs w:val="16"/>
        </w:rPr>
        <w:t>1107</w:t>
      </w:r>
      <w:r w:rsidR="00665256" w:rsidRPr="008C797A">
        <w:rPr>
          <w:i/>
          <w:iCs/>
          <w:sz w:val="16"/>
          <w:szCs w:val="16"/>
        </w:rPr>
        <w:t xml:space="preserve">. </w:t>
      </w:r>
      <w:hyperlink r:id="rId226" w:history="1">
        <w:r w:rsidR="00665256" w:rsidRPr="008C797A">
          <w:rPr>
            <w:rStyle w:val="Hyperlink"/>
            <w:sz w:val="16"/>
            <w:szCs w:val="16"/>
          </w:rPr>
          <w:t>https://doi.org/10.1186/s12879-021-06805-1</w:t>
        </w:r>
      </w:hyperlink>
      <w:r w:rsidR="00665256" w:rsidRPr="008C797A">
        <w:rPr>
          <w:i/>
          <w:iCs/>
          <w:sz w:val="16"/>
          <w:szCs w:val="16"/>
        </w:rPr>
        <w:t xml:space="preserve"> </w:t>
      </w:r>
    </w:p>
    <w:p w14:paraId="5F75025E" w14:textId="77777777" w:rsidR="00995257" w:rsidRPr="008C797A" w:rsidRDefault="00764470" w:rsidP="00D5752B">
      <w:pPr>
        <w:pStyle w:val="NormalWeb"/>
        <w:numPr>
          <w:ilvl w:val="0"/>
          <w:numId w:val="46"/>
        </w:numPr>
        <w:rPr>
          <w:sz w:val="16"/>
          <w:szCs w:val="16"/>
        </w:rPr>
      </w:pPr>
      <w:r w:rsidRPr="008C797A">
        <w:rPr>
          <w:rFonts w:eastAsia="Times New Roman"/>
          <w:sz w:val="16"/>
          <w:szCs w:val="16"/>
          <w:lang w:val="en-RS"/>
        </w:rPr>
        <w:t>Oswald, T. K., &amp; Langmaid, G. R. (2022). Considering ecological determinants of youth mental health in the era of COVID-19 and the Anthropocene: A call to action from young public health professionals. </w:t>
      </w:r>
      <w:r w:rsidRPr="008C797A">
        <w:rPr>
          <w:rFonts w:eastAsia="Times New Roman"/>
          <w:i/>
          <w:iCs/>
          <w:sz w:val="16"/>
          <w:szCs w:val="16"/>
          <w:lang w:val="en-RS"/>
        </w:rPr>
        <w:t xml:space="preserve">Health Promotion Journal of Australia, </w:t>
      </w:r>
      <w:r w:rsidR="00995257" w:rsidRPr="008C797A">
        <w:rPr>
          <w:i/>
          <w:iCs/>
          <w:color w:val="000000"/>
          <w:sz w:val="16"/>
          <w:szCs w:val="16"/>
        </w:rPr>
        <w:t>33:324–328.</w:t>
      </w:r>
      <w:r w:rsidR="00995257" w:rsidRPr="008C797A">
        <w:rPr>
          <w:sz w:val="16"/>
          <w:szCs w:val="16"/>
        </w:rPr>
        <w:t xml:space="preserve"> </w:t>
      </w:r>
      <w:hyperlink r:id="rId227" w:history="1">
        <w:r w:rsidR="00995257" w:rsidRPr="00015ECB">
          <w:rPr>
            <w:rStyle w:val="Hyperlink"/>
            <w:sz w:val="16"/>
            <w:szCs w:val="16"/>
          </w:rPr>
          <w:t>https://doi.org/10.1002/hpja.560</w:t>
        </w:r>
      </w:hyperlink>
      <w:r w:rsidR="00995257" w:rsidRPr="008C797A">
        <w:rPr>
          <w:i/>
          <w:iCs/>
          <w:color w:val="0000FF"/>
          <w:sz w:val="16"/>
          <w:szCs w:val="16"/>
        </w:rPr>
        <w:t xml:space="preserve"> </w:t>
      </w:r>
    </w:p>
    <w:p w14:paraId="426EC169" w14:textId="7A2C050C" w:rsidR="00D5752B" w:rsidRPr="00D5752B" w:rsidRDefault="00D5752B" w:rsidP="00D5752B">
      <w:pPr>
        <w:pStyle w:val="NormalWeb"/>
        <w:numPr>
          <w:ilvl w:val="0"/>
          <w:numId w:val="46"/>
        </w:numPr>
        <w:rPr>
          <w:sz w:val="16"/>
          <w:szCs w:val="16"/>
        </w:rPr>
      </w:pPr>
      <w:r w:rsidRPr="00D5752B">
        <w:rPr>
          <w:sz w:val="16"/>
          <w:szCs w:val="16"/>
        </w:rPr>
        <w:t>Patrick, R., Armstrong, F., Capon, A., Bowen, K., Lo, S. N., &amp; Thoms, A. (2021). Health promotion in the Anthropocene: The ecological determinants of health. </w:t>
      </w:r>
      <w:r w:rsidRPr="00D5752B">
        <w:rPr>
          <w:i/>
          <w:iCs/>
          <w:sz w:val="16"/>
          <w:szCs w:val="16"/>
        </w:rPr>
        <w:t>Medical Journal of Australia, 214</w:t>
      </w:r>
      <w:r w:rsidRPr="00D5752B">
        <w:rPr>
          <w:sz w:val="16"/>
          <w:szCs w:val="16"/>
        </w:rPr>
        <w:t>(8 Suppl.), S29–S36.</w:t>
      </w:r>
      <w:r>
        <w:rPr>
          <w:sz w:val="16"/>
          <w:szCs w:val="16"/>
        </w:rPr>
        <w:t xml:space="preserve"> </w:t>
      </w:r>
      <w:hyperlink r:id="rId228" w:history="1">
        <w:r w:rsidRPr="00341C23">
          <w:rPr>
            <w:rStyle w:val="Hyperlink"/>
            <w:sz w:val="16"/>
            <w:szCs w:val="16"/>
          </w:rPr>
          <w:t>https://doi.org/10.5694/mja2.51020</w:t>
        </w:r>
      </w:hyperlink>
      <w:r>
        <w:rPr>
          <w:sz w:val="16"/>
          <w:szCs w:val="16"/>
        </w:rPr>
        <w:t xml:space="preserve"> </w:t>
      </w:r>
    </w:p>
    <w:p w14:paraId="4C82DA95" w14:textId="46A1A61F" w:rsidR="00C41A1D" w:rsidRPr="008C797A" w:rsidRDefault="00764470" w:rsidP="00D5752B">
      <w:pPr>
        <w:pStyle w:val="NormalWeb"/>
        <w:numPr>
          <w:ilvl w:val="0"/>
          <w:numId w:val="46"/>
        </w:numPr>
        <w:rPr>
          <w:sz w:val="16"/>
          <w:szCs w:val="16"/>
        </w:rPr>
      </w:pPr>
      <w:r w:rsidRPr="008C797A">
        <w:rPr>
          <w:rFonts w:eastAsia="Times New Roman"/>
          <w:sz w:val="16"/>
          <w:szCs w:val="16"/>
          <w:lang w:val="en-RS"/>
        </w:rPr>
        <w:t xml:space="preserve">Parkes, M. W., Poland, B., Allison, S., Cole, D. C., Culbert, I., Gislason, </w:t>
      </w:r>
      <w:r w:rsidR="00995257" w:rsidRPr="008C797A">
        <w:rPr>
          <w:rFonts w:eastAsia="Times New Roman"/>
          <w:sz w:val="16"/>
          <w:szCs w:val="16"/>
          <w:lang w:val="en-RS"/>
        </w:rPr>
        <w:t>et al</w:t>
      </w:r>
      <w:r w:rsidRPr="008C797A">
        <w:rPr>
          <w:rFonts w:eastAsia="Times New Roman"/>
          <w:sz w:val="16"/>
          <w:szCs w:val="16"/>
          <w:lang w:val="en-RS"/>
        </w:rPr>
        <w:t>. (2020). Preparing for the future of public health: Ecological determinants of health and the call for an eco-social approach to public health education. </w:t>
      </w:r>
      <w:r w:rsidRPr="008C797A">
        <w:rPr>
          <w:rFonts w:eastAsia="Times New Roman"/>
          <w:i/>
          <w:iCs/>
          <w:sz w:val="16"/>
          <w:szCs w:val="16"/>
          <w:lang w:val="en-RS"/>
        </w:rPr>
        <w:t xml:space="preserve">Canadian Journal of Public Health, </w:t>
      </w:r>
      <w:r w:rsidR="00995257" w:rsidRPr="008C797A">
        <w:rPr>
          <w:i/>
          <w:iCs/>
          <w:sz w:val="16"/>
          <w:szCs w:val="16"/>
        </w:rPr>
        <w:t>111:</w:t>
      </w:r>
      <w:r w:rsidR="00995257" w:rsidRPr="008C797A">
        <w:rPr>
          <w:sz w:val="16"/>
          <w:szCs w:val="16"/>
        </w:rPr>
        <w:t xml:space="preserve">60–64. </w:t>
      </w:r>
      <w:hyperlink r:id="rId229" w:history="1">
        <w:r w:rsidR="00995257" w:rsidRPr="00015ECB">
          <w:rPr>
            <w:rStyle w:val="Hyperlink"/>
            <w:sz w:val="16"/>
            <w:szCs w:val="16"/>
          </w:rPr>
          <w:t>https://doi.org/10.17269/s41997-019-00263-8</w:t>
        </w:r>
      </w:hyperlink>
      <w:r w:rsidR="00995257" w:rsidRPr="008C797A">
        <w:rPr>
          <w:i/>
          <w:iCs/>
          <w:sz w:val="16"/>
          <w:szCs w:val="16"/>
        </w:rPr>
        <w:t xml:space="preserve"> </w:t>
      </w:r>
    </w:p>
    <w:p w14:paraId="5CB48A95" w14:textId="4BE239B7" w:rsidR="00995257"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Portinga, R. L. W., Levkoe, C. Z., &amp; Galway, L. P. (2024). The contributions of community seed saving to health and wellbeing: A qualitative study in Thunder Bay, Canada. </w:t>
      </w:r>
      <w:r w:rsidRPr="008C797A">
        <w:rPr>
          <w:rFonts w:ascii="Times New Roman" w:eastAsia="Times New Roman" w:hAnsi="Times New Roman" w:cs="Times New Roman"/>
          <w:i/>
          <w:iCs/>
          <w:kern w:val="0"/>
          <w:sz w:val="16"/>
          <w:szCs w:val="16"/>
          <w:lang w:val="en-RS" w:eastAsia="en-GB"/>
          <w14:ligatures w14:val="none"/>
        </w:rPr>
        <w:t xml:space="preserve">Wellbeing, Space and Society, </w:t>
      </w:r>
      <w:r w:rsidR="00995257" w:rsidRPr="008C797A">
        <w:rPr>
          <w:rFonts w:ascii="Times New Roman" w:eastAsia="Times New Roman" w:hAnsi="Times New Roman" w:cs="Times New Roman"/>
          <w:i/>
          <w:iCs/>
          <w:kern w:val="0"/>
          <w:sz w:val="16"/>
          <w:szCs w:val="16"/>
          <w:lang w:val="en-RS" w:eastAsia="en-GB"/>
          <w14:ligatures w14:val="none"/>
        </w:rPr>
        <w:t>7</w:t>
      </w:r>
      <w:r w:rsidRPr="008C797A">
        <w:rPr>
          <w:rFonts w:ascii="Times New Roman" w:eastAsia="Times New Roman" w:hAnsi="Times New Roman" w:cs="Times New Roman"/>
          <w:kern w:val="0"/>
          <w:sz w:val="16"/>
          <w:szCs w:val="16"/>
          <w:lang w:val="en-RS" w:eastAsia="en-GB"/>
          <w14:ligatures w14:val="none"/>
        </w:rPr>
        <w:t>, 100</w:t>
      </w:r>
      <w:r w:rsidR="00995257" w:rsidRPr="008C797A">
        <w:rPr>
          <w:rFonts w:ascii="Times New Roman" w:eastAsia="Times New Roman" w:hAnsi="Times New Roman" w:cs="Times New Roman"/>
          <w:kern w:val="0"/>
          <w:sz w:val="16"/>
          <w:szCs w:val="16"/>
          <w:lang w:val="en-RS" w:eastAsia="en-GB"/>
          <w14:ligatures w14:val="none"/>
        </w:rPr>
        <w:t>227</w:t>
      </w:r>
      <w:r w:rsidRPr="008C797A">
        <w:rPr>
          <w:rFonts w:ascii="Times New Roman" w:eastAsia="Times New Roman" w:hAnsi="Times New Roman" w:cs="Times New Roman"/>
          <w:kern w:val="0"/>
          <w:sz w:val="16"/>
          <w:szCs w:val="16"/>
          <w:lang w:val="en-RS" w:eastAsia="en-GB"/>
          <w14:ligatures w14:val="none"/>
        </w:rPr>
        <w:t>.</w:t>
      </w:r>
      <w:r w:rsidR="009D14FA" w:rsidRPr="008C797A">
        <w:rPr>
          <w:rFonts w:ascii="Times New Roman" w:eastAsia="Times New Roman" w:hAnsi="Times New Roman" w:cs="Times New Roman"/>
          <w:kern w:val="0"/>
          <w:sz w:val="16"/>
          <w:szCs w:val="16"/>
          <w:lang w:val="en-RS" w:eastAsia="en-GB"/>
          <w14:ligatures w14:val="none"/>
        </w:rPr>
        <w:t xml:space="preserve"> </w:t>
      </w:r>
      <w:hyperlink r:id="rId230" w:history="1">
        <w:r w:rsidR="00015ECB" w:rsidRPr="00341C23">
          <w:rPr>
            <w:rStyle w:val="Hyperlink"/>
            <w:rFonts w:ascii="Times New Roman" w:eastAsia="Times New Roman" w:hAnsi="Times New Roman" w:cs="Times New Roman"/>
            <w:kern w:val="0"/>
            <w:sz w:val="16"/>
            <w:szCs w:val="16"/>
            <w:lang w:val="en-RS" w:eastAsia="en-GB"/>
            <w14:ligatures w14:val="none"/>
          </w:rPr>
          <w:t>https://doi.org/10.1016/j.wss.2024.100227</w:t>
        </w:r>
      </w:hyperlink>
      <w:r w:rsidR="00015ECB">
        <w:rPr>
          <w:rFonts w:ascii="Times New Roman" w:eastAsia="Times New Roman" w:hAnsi="Times New Roman" w:cs="Times New Roman"/>
          <w:kern w:val="0"/>
          <w:sz w:val="16"/>
          <w:szCs w:val="16"/>
          <w:lang w:val="en-RS" w:eastAsia="en-GB"/>
          <w14:ligatures w14:val="none"/>
        </w:rPr>
        <w:t xml:space="preserve"> </w:t>
      </w:r>
    </w:p>
    <w:p w14:paraId="42B70DB8" w14:textId="4AF120DA"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sz w:val="16"/>
          <w:szCs w:val="16"/>
          <w:lang w:val="en-RS" w:eastAsia="en-GB"/>
          <w14:ligatures w14:val="none"/>
        </w:rPr>
        <w:t xml:space="preserve">Qiu, J., Li, R., Xu, X., Yu, C., Xia, X., Hong, X., </w:t>
      </w:r>
      <w:r w:rsidR="00995257" w:rsidRPr="008C797A">
        <w:rPr>
          <w:rFonts w:ascii="Times New Roman" w:eastAsia="Times New Roman" w:hAnsi="Times New Roman" w:cs="Times New Roman"/>
          <w:sz w:val="16"/>
          <w:szCs w:val="16"/>
          <w:lang w:val="en-RS" w:eastAsia="en-GB"/>
          <w14:ligatures w14:val="none"/>
        </w:rPr>
        <w:t>et al</w:t>
      </w:r>
      <w:r w:rsidRPr="008C797A">
        <w:rPr>
          <w:rFonts w:ascii="Times New Roman" w:eastAsia="Times New Roman" w:hAnsi="Times New Roman" w:cs="Times New Roman"/>
          <w:sz w:val="16"/>
          <w:szCs w:val="16"/>
          <w:lang w:val="en-RS" w:eastAsia="en-GB"/>
          <w14:ligatures w14:val="none"/>
        </w:rPr>
        <w:t>. (2014). Identifying determinants of </w:t>
      </w:r>
      <w:r w:rsidRPr="008C797A">
        <w:rPr>
          <w:rFonts w:ascii="Times New Roman" w:eastAsia="Times New Roman" w:hAnsi="Times New Roman" w:cs="Times New Roman"/>
          <w:i/>
          <w:iCs/>
          <w:sz w:val="16"/>
          <w:szCs w:val="16"/>
          <w:lang w:val="en-RS" w:eastAsia="en-GB"/>
          <w14:ligatures w14:val="none"/>
        </w:rPr>
        <w:t>Oncomelania hupensis</w:t>
      </w:r>
      <w:r w:rsidRPr="008C797A">
        <w:rPr>
          <w:rFonts w:ascii="Times New Roman" w:eastAsia="Times New Roman" w:hAnsi="Times New Roman" w:cs="Times New Roman"/>
          <w:sz w:val="16"/>
          <w:szCs w:val="16"/>
          <w:lang w:val="en-RS" w:eastAsia="en-GB"/>
          <w14:ligatures w14:val="none"/>
        </w:rPr>
        <w:t> habitats and assessing the effects of environmental control strategies in the plain regions with the waterway network of China at the microscale. </w:t>
      </w:r>
      <w:r w:rsidRPr="008C797A">
        <w:rPr>
          <w:rFonts w:ascii="Times New Roman" w:eastAsia="Times New Roman" w:hAnsi="Times New Roman" w:cs="Times New Roman"/>
          <w:i/>
          <w:iCs/>
          <w:sz w:val="16"/>
          <w:szCs w:val="16"/>
          <w:lang w:val="en-RS" w:eastAsia="en-GB"/>
          <w14:ligatures w14:val="none"/>
        </w:rPr>
        <w:t xml:space="preserve">International Journal of Environmental Research and Public Health, </w:t>
      </w:r>
      <w:r w:rsidR="00995257" w:rsidRPr="008C797A">
        <w:rPr>
          <w:rFonts w:ascii="Times New Roman" w:hAnsi="Times New Roman" w:cs="Times New Roman"/>
          <w:i/>
          <w:iCs/>
          <w:color w:val="000000"/>
          <w:kern w:val="0"/>
          <w:sz w:val="16"/>
          <w:szCs w:val="16"/>
        </w:rPr>
        <w:t>11</w:t>
      </w:r>
      <w:r w:rsidR="00995257" w:rsidRPr="008C797A">
        <w:rPr>
          <w:rFonts w:ascii="Times New Roman" w:hAnsi="Times New Roman" w:cs="Times New Roman"/>
          <w:color w:val="000000"/>
          <w:kern w:val="0"/>
          <w:sz w:val="16"/>
          <w:szCs w:val="16"/>
        </w:rPr>
        <w:t xml:space="preserve">, 6571-6585. </w:t>
      </w:r>
      <w:hyperlink r:id="rId231" w:history="1">
        <w:r w:rsidR="00995257" w:rsidRPr="008C797A">
          <w:rPr>
            <w:rStyle w:val="Hyperlink"/>
            <w:rFonts w:ascii="Times New Roman" w:hAnsi="Times New Roman" w:cs="Times New Roman"/>
            <w:kern w:val="0"/>
            <w:sz w:val="16"/>
            <w:szCs w:val="16"/>
          </w:rPr>
          <w:t>https://doi.org/10.3390/ijerph110606571</w:t>
        </w:r>
      </w:hyperlink>
      <w:r w:rsidR="00995257" w:rsidRPr="008C797A">
        <w:rPr>
          <w:rFonts w:ascii="Times New Roman" w:hAnsi="Times New Roman" w:cs="Times New Roman"/>
          <w:color w:val="000000"/>
          <w:kern w:val="0"/>
          <w:sz w:val="16"/>
          <w:szCs w:val="16"/>
        </w:rPr>
        <w:t xml:space="preserve"> </w:t>
      </w:r>
    </w:p>
    <w:p w14:paraId="2522D2C9" w14:textId="1F967228" w:rsidR="007C3046" w:rsidRPr="007C3046" w:rsidRDefault="007C3046" w:rsidP="00D5752B">
      <w:pPr>
        <w:pStyle w:val="NormalWeb"/>
        <w:numPr>
          <w:ilvl w:val="0"/>
          <w:numId w:val="46"/>
        </w:numPr>
        <w:rPr>
          <w:sz w:val="16"/>
          <w:szCs w:val="16"/>
        </w:rPr>
      </w:pPr>
      <w:r w:rsidRPr="007C3046">
        <w:rPr>
          <w:rFonts w:eastAsia="Times New Roman"/>
          <w:sz w:val="16"/>
          <w:szCs w:val="16"/>
          <w:lang w:val="en-RS"/>
        </w:rPr>
        <w:t>Reboucas Santos, H., L. Diego De Brito Sousa, J., Arthur Alcântara, J., de Almeida Gonçalves Sachett, J., Soares Villas Boas, T., Saraiva, I., et al. (2019). Rattlesnakes bites in the Brazilian Amazon: Clinical epidemiology, spatial distribution and ecological determinants. </w:t>
      </w:r>
      <w:r w:rsidRPr="007C3046">
        <w:rPr>
          <w:rFonts w:eastAsia="Times New Roman"/>
          <w:i/>
          <w:iCs/>
          <w:sz w:val="16"/>
          <w:szCs w:val="16"/>
          <w:lang w:val="en-RS"/>
        </w:rPr>
        <w:t>Acta Tropica, 191</w:t>
      </w:r>
      <w:r w:rsidRPr="007C3046">
        <w:rPr>
          <w:rFonts w:eastAsia="Times New Roman"/>
          <w:sz w:val="16"/>
          <w:szCs w:val="16"/>
          <w:lang w:val="en-RS"/>
        </w:rPr>
        <w:t>, 69–76. </w:t>
      </w:r>
      <w:hyperlink r:id="rId232" w:history="1">
        <w:r w:rsidR="00015ECB" w:rsidRPr="00341C23">
          <w:rPr>
            <w:rStyle w:val="Hyperlink"/>
            <w:sz w:val="16"/>
            <w:szCs w:val="16"/>
          </w:rPr>
          <w:t>https://doi.org/10.1016/j.actatropica.2018.12.030</w:t>
        </w:r>
      </w:hyperlink>
      <w:r w:rsidR="00015ECB">
        <w:rPr>
          <w:sz w:val="16"/>
          <w:szCs w:val="16"/>
        </w:rPr>
        <w:t xml:space="preserve"> </w:t>
      </w:r>
    </w:p>
    <w:p w14:paraId="0D41396C" w14:textId="336A30AD" w:rsidR="002152B0" w:rsidRDefault="002152B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2152B0">
        <w:rPr>
          <w:rFonts w:ascii="Times New Roman" w:eastAsia="Times New Roman" w:hAnsi="Times New Roman" w:cs="Times New Roman"/>
          <w:kern w:val="0"/>
          <w:sz w:val="16"/>
          <w:szCs w:val="16"/>
          <w:lang w:eastAsia="en-GB"/>
          <w14:ligatures w14:val="none"/>
        </w:rPr>
        <w:t xml:space="preserve">Rossi, R., Di Lorenzo, G., Jannini, T. B., Ossola, P., Belvederi Murri, M., Siracusano, A., </w:t>
      </w:r>
      <w:r w:rsidR="00015ECB">
        <w:rPr>
          <w:rFonts w:ascii="Times New Roman" w:eastAsia="Times New Roman" w:hAnsi="Times New Roman" w:cs="Times New Roman"/>
          <w:kern w:val="0"/>
          <w:sz w:val="16"/>
          <w:szCs w:val="16"/>
          <w:lang w:eastAsia="en-GB"/>
          <w14:ligatures w14:val="none"/>
        </w:rPr>
        <w:t>et al</w:t>
      </w:r>
      <w:r w:rsidRPr="002152B0">
        <w:rPr>
          <w:rFonts w:ascii="Times New Roman" w:eastAsia="Times New Roman" w:hAnsi="Times New Roman" w:cs="Times New Roman"/>
          <w:kern w:val="0"/>
          <w:sz w:val="16"/>
          <w:szCs w:val="16"/>
          <w:lang w:eastAsia="en-GB"/>
          <w14:ligatures w14:val="none"/>
        </w:rPr>
        <w:t>. (2024). The role of income inequality as an ecological determinant of mental health: A nation-wide multilevel analysis on an Italian sample. </w:t>
      </w:r>
      <w:r w:rsidRPr="002152B0">
        <w:rPr>
          <w:rFonts w:ascii="Times New Roman" w:eastAsia="Times New Roman" w:hAnsi="Times New Roman" w:cs="Times New Roman"/>
          <w:i/>
          <w:iCs/>
          <w:kern w:val="0"/>
          <w:sz w:val="16"/>
          <w:szCs w:val="16"/>
          <w:lang w:eastAsia="en-GB"/>
          <w14:ligatures w14:val="none"/>
        </w:rPr>
        <w:t>International Journal of Social Psychiatry, 70</w:t>
      </w:r>
      <w:r w:rsidRPr="002152B0">
        <w:rPr>
          <w:rFonts w:ascii="Times New Roman" w:eastAsia="Times New Roman" w:hAnsi="Times New Roman" w:cs="Times New Roman"/>
          <w:kern w:val="0"/>
          <w:sz w:val="16"/>
          <w:szCs w:val="16"/>
          <w:lang w:eastAsia="en-GB"/>
          <w14:ligatures w14:val="none"/>
        </w:rPr>
        <w:t>(5), 999–1003. </w:t>
      </w:r>
      <w:hyperlink r:id="rId233" w:history="1">
        <w:r w:rsidRPr="00341C23">
          <w:rPr>
            <w:rStyle w:val="Hyperlink"/>
            <w:rFonts w:ascii="Times New Roman" w:eastAsia="Times New Roman" w:hAnsi="Times New Roman" w:cs="Times New Roman"/>
            <w:kern w:val="0"/>
            <w:sz w:val="16"/>
            <w:szCs w:val="16"/>
            <w:lang w:eastAsia="en-GB"/>
            <w14:ligatures w14:val="none"/>
          </w:rPr>
          <w:t>https://doi.org/10.1177/00207640241242017</w:t>
        </w:r>
      </w:hyperlink>
      <w:r>
        <w:rPr>
          <w:rFonts w:ascii="Times New Roman" w:eastAsia="Times New Roman" w:hAnsi="Times New Roman" w:cs="Times New Roman"/>
          <w:kern w:val="0"/>
          <w:sz w:val="16"/>
          <w:szCs w:val="16"/>
          <w:lang w:eastAsia="en-GB"/>
          <w14:ligatures w14:val="none"/>
        </w:rPr>
        <w:t xml:space="preserve"> </w:t>
      </w:r>
    </w:p>
    <w:p w14:paraId="55561B03" w14:textId="1A4968AB"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Safdar, M., Rehman, S. U., Younus, M., Rizwan, M. A., Kaleem, M., &amp; Ozaslan, M. (2024). One Health approach to Nipah virus prevention. </w:t>
      </w:r>
      <w:r w:rsidRPr="008C797A">
        <w:rPr>
          <w:rFonts w:ascii="Times New Roman" w:eastAsia="Times New Roman" w:hAnsi="Times New Roman" w:cs="Times New Roman"/>
          <w:i/>
          <w:iCs/>
          <w:kern w:val="0"/>
          <w:sz w:val="16"/>
          <w:szCs w:val="16"/>
          <w:lang w:val="en-RS" w:eastAsia="en-GB"/>
          <w14:ligatures w14:val="none"/>
        </w:rPr>
        <w:t>Vacunas, 25</w:t>
      </w:r>
      <w:r w:rsidRPr="008C797A">
        <w:rPr>
          <w:rFonts w:ascii="Times New Roman" w:eastAsia="Times New Roman" w:hAnsi="Times New Roman" w:cs="Times New Roman"/>
          <w:kern w:val="0"/>
          <w:sz w:val="16"/>
          <w:szCs w:val="16"/>
          <w:lang w:val="en-RS" w:eastAsia="en-GB"/>
          <w14:ligatures w14:val="none"/>
        </w:rPr>
        <w:t>(</w:t>
      </w:r>
      <w:r w:rsidR="00995257" w:rsidRPr="008C797A">
        <w:rPr>
          <w:rFonts w:ascii="Times New Roman" w:eastAsia="Times New Roman" w:hAnsi="Times New Roman" w:cs="Times New Roman"/>
          <w:kern w:val="0"/>
          <w:sz w:val="16"/>
          <w:szCs w:val="16"/>
          <w:lang w:val="en-RS" w:eastAsia="en-GB"/>
          <w14:ligatures w14:val="none"/>
        </w:rPr>
        <w:t>2</w:t>
      </w:r>
      <w:r w:rsidRPr="008C797A">
        <w:rPr>
          <w:rFonts w:ascii="Times New Roman" w:eastAsia="Times New Roman" w:hAnsi="Times New Roman" w:cs="Times New Roman"/>
          <w:kern w:val="0"/>
          <w:sz w:val="16"/>
          <w:szCs w:val="16"/>
          <w:lang w:val="en-RS" w:eastAsia="en-GB"/>
          <w14:ligatures w14:val="none"/>
        </w:rPr>
        <w:t>)</w:t>
      </w:r>
      <w:r w:rsidR="00995257" w:rsidRPr="008C797A">
        <w:rPr>
          <w:rFonts w:ascii="Times New Roman" w:eastAsia="Times New Roman" w:hAnsi="Times New Roman" w:cs="Times New Roman"/>
          <w:kern w:val="0"/>
          <w:sz w:val="16"/>
          <w:szCs w:val="16"/>
          <w:lang w:val="en-RS" w:eastAsia="en-GB"/>
          <w14:ligatures w14:val="none"/>
        </w:rPr>
        <w:t>:</w:t>
      </w:r>
      <w:r w:rsidRPr="008C797A">
        <w:rPr>
          <w:rFonts w:ascii="Times New Roman" w:eastAsia="Times New Roman" w:hAnsi="Times New Roman" w:cs="Times New Roman"/>
          <w:kern w:val="0"/>
          <w:sz w:val="16"/>
          <w:szCs w:val="16"/>
          <w:lang w:val="en-RS" w:eastAsia="en-GB"/>
          <w14:ligatures w14:val="none"/>
        </w:rPr>
        <w:t xml:space="preserve"> </w:t>
      </w:r>
      <w:r w:rsidR="00995257" w:rsidRPr="008C797A">
        <w:rPr>
          <w:rFonts w:ascii="Times New Roman" w:eastAsia="Times New Roman" w:hAnsi="Times New Roman" w:cs="Times New Roman"/>
          <w:kern w:val="0"/>
          <w:sz w:val="16"/>
          <w:szCs w:val="16"/>
          <w:lang w:val="en-RS" w:eastAsia="en-GB"/>
          <w14:ligatures w14:val="none"/>
        </w:rPr>
        <w:t>264-273.</w:t>
      </w:r>
      <w:r w:rsidRPr="008C797A">
        <w:rPr>
          <w:rFonts w:ascii="Times New Roman" w:eastAsia="Times New Roman" w:hAnsi="Times New Roman" w:cs="Times New Roman"/>
          <w:kern w:val="0"/>
          <w:sz w:val="16"/>
          <w:szCs w:val="16"/>
          <w:lang w:val="en-RS" w:eastAsia="en-GB"/>
          <w14:ligatures w14:val="none"/>
        </w:rPr>
        <w:t> </w:t>
      </w:r>
      <w:hyperlink r:id="rId234" w:history="1">
        <w:r w:rsidR="00995257" w:rsidRPr="008C797A">
          <w:rPr>
            <w:rStyle w:val="Hyperlink"/>
            <w:rFonts w:ascii="Times New Roman" w:eastAsia="Times New Roman" w:hAnsi="Times New Roman" w:cs="Times New Roman"/>
            <w:kern w:val="0"/>
            <w:sz w:val="16"/>
            <w:szCs w:val="16"/>
            <w:lang w:val="en-RS" w:eastAsia="en-GB"/>
            <w14:ligatures w14:val="none"/>
          </w:rPr>
          <w:t>https://doi.org/10.1016/j.vacun.2024.02.002</w:t>
        </w:r>
      </w:hyperlink>
      <w:r w:rsidR="00995257" w:rsidRPr="008C797A">
        <w:rPr>
          <w:rFonts w:ascii="Times New Roman" w:eastAsia="Times New Roman" w:hAnsi="Times New Roman" w:cs="Times New Roman"/>
          <w:kern w:val="0"/>
          <w:sz w:val="16"/>
          <w:szCs w:val="16"/>
          <w:lang w:val="en-RS" w:eastAsia="en-GB"/>
          <w14:ligatures w14:val="none"/>
        </w:rPr>
        <w:t xml:space="preserve"> </w:t>
      </w:r>
    </w:p>
    <w:p w14:paraId="088A33E0" w14:textId="607ECD0A"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Sawchuk, L. A. (1993). Societal and ecological determinants of urban health: A case study of pre-reproductive mortality in 19th century Gibraltar. </w:t>
      </w:r>
      <w:r w:rsidRPr="008C797A">
        <w:rPr>
          <w:rFonts w:ascii="Times New Roman" w:eastAsia="Times New Roman" w:hAnsi="Times New Roman" w:cs="Times New Roman"/>
          <w:i/>
          <w:iCs/>
          <w:kern w:val="0"/>
          <w:sz w:val="16"/>
          <w:szCs w:val="16"/>
          <w:lang w:val="en-RS" w:eastAsia="en-GB"/>
          <w14:ligatures w14:val="none"/>
        </w:rPr>
        <w:t>Social Science &amp; Medicine, 36</w:t>
      </w:r>
      <w:r w:rsidRPr="008C797A">
        <w:rPr>
          <w:rFonts w:ascii="Times New Roman" w:eastAsia="Times New Roman" w:hAnsi="Times New Roman" w:cs="Times New Roman"/>
          <w:kern w:val="0"/>
          <w:sz w:val="16"/>
          <w:szCs w:val="16"/>
          <w:lang w:val="en-RS" w:eastAsia="en-GB"/>
          <w14:ligatures w14:val="none"/>
        </w:rPr>
        <w:t>(</w:t>
      </w:r>
      <w:r w:rsidR="00995257" w:rsidRPr="008C797A">
        <w:rPr>
          <w:rFonts w:ascii="Times New Roman" w:eastAsia="Times New Roman" w:hAnsi="Times New Roman" w:cs="Times New Roman"/>
          <w:kern w:val="0"/>
          <w:sz w:val="16"/>
          <w:szCs w:val="16"/>
          <w:lang w:val="en-RS" w:eastAsia="en-GB"/>
          <w14:ligatures w14:val="none"/>
        </w:rPr>
        <w:t>7</w:t>
      </w:r>
      <w:r w:rsidRPr="008C797A">
        <w:rPr>
          <w:rFonts w:ascii="Times New Roman" w:eastAsia="Times New Roman" w:hAnsi="Times New Roman" w:cs="Times New Roman"/>
          <w:kern w:val="0"/>
          <w:sz w:val="16"/>
          <w:szCs w:val="16"/>
          <w:lang w:val="en-RS" w:eastAsia="en-GB"/>
          <w14:ligatures w14:val="none"/>
        </w:rPr>
        <w:t xml:space="preserve">), </w:t>
      </w:r>
      <w:r w:rsidR="00995257" w:rsidRPr="008C797A">
        <w:rPr>
          <w:rFonts w:ascii="Times New Roman" w:eastAsia="Times New Roman" w:hAnsi="Times New Roman" w:cs="Times New Roman"/>
          <w:kern w:val="0"/>
          <w:sz w:val="16"/>
          <w:szCs w:val="16"/>
          <w:lang w:val="en-RS" w:eastAsia="en-GB"/>
          <w14:ligatures w14:val="none"/>
        </w:rPr>
        <w:t>875</w:t>
      </w:r>
      <w:r w:rsidRPr="008C797A">
        <w:rPr>
          <w:rFonts w:ascii="Times New Roman" w:eastAsia="Times New Roman" w:hAnsi="Times New Roman" w:cs="Times New Roman"/>
          <w:kern w:val="0"/>
          <w:sz w:val="16"/>
          <w:szCs w:val="16"/>
          <w:lang w:val="en-RS" w:eastAsia="en-GB"/>
          <w14:ligatures w14:val="none"/>
        </w:rPr>
        <w:t>–</w:t>
      </w:r>
      <w:r w:rsidR="00995257" w:rsidRPr="008C797A">
        <w:rPr>
          <w:rFonts w:ascii="Times New Roman" w:eastAsia="Times New Roman" w:hAnsi="Times New Roman" w:cs="Times New Roman"/>
          <w:kern w:val="0"/>
          <w:sz w:val="16"/>
          <w:szCs w:val="16"/>
          <w:lang w:val="en-RS" w:eastAsia="en-GB"/>
          <w14:ligatures w14:val="none"/>
        </w:rPr>
        <w:t>892</w:t>
      </w:r>
      <w:r w:rsidRPr="008C797A">
        <w:rPr>
          <w:rFonts w:ascii="Times New Roman" w:eastAsia="Times New Roman" w:hAnsi="Times New Roman" w:cs="Times New Roman"/>
          <w:kern w:val="0"/>
          <w:sz w:val="16"/>
          <w:szCs w:val="16"/>
          <w:lang w:val="en-RS" w:eastAsia="en-GB"/>
          <w14:ligatures w14:val="none"/>
        </w:rPr>
        <w:t>.</w:t>
      </w:r>
      <w:r w:rsidR="00995257" w:rsidRPr="008C797A">
        <w:rPr>
          <w:rFonts w:ascii="Times New Roman" w:eastAsia="Times New Roman" w:hAnsi="Times New Roman" w:cs="Times New Roman"/>
          <w:kern w:val="0"/>
          <w:sz w:val="16"/>
          <w:szCs w:val="16"/>
          <w:lang w:val="en-RS" w:eastAsia="en-GB"/>
          <w14:ligatures w14:val="none"/>
        </w:rPr>
        <w:t xml:space="preserve"> </w:t>
      </w:r>
    </w:p>
    <w:p w14:paraId="55D46AE0" w14:textId="77777777" w:rsidR="007C3046" w:rsidRPr="008C797A" w:rsidRDefault="007C3046"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sz w:val="16"/>
          <w:szCs w:val="16"/>
          <w:lang w:val="en-RS" w:eastAsia="en-GB"/>
          <w14:ligatures w14:val="none"/>
        </w:rPr>
        <w:t>Sharma, V. P., &amp; Dev, V. (2015). Biology &amp; control of </w:t>
      </w:r>
      <w:r w:rsidRPr="008C797A">
        <w:rPr>
          <w:rFonts w:ascii="Times New Roman" w:eastAsia="Times New Roman" w:hAnsi="Times New Roman" w:cs="Times New Roman"/>
          <w:i/>
          <w:iCs/>
          <w:sz w:val="16"/>
          <w:szCs w:val="16"/>
          <w:lang w:val="en-RS" w:eastAsia="en-GB"/>
          <w14:ligatures w14:val="none"/>
        </w:rPr>
        <w:t>Anopheles culicifacies</w:t>
      </w:r>
      <w:r w:rsidRPr="008C797A">
        <w:rPr>
          <w:rFonts w:ascii="Times New Roman" w:eastAsia="Times New Roman" w:hAnsi="Times New Roman" w:cs="Times New Roman"/>
          <w:sz w:val="16"/>
          <w:szCs w:val="16"/>
          <w:lang w:val="en-RS" w:eastAsia="en-GB"/>
          <w14:ligatures w14:val="none"/>
        </w:rPr>
        <w:t> Giles 1901. </w:t>
      </w:r>
      <w:r w:rsidRPr="008C797A">
        <w:rPr>
          <w:rFonts w:ascii="Times New Roman" w:eastAsia="Times New Roman" w:hAnsi="Times New Roman" w:cs="Times New Roman"/>
          <w:i/>
          <w:iCs/>
          <w:sz w:val="16"/>
          <w:szCs w:val="16"/>
          <w:lang w:val="en-RS" w:eastAsia="en-GB"/>
          <w14:ligatures w14:val="none"/>
        </w:rPr>
        <w:t xml:space="preserve">Indian Journal of Medical Research, </w:t>
      </w:r>
      <w:r w:rsidRPr="008C797A">
        <w:rPr>
          <w:rFonts w:ascii="Times New Roman" w:hAnsi="Times New Roman" w:cs="Times New Roman"/>
          <w:i/>
          <w:iCs/>
          <w:color w:val="1A1B1A"/>
          <w:kern w:val="0"/>
          <w:sz w:val="16"/>
          <w:szCs w:val="16"/>
        </w:rPr>
        <w:t>14:</w:t>
      </w:r>
      <w:r w:rsidRPr="008C797A">
        <w:rPr>
          <w:rFonts w:ascii="Times New Roman" w:hAnsi="Times New Roman" w:cs="Times New Roman"/>
          <w:color w:val="1A1B1A"/>
          <w:kern w:val="0"/>
          <w:sz w:val="16"/>
          <w:szCs w:val="16"/>
        </w:rPr>
        <w:t xml:space="preserve"> 1294026. </w:t>
      </w:r>
      <w:hyperlink r:id="rId235" w:history="1">
        <w:r w:rsidRPr="008C797A">
          <w:rPr>
            <w:rStyle w:val="Hyperlink"/>
            <w:rFonts w:ascii="Times New Roman" w:hAnsi="Times New Roman" w:cs="Times New Roman"/>
            <w:kern w:val="0"/>
            <w:sz w:val="16"/>
            <w:szCs w:val="16"/>
          </w:rPr>
          <w:t>https://doi.org/10.3389/fpsyg.2023.1294026</w:t>
        </w:r>
      </w:hyperlink>
      <w:r w:rsidRPr="008C797A">
        <w:rPr>
          <w:rFonts w:ascii="Times New Roman" w:hAnsi="Times New Roman" w:cs="Times New Roman"/>
          <w:color w:val="1A1B1A"/>
          <w:kern w:val="0"/>
          <w:sz w:val="16"/>
          <w:szCs w:val="16"/>
        </w:rPr>
        <w:t xml:space="preserve">    </w:t>
      </w:r>
    </w:p>
    <w:p w14:paraId="3DFEFCEA" w14:textId="070AABCC"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Shaw, R. J., </w:t>
      </w:r>
      <w:r w:rsidR="00C308DA" w:rsidRPr="008C797A">
        <w:rPr>
          <w:rFonts w:ascii="Times New Roman" w:eastAsia="Times New Roman" w:hAnsi="Times New Roman" w:cs="Times New Roman"/>
          <w:kern w:val="0"/>
          <w:sz w:val="16"/>
          <w:szCs w:val="16"/>
          <w:lang w:val="en-RS" w:eastAsia="en-GB"/>
          <w14:ligatures w14:val="none"/>
        </w:rPr>
        <w:t>Č</w:t>
      </w:r>
      <w:r w:rsidRPr="008C797A">
        <w:rPr>
          <w:rFonts w:ascii="Times New Roman" w:eastAsia="Times New Roman" w:hAnsi="Times New Roman" w:cs="Times New Roman"/>
          <w:kern w:val="0"/>
          <w:sz w:val="16"/>
          <w:szCs w:val="16"/>
          <w:lang w:val="en-RS" w:eastAsia="en-GB"/>
          <w14:ligatures w14:val="none"/>
        </w:rPr>
        <w:t>uki</w:t>
      </w:r>
      <w:r w:rsidR="00C308DA" w:rsidRPr="008C797A">
        <w:rPr>
          <w:rFonts w:ascii="Times New Roman" w:eastAsia="Times New Roman" w:hAnsi="Times New Roman" w:cs="Times New Roman"/>
          <w:kern w:val="0"/>
          <w:sz w:val="16"/>
          <w:szCs w:val="16"/>
          <w:lang w:val="en-RS" w:eastAsia="en-GB"/>
          <w14:ligatures w14:val="none"/>
        </w:rPr>
        <w:t>ć</w:t>
      </w:r>
      <w:r w:rsidRPr="008C797A">
        <w:rPr>
          <w:rFonts w:ascii="Times New Roman" w:eastAsia="Times New Roman" w:hAnsi="Times New Roman" w:cs="Times New Roman"/>
          <w:kern w:val="0"/>
          <w:sz w:val="16"/>
          <w:szCs w:val="16"/>
          <w:lang w:val="en-RS" w:eastAsia="en-GB"/>
          <w14:ligatures w14:val="none"/>
        </w:rPr>
        <w:t>, I., Deary, I. J., Gal</w:t>
      </w:r>
      <w:r w:rsidR="00C308DA" w:rsidRPr="008C797A">
        <w:rPr>
          <w:rFonts w:ascii="Times New Roman" w:eastAsia="Times New Roman" w:hAnsi="Times New Roman" w:cs="Times New Roman"/>
          <w:kern w:val="0"/>
          <w:sz w:val="16"/>
          <w:szCs w:val="16"/>
          <w:lang w:val="en-RS" w:eastAsia="en-GB"/>
          <w14:ligatures w14:val="none"/>
        </w:rPr>
        <w:t>e</w:t>
      </w:r>
      <w:r w:rsidRPr="008C797A">
        <w:rPr>
          <w:rFonts w:ascii="Times New Roman" w:eastAsia="Times New Roman" w:hAnsi="Times New Roman" w:cs="Times New Roman"/>
          <w:kern w:val="0"/>
          <w:sz w:val="16"/>
          <w:szCs w:val="16"/>
          <w:lang w:val="en-RS" w:eastAsia="en-GB"/>
          <w14:ligatures w14:val="none"/>
        </w:rPr>
        <w:t xml:space="preserve"> C. R., Chastin, S. F. M., Dall, P. M., </w:t>
      </w:r>
      <w:r w:rsidR="00C308DA" w:rsidRPr="008C797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(2017). The influence of neighbourhoods and the social environment on sedentary behaviour in older adults in three prospective cohorts. </w:t>
      </w:r>
      <w:r w:rsidRPr="008C797A">
        <w:rPr>
          <w:rFonts w:ascii="Times New Roman" w:eastAsia="Times New Roman" w:hAnsi="Times New Roman" w:cs="Times New Roman"/>
          <w:i/>
          <w:iCs/>
          <w:kern w:val="0"/>
          <w:sz w:val="16"/>
          <w:szCs w:val="16"/>
          <w:lang w:val="en-RS" w:eastAsia="en-GB"/>
          <w14:ligatures w14:val="none"/>
        </w:rPr>
        <w:t xml:space="preserve">International Journal of Environmental Research and Public Health, </w:t>
      </w:r>
      <w:r w:rsidR="00C308DA" w:rsidRPr="008C797A">
        <w:rPr>
          <w:rFonts w:ascii="Times New Roman" w:hAnsi="Times New Roman" w:cs="Times New Roman"/>
          <w:i/>
          <w:iCs/>
          <w:kern w:val="0"/>
          <w:sz w:val="16"/>
          <w:szCs w:val="16"/>
        </w:rPr>
        <w:t xml:space="preserve">14: </w:t>
      </w:r>
      <w:r w:rsidR="00C308DA" w:rsidRPr="008C797A">
        <w:rPr>
          <w:rFonts w:ascii="Times New Roman" w:hAnsi="Times New Roman" w:cs="Times New Roman"/>
          <w:kern w:val="0"/>
          <w:sz w:val="16"/>
          <w:szCs w:val="16"/>
        </w:rPr>
        <w:t xml:space="preserve">557; </w:t>
      </w:r>
      <w:hyperlink r:id="rId236" w:history="1">
        <w:r w:rsidR="00C308DA" w:rsidRPr="008C797A">
          <w:rPr>
            <w:rStyle w:val="Hyperlink"/>
            <w:rFonts w:ascii="Times New Roman" w:hAnsi="Times New Roman" w:cs="Times New Roman"/>
            <w:kern w:val="0"/>
            <w:sz w:val="16"/>
            <w:szCs w:val="16"/>
          </w:rPr>
          <w:t>https://doi.org/10.3390/ijerph14060557</w:t>
        </w:r>
      </w:hyperlink>
      <w:r w:rsidR="00C308DA" w:rsidRPr="008C797A">
        <w:rPr>
          <w:rFonts w:ascii="Times New Roman" w:hAnsi="Times New Roman" w:cs="Times New Roman"/>
          <w:i/>
          <w:iCs/>
          <w:kern w:val="0"/>
          <w:sz w:val="16"/>
          <w:szCs w:val="16"/>
        </w:rPr>
        <w:t xml:space="preserve"> </w:t>
      </w:r>
    </w:p>
    <w:p w14:paraId="322EA7E1" w14:textId="77777777" w:rsidR="00C308DA"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Shek, D. T. L., Chai, W., Dou, D., Li, X., &amp; Chan, C. H. M. (2023). Psychosocial correlates of mental health of university students in Hong Kong under COVID-19. </w:t>
      </w:r>
      <w:r w:rsidRPr="008C797A">
        <w:rPr>
          <w:rFonts w:ascii="Times New Roman" w:eastAsia="Times New Roman" w:hAnsi="Times New Roman" w:cs="Times New Roman"/>
          <w:i/>
          <w:iCs/>
          <w:kern w:val="0"/>
          <w:sz w:val="16"/>
          <w:szCs w:val="16"/>
          <w:lang w:val="en-RS" w:eastAsia="en-GB"/>
          <w14:ligatures w14:val="none"/>
        </w:rPr>
        <w:t>Frontiers in Psychology, 14</w:t>
      </w:r>
      <w:r w:rsidRPr="008C797A">
        <w:rPr>
          <w:rFonts w:ascii="Times New Roman" w:eastAsia="Times New Roman" w:hAnsi="Times New Roman" w:cs="Times New Roman"/>
          <w:kern w:val="0"/>
          <w:sz w:val="16"/>
          <w:szCs w:val="16"/>
          <w:lang w:val="en-RS" w:eastAsia="en-GB"/>
          <w14:ligatures w14:val="none"/>
        </w:rPr>
        <w:t>, 1123456. </w:t>
      </w:r>
      <w:hyperlink r:id="rId237" w:history="1">
        <w:r w:rsidR="00C41A1D" w:rsidRPr="008C797A">
          <w:rPr>
            <w:rStyle w:val="Hyperlink"/>
            <w:rFonts w:ascii="Times New Roman" w:eastAsia="Times New Roman" w:hAnsi="Times New Roman" w:cs="Times New Roman"/>
            <w:kern w:val="0"/>
            <w:sz w:val="16"/>
            <w:szCs w:val="16"/>
            <w:lang w:val="en-RS" w:eastAsia="en-GB"/>
            <w14:ligatures w14:val="none"/>
          </w:rPr>
          <w:t>https://doi.org/10.3389/fpsyg.2023.1123456</w:t>
        </w:r>
      </w:hyperlink>
    </w:p>
    <w:p w14:paraId="5F7F7951" w14:textId="77777777" w:rsidR="00C308DA"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Simon-Kumar, R. (2023). ‘Ecological determinants’ of health in the global south: Practising sustainable consumption in Kerala, India. </w:t>
      </w:r>
      <w:r w:rsidRPr="008C797A">
        <w:rPr>
          <w:rFonts w:ascii="Times New Roman" w:eastAsia="Times New Roman" w:hAnsi="Times New Roman" w:cs="Times New Roman"/>
          <w:i/>
          <w:iCs/>
          <w:kern w:val="0"/>
          <w:sz w:val="16"/>
          <w:szCs w:val="16"/>
          <w:lang w:val="en-RS" w:eastAsia="en-GB"/>
          <w14:ligatures w14:val="none"/>
        </w:rPr>
        <w:t xml:space="preserve">Health Promotion International, </w:t>
      </w:r>
      <w:r w:rsidR="00C308DA" w:rsidRPr="008C797A">
        <w:rPr>
          <w:rFonts w:ascii="Times New Roman" w:hAnsi="Times New Roman" w:cs="Times New Roman"/>
          <w:i/>
          <w:iCs/>
          <w:kern w:val="0"/>
          <w:sz w:val="16"/>
          <w:szCs w:val="16"/>
        </w:rPr>
        <w:t xml:space="preserve">38: </w:t>
      </w:r>
      <w:r w:rsidR="00C308DA" w:rsidRPr="008C797A">
        <w:rPr>
          <w:rFonts w:ascii="Times New Roman" w:hAnsi="Times New Roman" w:cs="Times New Roman"/>
          <w:kern w:val="0"/>
          <w:sz w:val="16"/>
          <w:szCs w:val="16"/>
        </w:rPr>
        <w:t xml:space="preserve">1–13. </w:t>
      </w:r>
      <w:hyperlink r:id="rId238" w:history="1">
        <w:r w:rsidR="00C308DA" w:rsidRPr="008C797A">
          <w:rPr>
            <w:rStyle w:val="Hyperlink"/>
            <w:rFonts w:ascii="Times New Roman" w:hAnsi="Times New Roman" w:cs="Times New Roman"/>
            <w:kern w:val="0"/>
            <w:sz w:val="16"/>
            <w:szCs w:val="16"/>
          </w:rPr>
          <w:t>https://doi.org/10.1093/heapro/daac026</w:t>
        </w:r>
      </w:hyperlink>
      <w:r w:rsidR="00C308DA" w:rsidRPr="008C797A">
        <w:rPr>
          <w:rFonts w:ascii="Times New Roman" w:hAnsi="Times New Roman" w:cs="Times New Roman"/>
          <w:kern w:val="0"/>
          <w:sz w:val="16"/>
          <w:szCs w:val="16"/>
        </w:rPr>
        <w:t xml:space="preserve"> </w:t>
      </w:r>
    </w:p>
    <w:p w14:paraId="56782F28" w14:textId="50B75EDC" w:rsidR="0014239D" w:rsidRPr="008C797A" w:rsidRDefault="0014239D"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Sisler, A. (2014). Basic income, eco-logical ethics, and interdependent well-being. </w:t>
      </w:r>
      <w:r w:rsidRPr="008C797A">
        <w:rPr>
          <w:rFonts w:ascii="Times New Roman" w:eastAsia="Times New Roman" w:hAnsi="Times New Roman" w:cs="Times New Roman"/>
          <w:i/>
          <w:iCs/>
          <w:kern w:val="0"/>
          <w:sz w:val="16"/>
          <w:szCs w:val="16"/>
          <w:lang w:val="en-RS" w:eastAsia="en-GB"/>
          <w14:ligatures w14:val="none"/>
        </w:rPr>
        <w:t>Ethics in Progress, 5</w:t>
      </w:r>
      <w:r w:rsidRPr="008C797A">
        <w:rPr>
          <w:rFonts w:ascii="Times New Roman" w:eastAsia="Times New Roman" w:hAnsi="Times New Roman" w:cs="Times New Roman"/>
          <w:kern w:val="0"/>
          <w:sz w:val="16"/>
          <w:szCs w:val="16"/>
          <w:lang w:val="en-RS" w:eastAsia="en-GB"/>
          <w14:ligatures w14:val="none"/>
        </w:rPr>
        <w:t>(</w:t>
      </w:r>
      <w:r w:rsidR="00C308DA" w:rsidRPr="008C797A">
        <w:rPr>
          <w:rFonts w:ascii="Times New Roman" w:eastAsia="Times New Roman" w:hAnsi="Times New Roman" w:cs="Times New Roman"/>
          <w:kern w:val="0"/>
          <w:sz w:val="16"/>
          <w:szCs w:val="16"/>
          <w:lang w:val="en-RS" w:eastAsia="en-GB"/>
          <w14:ligatures w14:val="none"/>
        </w:rPr>
        <w:t>2</w:t>
      </w:r>
      <w:r w:rsidRPr="008C797A">
        <w:rPr>
          <w:rFonts w:ascii="Times New Roman" w:eastAsia="Times New Roman" w:hAnsi="Times New Roman" w:cs="Times New Roman"/>
          <w:kern w:val="0"/>
          <w:sz w:val="16"/>
          <w:szCs w:val="16"/>
          <w:lang w:val="en-RS" w:eastAsia="en-GB"/>
          <w14:ligatures w14:val="none"/>
        </w:rPr>
        <w:t>)</w:t>
      </w:r>
      <w:r w:rsidR="00C308DA" w:rsidRPr="008C797A">
        <w:rPr>
          <w:rFonts w:ascii="Times New Roman" w:eastAsia="Times New Roman" w:hAnsi="Times New Roman" w:cs="Times New Roman"/>
          <w:kern w:val="0"/>
          <w:sz w:val="16"/>
          <w:szCs w:val="16"/>
          <w:lang w:val="en-RS" w:eastAsia="en-GB"/>
          <w14:ligatures w14:val="none"/>
        </w:rPr>
        <w:t>:</w:t>
      </w:r>
      <w:r w:rsidRPr="008C797A">
        <w:rPr>
          <w:rFonts w:ascii="Times New Roman" w:eastAsia="Times New Roman" w:hAnsi="Times New Roman" w:cs="Times New Roman"/>
          <w:kern w:val="0"/>
          <w:sz w:val="16"/>
          <w:szCs w:val="16"/>
          <w:lang w:val="en-RS" w:eastAsia="en-GB"/>
          <w14:ligatures w14:val="none"/>
        </w:rPr>
        <w:t xml:space="preserve"> </w:t>
      </w:r>
      <w:r w:rsidR="00C308DA" w:rsidRPr="008C797A">
        <w:rPr>
          <w:rFonts w:ascii="Times New Roman" w:hAnsi="Times New Roman" w:cs="Times New Roman"/>
          <w:kern w:val="0"/>
          <w:sz w:val="16"/>
          <w:szCs w:val="16"/>
        </w:rPr>
        <w:t xml:space="preserve">151-169. </w:t>
      </w:r>
      <w:hyperlink r:id="rId239" w:history="1">
        <w:r w:rsidR="00C308DA" w:rsidRPr="008C797A">
          <w:rPr>
            <w:rStyle w:val="Hyperlink"/>
            <w:rFonts w:ascii="Times New Roman" w:hAnsi="Times New Roman" w:cs="Times New Roman"/>
            <w:kern w:val="0"/>
            <w:sz w:val="16"/>
            <w:szCs w:val="16"/>
          </w:rPr>
          <w:t>https://doi.org/10.14746/eip.2014.2.11</w:t>
        </w:r>
      </w:hyperlink>
      <w:r w:rsidR="00C308DA" w:rsidRPr="008C797A">
        <w:rPr>
          <w:rFonts w:ascii="Times New Roman" w:hAnsi="Times New Roman" w:cs="Times New Roman"/>
          <w:kern w:val="0"/>
          <w:sz w:val="16"/>
          <w:szCs w:val="16"/>
        </w:rPr>
        <w:t xml:space="preserve">  </w:t>
      </w:r>
    </w:p>
    <w:p w14:paraId="2085B6B7" w14:textId="77777777" w:rsidR="00C308DA"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Sripa, B., &amp; Echaubard, P. (2017). Prospects and challenges towards sustainable liver fluke control. </w:t>
      </w:r>
      <w:r w:rsidRPr="008C797A">
        <w:rPr>
          <w:rFonts w:ascii="Times New Roman" w:eastAsia="Times New Roman" w:hAnsi="Times New Roman" w:cs="Times New Roman"/>
          <w:i/>
          <w:iCs/>
          <w:kern w:val="0"/>
          <w:sz w:val="16"/>
          <w:szCs w:val="16"/>
          <w:lang w:val="en-RS" w:eastAsia="en-GB"/>
          <w14:ligatures w14:val="none"/>
        </w:rPr>
        <w:t xml:space="preserve">Trends in Parasitology, </w:t>
      </w:r>
      <w:r w:rsidR="00C308DA" w:rsidRPr="008C797A">
        <w:rPr>
          <w:rFonts w:ascii="Times New Roman" w:eastAsia="Times New Roman" w:hAnsi="Times New Roman" w:cs="Times New Roman"/>
          <w:i/>
          <w:iCs/>
          <w:kern w:val="0"/>
          <w:sz w:val="16"/>
          <w:szCs w:val="16"/>
          <w:lang w:val="en-RS" w:eastAsia="en-GB"/>
          <w14:ligatures w14:val="none"/>
        </w:rPr>
        <w:t xml:space="preserve">33(10): </w:t>
      </w:r>
      <w:r w:rsidR="00C308DA" w:rsidRPr="008C797A">
        <w:rPr>
          <w:rFonts w:ascii="Times New Roman" w:eastAsia="Times New Roman" w:hAnsi="Times New Roman" w:cs="Times New Roman"/>
          <w:kern w:val="0"/>
          <w:sz w:val="16"/>
          <w:szCs w:val="16"/>
          <w:lang w:val="en-RS" w:eastAsia="en-GB"/>
          <w14:ligatures w14:val="none"/>
        </w:rPr>
        <w:t xml:space="preserve">799–812. </w:t>
      </w:r>
      <w:hyperlink r:id="rId240" w:history="1">
        <w:r w:rsidR="00C308DA" w:rsidRPr="008C797A">
          <w:rPr>
            <w:rStyle w:val="Hyperlink"/>
            <w:rFonts w:ascii="Times New Roman" w:eastAsia="Times New Roman" w:hAnsi="Times New Roman" w:cs="Times New Roman"/>
            <w:kern w:val="0"/>
            <w:sz w:val="16"/>
            <w:szCs w:val="16"/>
            <w:lang w:val="en-RS" w:eastAsia="en-GB"/>
            <w14:ligatures w14:val="none"/>
          </w:rPr>
          <w:t>https://doi:10.1016/j.pt.2017.06.002</w:t>
        </w:r>
      </w:hyperlink>
      <w:r w:rsidR="00C308DA" w:rsidRPr="008C797A">
        <w:rPr>
          <w:rFonts w:ascii="Times New Roman" w:eastAsia="Times New Roman" w:hAnsi="Times New Roman" w:cs="Times New Roman"/>
          <w:kern w:val="0"/>
          <w:sz w:val="16"/>
          <w:szCs w:val="16"/>
          <w:lang w:val="en-RS" w:eastAsia="en-GB"/>
          <w14:ligatures w14:val="none"/>
        </w:rPr>
        <w:t xml:space="preserve"> </w:t>
      </w:r>
    </w:p>
    <w:p w14:paraId="02BCFDF6" w14:textId="77777777" w:rsidR="00C308DA"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Tajvar, M., Hajizadeh, A., &amp; Zalvand, R. (2022). A systematic review of individual and ecological determinants of maternal mortality in the world based on the income level of countries. </w:t>
      </w:r>
      <w:r w:rsidRPr="008C797A">
        <w:rPr>
          <w:rFonts w:ascii="Times New Roman" w:eastAsia="Times New Roman" w:hAnsi="Times New Roman" w:cs="Times New Roman"/>
          <w:i/>
          <w:iCs/>
          <w:kern w:val="0"/>
          <w:sz w:val="16"/>
          <w:szCs w:val="16"/>
          <w:lang w:val="en-RS" w:eastAsia="en-GB"/>
          <w14:ligatures w14:val="none"/>
        </w:rPr>
        <w:t xml:space="preserve">BMC Public Health, </w:t>
      </w:r>
      <w:r w:rsidR="00C308DA" w:rsidRPr="008C797A">
        <w:rPr>
          <w:rFonts w:ascii="Times New Roman" w:hAnsi="Times New Roman" w:cs="Times New Roman"/>
          <w:i/>
          <w:iCs/>
          <w:kern w:val="0"/>
          <w:sz w:val="16"/>
          <w:szCs w:val="16"/>
        </w:rPr>
        <w:t xml:space="preserve">22: </w:t>
      </w:r>
      <w:r w:rsidR="00C308DA" w:rsidRPr="008C797A">
        <w:rPr>
          <w:rFonts w:ascii="Times New Roman" w:hAnsi="Times New Roman" w:cs="Times New Roman"/>
          <w:kern w:val="0"/>
          <w:sz w:val="16"/>
          <w:szCs w:val="16"/>
        </w:rPr>
        <w:t>2354</w:t>
      </w:r>
      <w:r w:rsidR="00C308DA" w:rsidRPr="008C797A">
        <w:rPr>
          <w:rFonts w:ascii="Times New Roman" w:hAnsi="Times New Roman" w:cs="Times New Roman"/>
          <w:i/>
          <w:iCs/>
          <w:kern w:val="0"/>
          <w:sz w:val="16"/>
          <w:szCs w:val="16"/>
        </w:rPr>
        <w:t>.</w:t>
      </w:r>
      <w:r w:rsidR="00C308DA" w:rsidRPr="008C797A">
        <w:rPr>
          <w:rFonts w:ascii="Times New Roman" w:hAnsi="Times New Roman" w:cs="Times New Roman"/>
          <w:kern w:val="0"/>
          <w:sz w:val="16"/>
          <w:szCs w:val="16"/>
        </w:rPr>
        <w:t xml:space="preserve"> </w:t>
      </w:r>
      <w:hyperlink r:id="rId241" w:history="1">
        <w:r w:rsidR="00C308DA" w:rsidRPr="008C797A">
          <w:rPr>
            <w:rStyle w:val="Hyperlink"/>
            <w:rFonts w:ascii="Times New Roman" w:hAnsi="Times New Roman" w:cs="Times New Roman"/>
            <w:kern w:val="0"/>
            <w:sz w:val="16"/>
            <w:szCs w:val="16"/>
          </w:rPr>
          <w:t>https://doi.org/10.1186/s12889-022-14686-5</w:t>
        </w:r>
      </w:hyperlink>
      <w:r w:rsidR="00C308DA" w:rsidRPr="008C797A">
        <w:rPr>
          <w:rFonts w:ascii="Times New Roman" w:hAnsi="Times New Roman" w:cs="Times New Roman"/>
          <w:kern w:val="0"/>
          <w:sz w:val="16"/>
          <w:szCs w:val="16"/>
        </w:rPr>
        <w:t xml:space="preserve"> </w:t>
      </w:r>
    </w:p>
    <w:p w14:paraId="2236861E" w14:textId="67CFC2F0"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Talla, C., Diallo, D., Dia, I., Bâ, Y., N’Dione, J.-A., Sall, A. A., </w:t>
      </w:r>
      <w:r w:rsidR="00C308DA" w:rsidRPr="008C797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(2014). Statistical modeling of the abundance of vectors of West African Rift Valley Fever in Barkédji, Senegal. </w:t>
      </w:r>
      <w:r w:rsidRPr="008C797A">
        <w:rPr>
          <w:rFonts w:ascii="Times New Roman" w:eastAsia="Times New Roman" w:hAnsi="Times New Roman" w:cs="Times New Roman"/>
          <w:i/>
          <w:iCs/>
          <w:kern w:val="0"/>
          <w:sz w:val="16"/>
          <w:szCs w:val="16"/>
          <w:lang w:val="en-RS" w:eastAsia="en-GB"/>
          <w14:ligatures w14:val="none"/>
        </w:rPr>
        <w:t xml:space="preserve">PLOS ONE, </w:t>
      </w:r>
      <w:r w:rsidR="00C308DA" w:rsidRPr="008C797A">
        <w:rPr>
          <w:rFonts w:ascii="Times New Roman" w:hAnsi="Times New Roman" w:cs="Times New Roman"/>
          <w:i/>
          <w:iCs/>
          <w:kern w:val="0"/>
          <w:sz w:val="16"/>
          <w:szCs w:val="16"/>
        </w:rPr>
        <w:t xml:space="preserve">9(12): </w:t>
      </w:r>
      <w:r w:rsidR="00C308DA" w:rsidRPr="008C797A">
        <w:rPr>
          <w:rFonts w:ascii="Times New Roman" w:hAnsi="Times New Roman" w:cs="Times New Roman"/>
          <w:kern w:val="0"/>
          <w:sz w:val="16"/>
          <w:szCs w:val="16"/>
        </w:rPr>
        <w:t xml:space="preserve">e114047. </w:t>
      </w:r>
      <w:hyperlink r:id="rId242" w:history="1">
        <w:r w:rsidR="00015ECB" w:rsidRPr="00341C23">
          <w:rPr>
            <w:rStyle w:val="Hyperlink"/>
            <w:rFonts w:ascii="Times New Roman" w:hAnsi="Times New Roman" w:cs="Times New Roman"/>
            <w:kern w:val="0"/>
            <w:sz w:val="16"/>
            <w:szCs w:val="16"/>
          </w:rPr>
          <w:t>https://doi.org/10.1371/journal.pone.0114047</w:t>
        </w:r>
      </w:hyperlink>
      <w:r w:rsidR="00015ECB">
        <w:rPr>
          <w:rFonts w:ascii="Times New Roman" w:hAnsi="Times New Roman" w:cs="Times New Roman"/>
          <w:kern w:val="0"/>
          <w:sz w:val="16"/>
          <w:szCs w:val="16"/>
        </w:rPr>
        <w:t xml:space="preserve"> </w:t>
      </w:r>
    </w:p>
    <w:p w14:paraId="4C4DD4E8" w14:textId="3026E31A"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van Nieuwenhuizen, A., Hudson, K., Chen, X., &amp; Hwong, A. R. (2021). The effects of climate change on child and adolescent mental health: Clinical considerations. </w:t>
      </w:r>
      <w:r w:rsidRPr="008C797A">
        <w:rPr>
          <w:rFonts w:ascii="Times New Roman" w:eastAsia="Times New Roman" w:hAnsi="Times New Roman" w:cs="Times New Roman"/>
          <w:i/>
          <w:iCs/>
          <w:kern w:val="0"/>
          <w:sz w:val="16"/>
          <w:szCs w:val="16"/>
          <w:lang w:val="en-RS" w:eastAsia="en-GB"/>
          <w14:ligatures w14:val="none"/>
        </w:rPr>
        <w:t>Current Psychiatry Reports, 23</w:t>
      </w:r>
      <w:r w:rsidR="004F3208" w:rsidRPr="008C797A">
        <w:rPr>
          <w:rFonts w:ascii="Times New Roman" w:eastAsia="Times New Roman" w:hAnsi="Times New Roman" w:cs="Times New Roman"/>
          <w:kern w:val="0"/>
          <w:sz w:val="16"/>
          <w:szCs w:val="16"/>
          <w:lang w:val="en-RS" w:eastAsia="en-GB"/>
          <w14:ligatures w14:val="none"/>
        </w:rPr>
        <w:t xml:space="preserve">: </w:t>
      </w:r>
      <w:r w:rsidR="004F3208" w:rsidRPr="008C797A">
        <w:rPr>
          <w:rFonts w:ascii="Times New Roman" w:eastAsia="Times New Roman" w:hAnsi="Times New Roman" w:cs="Times New Roman"/>
          <w:i/>
          <w:iCs/>
          <w:kern w:val="0"/>
          <w:sz w:val="16"/>
          <w:szCs w:val="16"/>
          <w:lang w:val="en-RS" w:eastAsia="en-GB"/>
          <w14:ligatures w14:val="none"/>
        </w:rPr>
        <w:t>88</w:t>
      </w:r>
      <w:r w:rsidRPr="008C797A">
        <w:rPr>
          <w:rFonts w:ascii="Times New Roman" w:eastAsia="Times New Roman" w:hAnsi="Times New Roman" w:cs="Times New Roman"/>
          <w:i/>
          <w:iCs/>
          <w:kern w:val="0"/>
          <w:sz w:val="16"/>
          <w:szCs w:val="16"/>
          <w:lang w:val="en-RS" w:eastAsia="en-GB"/>
          <w14:ligatures w14:val="none"/>
        </w:rPr>
        <w:t>.</w:t>
      </w:r>
      <w:r w:rsidRPr="00015ECB">
        <w:rPr>
          <w:rFonts w:ascii="Times New Roman" w:eastAsia="Times New Roman" w:hAnsi="Times New Roman" w:cs="Times New Roman"/>
          <w:kern w:val="0"/>
          <w:sz w:val="16"/>
          <w:szCs w:val="16"/>
          <w:lang w:val="en-RS" w:eastAsia="en-GB"/>
          <w14:ligatures w14:val="none"/>
        </w:rPr>
        <w:t> </w:t>
      </w:r>
      <w:hyperlink r:id="rId243" w:history="1">
        <w:r w:rsidR="004F3208" w:rsidRPr="00015ECB">
          <w:rPr>
            <w:rStyle w:val="Hyperlink"/>
            <w:rFonts w:ascii="Times New Roman" w:hAnsi="Times New Roman" w:cs="Times New Roman"/>
            <w:kern w:val="0"/>
            <w:sz w:val="16"/>
            <w:szCs w:val="16"/>
          </w:rPr>
          <w:t>https://doi.org/10.1007/s11920-021-01296-y</w:t>
        </w:r>
      </w:hyperlink>
      <w:r w:rsidR="004F3208" w:rsidRPr="00015ECB">
        <w:rPr>
          <w:rFonts w:ascii="Times New Roman" w:hAnsi="Times New Roman" w:cs="Times New Roman"/>
          <w:kern w:val="0"/>
          <w:sz w:val="16"/>
          <w:szCs w:val="16"/>
        </w:rPr>
        <w:t xml:space="preserve"> </w:t>
      </w:r>
    </w:p>
    <w:p w14:paraId="2C5D3E45" w14:textId="77777777" w:rsidR="004F3208"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Vold, L., Wallar, L., &amp; Papadopoulos, A. (2022). An evolution in health professional education: The ecological determinants of health. </w:t>
      </w:r>
      <w:r w:rsidRPr="008C797A">
        <w:rPr>
          <w:rFonts w:ascii="Times New Roman" w:eastAsia="Times New Roman" w:hAnsi="Times New Roman" w:cs="Times New Roman"/>
          <w:i/>
          <w:iCs/>
          <w:kern w:val="0"/>
          <w:sz w:val="16"/>
          <w:szCs w:val="16"/>
          <w:lang w:val="en-RS" w:eastAsia="en-GB"/>
          <w14:ligatures w14:val="none"/>
        </w:rPr>
        <w:t xml:space="preserve">International Journal of Health Promotion and Education, </w:t>
      </w:r>
      <w:r w:rsidR="004F3208" w:rsidRPr="008C797A">
        <w:rPr>
          <w:rFonts w:ascii="Times New Roman" w:eastAsia="Times New Roman" w:hAnsi="Times New Roman" w:cs="Times New Roman"/>
          <w:i/>
          <w:iCs/>
          <w:kern w:val="0"/>
          <w:sz w:val="16"/>
          <w:szCs w:val="16"/>
          <w:lang w:eastAsia="en-GB"/>
          <w14:ligatures w14:val="none"/>
        </w:rPr>
        <w:t xml:space="preserve">60(2): </w:t>
      </w:r>
      <w:r w:rsidR="004F3208" w:rsidRPr="008C797A">
        <w:rPr>
          <w:rFonts w:ascii="Times New Roman" w:eastAsia="Times New Roman" w:hAnsi="Times New Roman" w:cs="Times New Roman"/>
          <w:kern w:val="0"/>
          <w:sz w:val="16"/>
          <w:szCs w:val="16"/>
          <w:lang w:eastAsia="en-GB"/>
          <w14:ligatures w14:val="none"/>
        </w:rPr>
        <w:t xml:space="preserve">102-113, </w:t>
      </w:r>
      <w:hyperlink r:id="rId244" w:history="1">
        <w:r w:rsidR="004F3208" w:rsidRPr="008C797A">
          <w:rPr>
            <w:rStyle w:val="Hyperlink"/>
            <w:rFonts w:ascii="Times New Roman" w:eastAsia="Times New Roman" w:hAnsi="Times New Roman" w:cs="Times New Roman"/>
            <w:kern w:val="0"/>
            <w:sz w:val="16"/>
            <w:szCs w:val="16"/>
            <w:lang w:eastAsia="en-GB"/>
            <w14:ligatures w14:val="none"/>
          </w:rPr>
          <w:t>https://doi.org/10.1080/14635240.2020.1780930</w:t>
        </w:r>
      </w:hyperlink>
      <w:r w:rsidR="004F3208" w:rsidRPr="008C797A">
        <w:rPr>
          <w:rFonts w:ascii="Times New Roman" w:eastAsia="Times New Roman" w:hAnsi="Times New Roman" w:cs="Times New Roman"/>
          <w:kern w:val="0"/>
          <w:sz w:val="16"/>
          <w:szCs w:val="16"/>
          <w:lang w:eastAsia="en-GB"/>
          <w14:ligatures w14:val="none"/>
        </w:rPr>
        <w:t xml:space="preserve"> </w:t>
      </w:r>
    </w:p>
    <w:p w14:paraId="7D0A2177" w14:textId="74FA32FC" w:rsidR="00C41A1D"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 xml:space="preserve">Wang, W., Li, J., Liu, Y., Ye, P., Xu, C., Yin, P., </w:t>
      </w:r>
      <w:r w:rsidR="004F3208" w:rsidRPr="008C797A">
        <w:rPr>
          <w:rFonts w:ascii="Times New Roman" w:eastAsia="Times New Roman" w:hAnsi="Times New Roman" w:cs="Times New Roman"/>
          <w:kern w:val="0"/>
          <w:sz w:val="16"/>
          <w:szCs w:val="16"/>
          <w:lang w:val="en-RS" w:eastAsia="en-GB"/>
          <w14:ligatures w14:val="none"/>
        </w:rPr>
        <w:t>et al.</w:t>
      </w:r>
      <w:r w:rsidRPr="008C797A">
        <w:rPr>
          <w:rFonts w:ascii="Times New Roman" w:eastAsia="Times New Roman" w:hAnsi="Times New Roman" w:cs="Times New Roman"/>
          <w:kern w:val="0"/>
          <w:sz w:val="16"/>
          <w:szCs w:val="16"/>
          <w:lang w:val="en-RS" w:eastAsia="en-GB"/>
          <w14:ligatures w14:val="none"/>
        </w:rPr>
        <w:t xml:space="preserve"> (2022). Spatiotemporal trends and ecological determinants of cardiovascular mortality among 2,844 counties in mainland China, 2006–2020: A Bayesian modeling study of national mortality registries. </w:t>
      </w:r>
      <w:r w:rsidRPr="008C797A">
        <w:rPr>
          <w:rFonts w:ascii="Times New Roman" w:eastAsia="Times New Roman" w:hAnsi="Times New Roman" w:cs="Times New Roman"/>
          <w:i/>
          <w:iCs/>
          <w:kern w:val="0"/>
          <w:sz w:val="16"/>
          <w:szCs w:val="16"/>
          <w:lang w:val="en-RS" w:eastAsia="en-GB"/>
          <w14:ligatures w14:val="none"/>
        </w:rPr>
        <w:t xml:space="preserve">BMC Medicine, </w:t>
      </w:r>
      <w:r w:rsidR="004F3208" w:rsidRPr="008C797A">
        <w:rPr>
          <w:rFonts w:ascii="Times New Roman" w:hAnsi="Times New Roman" w:cs="Times New Roman"/>
          <w:i/>
          <w:iCs/>
          <w:kern w:val="0"/>
          <w:sz w:val="16"/>
          <w:szCs w:val="16"/>
        </w:rPr>
        <w:t>20:</w:t>
      </w:r>
      <w:r w:rsidR="004F3208" w:rsidRPr="008C797A">
        <w:rPr>
          <w:rFonts w:ascii="Times New Roman" w:hAnsi="Times New Roman" w:cs="Times New Roman"/>
          <w:kern w:val="0"/>
          <w:sz w:val="16"/>
          <w:szCs w:val="16"/>
        </w:rPr>
        <w:t xml:space="preserve">467. </w:t>
      </w:r>
      <w:hyperlink r:id="rId245" w:history="1">
        <w:r w:rsidR="004F3208" w:rsidRPr="008C797A">
          <w:rPr>
            <w:rStyle w:val="Hyperlink"/>
            <w:rFonts w:ascii="Times New Roman" w:hAnsi="Times New Roman" w:cs="Times New Roman"/>
            <w:kern w:val="0"/>
            <w:sz w:val="16"/>
            <w:szCs w:val="16"/>
          </w:rPr>
          <w:t>https://doi.org/10.1186/s12916-022-02613-9</w:t>
        </w:r>
      </w:hyperlink>
      <w:r w:rsidR="004F3208" w:rsidRPr="008C797A">
        <w:rPr>
          <w:rFonts w:ascii="Times New Roman" w:hAnsi="Times New Roman" w:cs="Times New Roman"/>
          <w:kern w:val="0"/>
          <w:sz w:val="16"/>
          <w:szCs w:val="16"/>
        </w:rPr>
        <w:t xml:space="preserve"> </w:t>
      </w:r>
    </w:p>
    <w:p w14:paraId="7CDD37C9" w14:textId="77777777" w:rsidR="007C3046" w:rsidRPr="008C797A" w:rsidRDefault="007C3046"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lastRenderedPageBreak/>
        <w:t>Wei, C.-Y., Wang, J.-K., Shih, H.-C., Wang, H.-C., &amp; Kuo, C.-C. (2020). Invasive plants facilitated by socioeconomic change harbor vectors of scrub typhus and spotted fever. </w:t>
      </w:r>
      <w:r w:rsidRPr="008C797A">
        <w:rPr>
          <w:rFonts w:ascii="Times New Roman" w:eastAsia="Times New Roman" w:hAnsi="Times New Roman" w:cs="Times New Roman"/>
          <w:i/>
          <w:iCs/>
          <w:kern w:val="0"/>
          <w:sz w:val="16"/>
          <w:szCs w:val="16"/>
          <w:lang w:val="en-RS" w:eastAsia="en-GB"/>
          <w14:ligatures w14:val="none"/>
        </w:rPr>
        <w:t xml:space="preserve">PLOS Neglected Tropical Diseases, </w:t>
      </w:r>
      <w:r w:rsidRPr="008C797A">
        <w:rPr>
          <w:rFonts w:ascii="Times New Roman" w:hAnsi="Times New Roman" w:cs="Times New Roman"/>
          <w:i/>
          <w:iCs/>
          <w:color w:val="000000"/>
          <w:kern w:val="0"/>
          <w:sz w:val="16"/>
          <w:szCs w:val="16"/>
        </w:rPr>
        <w:t xml:space="preserve">14(1): </w:t>
      </w:r>
      <w:r w:rsidRPr="008C797A">
        <w:rPr>
          <w:rFonts w:ascii="Times New Roman" w:hAnsi="Times New Roman" w:cs="Times New Roman"/>
          <w:color w:val="000000"/>
          <w:kern w:val="0"/>
          <w:sz w:val="16"/>
          <w:szCs w:val="16"/>
        </w:rPr>
        <w:t>e0007519.</w:t>
      </w:r>
      <w:r w:rsidRPr="008C797A">
        <w:rPr>
          <w:rFonts w:ascii="Times New Roman" w:hAnsi="Times New Roman" w:cs="Times New Roman"/>
          <w:i/>
          <w:iCs/>
          <w:color w:val="000000"/>
          <w:kern w:val="0"/>
          <w:sz w:val="16"/>
          <w:szCs w:val="16"/>
        </w:rPr>
        <w:t xml:space="preserve"> </w:t>
      </w:r>
      <w:hyperlink r:id="rId246" w:history="1">
        <w:r w:rsidRPr="008C797A">
          <w:rPr>
            <w:rStyle w:val="Hyperlink"/>
            <w:rFonts w:ascii="Times New Roman" w:hAnsi="Times New Roman" w:cs="Times New Roman"/>
            <w:kern w:val="0"/>
            <w:sz w:val="16"/>
            <w:szCs w:val="16"/>
          </w:rPr>
          <w:t>https://doi.org/10.1371/journal.pntd.0007519</w:t>
        </w:r>
      </w:hyperlink>
      <w:r w:rsidRPr="008C797A">
        <w:rPr>
          <w:rFonts w:ascii="Times New Roman" w:hAnsi="Times New Roman" w:cs="Times New Roman"/>
          <w:i/>
          <w:iCs/>
          <w:color w:val="2C5CFB"/>
          <w:kern w:val="0"/>
          <w:sz w:val="16"/>
          <w:szCs w:val="16"/>
        </w:rPr>
        <w:t xml:space="preserve"> </w:t>
      </w:r>
    </w:p>
    <w:p w14:paraId="47C03B0C" w14:textId="77777777" w:rsidR="008C797A"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Weiss, H. B. (2012). Adolescent health and ecological determinants. </w:t>
      </w:r>
      <w:r w:rsidRPr="008C797A">
        <w:rPr>
          <w:rFonts w:ascii="Times New Roman" w:eastAsia="Times New Roman" w:hAnsi="Times New Roman" w:cs="Times New Roman"/>
          <w:i/>
          <w:iCs/>
          <w:kern w:val="0"/>
          <w:sz w:val="16"/>
          <w:szCs w:val="16"/>
          <w:lang w:val="en-RS" w:eastAsia="en-GB"/>
          <w14:ligatures w14:val="none"/>
        </w:rPr>
        <w:t>The Lancet, 380</w:t>
      </w:r>
      <w:r w:rsidR="004F3208" w:rsidRPr="008C797A">
        <w:rPr>
          <w:rFonts w:ascii="Times New Roman" w:eastAsia="Times New Roman" w:hAnsi="Times New Roman" w:cs="Times New Roman"/>
          <w:kern w:val="0"/>
          <w:sz w:val="16"/>
          <w:szCs w:val="16"/>
          <w:lang w:val="en-RS" w:eastAsia="en-GB"/>
          <w14:ligatures w14:val="none"/>
        </w:rPr>
        <w:t xml:space="preserve">: 645 </w:t>
      </w:r>
    </w:p>
    <w:p w14:paraId="2B20763F" w14:textId="5D66274B" w:rsidR="00764470" w:rsidRPr="008C797A" w:rsidRDefault="00764470" w:rsidP="00D5752B">
      <w:pPr>
        <w:pStyle w:val="ListParagraph"/>
        <w:numPr>
          <w:ilvl w:val="0"/>
          <w:numId w:val="46"/>
        </w:numPr>
        <w:spacing w:before="100" w:beforeAutospacing="1" w:after="100" w:afterAutospacing="1" w:line="240" w:lineRule="auto"/>
        <w:rPr>
          <w:rFonts w:ascii="Times New Roman" w:eastAsia="Times New Roman" w:hAnsi="Times New Roman" w:cs="Times New Roman"/>
          <w:kern w:val="0"/>
          <w:sz w:val="16"/>
          <w:szCs w:val="16"/>
          <w:lang w:val="en-RS" w:eastAsia="en-GB"/>
          <w14:ligatures w14:val="none"/>
        </w:rPr>
      </w:pPr>
      <w:r w:rsidRPr="008C797A">
        <w:rPr>
          <w:rFonts w:ascii="Times New Roman" w:eastAsia="Times New Roman" w:hAnsi="Times New Roman" w:cs="Times New Roman"/>
          <w:kern w:val="0"/>
          <w:sz w:val="16"/>
          <w:szCs w:val="16"/>
          <w:lang w:val="en-RS" w:eastAsia="en-GB"/>
          <w14:ligatures w14:val="none"/>
        </w:rPr>
        <w:t>Wood, B., &amp; Sacks, G. (2023). The influence of share buybacks on ill-health and health inequity: An exploratory analysis using a socio-ecological determinants of health lens. </w:t>
      </w:r>
      <w:r w:rsidRPr="008C797A">
        <w:rPr>
          <w:rFonts w:ascii="Times New Roman" w:eastAsia="Times New Roman" w:hAnsi="Times New Roman" w:cs="Times New Roman"/>
          <w:i/>
          <w:iCs/>
          <w:kern w:val="0"/>
          <w:sz w:val="16"/>
          <w:szCs w:val="16"/>
          <w:lang w:val="en-RS" w:eastAsia="en-GB"/>
          <w14:ligatures w14:val="none"/>
        </w:rPr>
        <w:t xml:space="preserve">Globalization and Health, </w:t>
      </w:r>
      <w:r w:rsidR="008C797A" w:rsidRPr="008C797A">
        <w:rPr>
          <w:rFonts w:ascii="Times New Roman" w:hAnsi="Times New Roman" w:cs="Times New Roman"/>
          <w:i/>
          <w:iCs/>
          <w:kern w:val="0"/>
          <w:sz w:val="16"/>
          <w:szCs w:val="16"/>
        </w:rPr>
        <w:t>19:</w:t>
      </w:r>
      <w:r w:rsidR="008C797A" w:rsidRPr="008C797A">
        <w:rPr>
          <w:rFonts w:ascii="Times New Roman" w:hAnsi="Times New Roman" w:cs="Times New Roman"/>
          <w:kern w:val="0"/>
          <w:sz w:val="16"/>
          <w:szCs w:val="16"/>
        </w:rPr>
        <w:t xml:space="preserve">3. </w:t>
      </w:r>
      <w:hyperlink r:id="rId247" w:history="1">
        <w:r w:rsidR="008C797A" w:rsidRPr="008C797A">
          <w:rPr>
            <w:rStyle w:val="Hyperlink"/>
            <w:rFonts w:ascii="Times New Roman" w:hAnsi="Times New Roman" w:cs="Times New Roman"/>
            <w:kern w:val="0"/>
            <w:sz w:val="16"/>
            <w:szCs w:val="16"/>
          </w:rPr>
          <w:t>https://doi.org/10.1186/s12992-023-00905-0</w:t>
        </w:r>
      </w:hyperlink>
      <w:r w:rsidR="008C797A" w:rsidRPr="008C797A">
        <w:rPr>
          <w:rFonts w:ascii="Times New Roman" w:hAnsi="Times New Roman" w:cs="Times New Roman"/>
          <w:kern w:val="0"/>
          <w:sz w:val="16"/>
          <w:szCs w:val="16"/>
        </w:rPr>
        <w:t xml:space="preserve"> </w:t>
      </w:r>
    </w:p>
    <w:p w14:paraId="634EE4D8" w14:textId="77777777" w:rsidR="006F382B" w:rsidRPr="006F382B" w:rsidRDefault="006F382B" w:rsidP="006F382B">
      <w:pPr>
        <w:spacing w:line="240" w:lineRule="auto"/>
        <w:rPr>
          <w:rFonts w:ascii="Times New Roman" w:hAnsi="Times New Roman" w:cs="Times New Roman"/>
          <w:sz w:val="16"/>
          <w:szCs w:val="16"/>
          <w:lang w:val="da-DK"/>
        </w:rPr>
      </w:pPr>
    </w:p>
    <w:p w14:paraId="64AE27A8" w14:textId="478A0DEC" w:rsidR="006F382B" w:rsidRPr="006F382B" w:rsidRDefault="00225F0B" w:rsidP="006F382B">
      <w:pPr>
        <w:spacing w:line="240" w:lineRule="auto"/>
        <w:rPr>
          <w:rFonts w:ascii="Times New Roman" w:hAnsi="Times New Roman" w:cs="Times New Roman"/>
          <w:b/>
          <w:bCs/>
          <w:sz w:val="16"/>
          <w:szCs w:val="16"/>
          <w:lang w:val="da-DK"/>
        </w:rPr>
      </w:pPr>
      <w:r>
        <w:rPr>
          <w:rFonts w:ascii="Times New Roman" w:hAnsi="Times New Roman" w:cs="Times New Roman"/>
          <w:b/>
          <w:bCs/>
          <w:sz w:val="16"/>
          <w:szCs w:val="16"/>
          <w:lang w:val="da-DK"/>
        </w:rPr>
        <w:t>O</w:t>
      </w:r>
      <w:r w:rsidR="006F382B" w:rsidRPr="006F382B">
        <w:rPr>
          <w:rFonts w:ascii="Times New Roman" w:hAnsi="Times New Roman" w:cs="Times New Roman"/>
          <w:b/>
          <w:bCs/>
          <w:sz w:val="16"/>
          <w:szCs w:val="16"/>
          <w:lang w:val="da-DK"/>
        </w:rPr>
        <w:t xml:space="preserve">ther </w:t>
      </w:r>
      <w:r>
        <w:rPr>
          <w:rFonts w:ascii="Times New Roman" w:hAnsi="Times New Roman" w:cs="Times New Roman"/>
          <w:b/>
          <w:bCs/>
          <w:sz w:val="16"/>
          <w:szCs w:val="16"/>
          <w:lang w:val="da-DK"/>
        </w:rPr>
        <w:t>S</w:t>
      </w:r>
      <w:r w:rsidR="006F382B" w:rsidRPr="006F382B">
        <w:rPr>
          <w:rFonts w:ascii="Times New Roman" w:hAnsi="Times New Roman" w:cs="Times New Roman"/>
          <w:b/>
          <w:bCs/>
          <w:sz w:val="16"/>
          <w:szCs w:val="16"/>
          <w:lang w:val="da-DK"/>
        </w:rPr>
        <w:t>ources</w:t>
      </w:r>
    </w:p>
    <w:p w14:paraId="5ADD3070" w14:textId="03AE6096" w:rsidR="00B54869" w:rsidRDefault="00B54869" w:rsidP="00B54869">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Gibbons, R. J., &amp; van Houte, J. (1971). Selective bacterial adherence to oral epithelial surfaces and its role as an ecological determinant. </w:t>
      </w:r>
      <w:r w:rsidRPr="00B54869">
        <w:rPr>
          <w:rFonts w:ascii="Times New Roman" w:hAnsi="Times New Roman" w:cs="Times New Roman"/>
          <w:i/>
          <w:iCs/>
          <w:sz w:val="16"/>
          <w:szCs w:val="16"/>
          <w:lang w:val="en-RS"/>
        </w:rPr>
        <w:t>Infection and Immunity, 3</w:t>
      </w:r>
      <w:r w:rsidRPr="00B54869">
        <w:rPr>
          <w:rFonts w:ascii="Times New Roman" w:hAnsi="Times New Roman" w:cs="Times New Roman"/>
          <w:sz w:val="16"/>
          <w:szCs w:val="16"/>
          <w:lang w:val="en-RS"/>
        </w:rPr>
        <w:t>(4)</w:t>
      </w:r>
      <w:r w:rsidR="00A620D6">
        <w:rPr>
          <w:rFonts w:ascii="Times New Roman" w:hAnsi="Times New Roman" w:cs="Times New Roman"/>
          <w:sz w:val="16"/>
          <w:szCs w:val="16"/>
          <w:lang w:val="en-RS"/>
        </w:rPr>
        <w:t xml:space="preserve">: </w:t>
      </w:r>
      <w:r w:rsidRPr="00B54869">
        <w:rPr>
          <w:rFonts w:ascii="Times New Roman" w:hAnsi="Times New Roman" w:cs="Times New Roman"/>
          <w:sz w:val="16"/>
          <w:szCs w:val="16"/>
          <w:lang w:val="en-RS"/>
        </w:rPr>
        <w:t>567–573.</w:t>
      </w:r>
      <w:r w:rsidR="00256ACF">
        <w:rPr>
          <w:rFonts w:ascii="Times New Roman" w:hAnsi="Times New Roman" w:cs="Times New Roman"/>
          <w:sz w:val="16"/>
          <w:szCs w:val="16"/>
          <w:lang w:val="en-RS"/>
        </w:rPr>
        <w:t xml:space="preserve"> </w:t>
      </w:r>
    </w:p>
    <w:p w14:paraId="3EF46065" w14:textId="1AF1FD8A" w:rsidR="00256ACF" w:rsidRDefault="00B54869" w:rsidP="00256ACF">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Haldane, V., Cooper Reed, A., Toccalino, D., Shan, Y., Berry, I., &amp; Sue</w:t>
      </w:r>
      <w:r w:rsidRPr="00B54869">
        <w:rPr>
          <w:rFonts w:ascii="Times New Roman" w:hAnsi="Times New Roman" w:cs="Times New Roman"/>
          <w:sz w:val="16"/>
          <w:szCs w:val="16"/>
          <w:lang w:val="en-RS"/>
        </w:rPr>
        <w:noBreakHyphen/>
        <w:t>Chue</w:t>
      </w:r>
      <w:r w:rsidRPr="00B54869">
        <w:rPr>
          <w:rFonts w:ascii="Times New Roman" w:hAnsi="Times New Roman" w:cs="Times New Roman"/>
          <w:sz w:val="16"/>
          <w:szCs w:val="16"/>
          <w:lang w:val="en-RS"/>
        </w:rPr>
        <w:noBreakHyphen/>
        <w:t>Lam, C. (2021). A call for mandatory planetary health education in public health and health services research programs. </w:t>
      </w:r>
      <w:r w:rsidRPr="00B54869">
        <w:rPr>
          <w:rFonts w:ascii="Times New Roman" w:hAnsi="Times New Roman" w:cs="Times New Roman"/>
          <w:i/>
          <w:iCs/>
          <w:sz w:val="16"/>
          <w:szCs w:val="16"/>
          <w:lang w:val="en-RS"/>
        </w:rPr>
        <w:t>University of Toronto Journal of Public Health, 2</w:t>
      </w:r>
      <w:r w:rsidRPr="00B54869">
        <w:rPr>
          <w:rFonts w:ascii="Times New Roman" w:hAnsi="Times New Roman" w:cs="Times New Roman"/>
          <w:sz w:val="16"/>
          <w:szCs w:val="16"/>
          <w:lang w:val="en-RS"/>
        </w:rPr>
        <w:t>(1), Article 34761. </w:t>
      </w:r>
      <w:hyperlink r:id="rId248" w:history="1">
        <w:r w:rsidR="00B8224A" w:rsidRPr="00341C23">
          <w:rPr>
            <w:rStyle w:val="Hyperlink"/>
            <w:rFonts w:ascii="Times New Roman" w:hAnsi="Times New Roman" w:cs="Times New Roman"/>
            <w:sz w:val="16"/>
            <w:szCs w:val="16"/>
            <w:lang w:val="en-RS"/>
          </w:rPr>
          <w:t>https://doi.org/10.33137/utjph.v2i1.34761</w:t>
        </w:r>
      </w:hyperlink>
      <w:r w:rsidR="00B8224A">
        <w:rPr>
          <w:rFonts w:ascii="Times New Roman" w:hAnsi="Times New Roman" w:cs="Times New Roman"/>
          <w:sz w:val="16"/>
          <w:szCs w:val="16"/>
          <w:lang w:val="en-RS"/>
        </w:rPr>
        <w:t xml:space="preserve"> </w:t>
      </w:r>
    </w:p>
    <w:p w14:paraId="27ED9E96" w14:textId="7F39A92C" w:rsidR="00256ACF" w:rsidRDefault="00B54869" w:rsidP="00256ACF">
      <w:pPr>
        <w:numPr>
          <w:ilvl w:val="0"/>
          <w:numId w:val="23"/>
        </w:numPr>
        <w:spacing w:line="240" w:lineRule="auto"/>
        <w:rPr>
          <w:rFonts w:ascii="Times New Roman" w:hAnsi="Times New Roman" w:cs="Times New Roman"/>
          <w:sz w:val="16"/>
          <w:szCs w:val="16"/>
          <w:lang w:val="en-RS"/>
        </w:rPr>
      </w:pPr>
      <w:r w:rsidRPr="00256ACF">
        <w:rPr>
          <w:rFonts w:ascii="Times New Roman" w:hAnsi="Times New Roman" w:cs="Times New Roman"/>
          <w:sz w:val="16"/>
          <w:szCs w:val="16"/>
          <w:lang w:val="en-RS"/>
        </w:rPr>
        <w:t>Jenkins, A. P., Ratu, A., Tu’itahi, S., Naivalulevu, T., Wilson, D., Moewaka Barnes, H., et al. (2025). Healthy Islands at 30: Revitalising an ecological framework for planetary health. </w:t>
      </w:r>
      <w:r w:rsidRPr="00256ACF">
        <w:rPr>
          <w:rFonts w:ascii="Times New Roman" w:hAnsi="Times New Roman" w:cs="Times New Roman"/>
          <w:i/>
          <w:iCs/>
          <w:sz w:val="16"/>
          <w:szCs w:val="16"/>
          <w:lang w:val="en-RS"/>
        </w:rPr>
        <w:t>The Lancet Planetary Health</w:t>
      </w:r>
      <w:r w:rsidRPr="00256ACF">
        <w:rPr>
          <w:rFonts w:ascii="Times New Roman" w:hAnsi="Times New Roman" w:cs="Times New Roman"/>
          <w:sz w:val="16"/>
          <w:szCs w:val="16"/>
          <w:lang w:val="en-RS"/>
        </w:rPr>
        <w:t>, e101381. </w:t>
      </w:r>
      <w:r w:rsidR="00256ACF" w:rsidRPr="00256ACF">
        <w:rPr>
          <w:rFonts w:ascii="Times New Roman" w:hAnsi="Times New Roman" w:cs="Times New Roman"/>
          <w:color w:val="000000"/>
          <w:kern w:val="0"/>
          <w:sz w:val="16"/>
          <w:szCs w:val="16"/>
        </w:rPr>
        <w:t>https://doi.org/10.1016/ j.lanplh.2025.101381</w:t>
      </w:r>
      <w:r w:rsidR="00B8224A">
        <w:rPr>
          <w:rFonts w:ascii="Times New Roman" w:hAnsi="Times New Roman" w:cs="Times New Roman"/>
          <w:color w:val="000000"/>
          <w:kern w:val="0"/>
          <w:sz w:val="16"/>
          <w:szCs w:val="16"/>
        </w:rPr>
        <w:t xml:space="preserve"> </w:t>
      </w:r>
      <w:r w:rsidR="00256ACF">
        <w:rPr>
          <w:rFonts w:ascii="Times New Roman" w:hAnsi="Times New Roman" w:cs="Times New Roman"/>
          <w:color w:val="000000"/>
          <w:kern w:val="0"/>
          <w:sz w:val="16"/>
          <w:szCs w:val="16"/>
        </w:rPr>
        <w:t xml:space="preserve"> </w:t>
      </w:r>
    </w:p>
    <w:p w14:paraId="476BB0A9" w14:textId="2F2E4ECE" w:rsidR="00B54869" w:rsidRPr="00256ACF" w:rsidRDefault="00B54869" w:rsidP="00256ACF">
      <w:pPr>
        <w:numPr>
          <w:ilvl w:val="0"/>
          <w:numId w:val="23"/>
        </w:numPr>
        <w:spacing w:line="240" w:lineRule="auto"/>
        <w:rPr>
          <w:rFonts w:ascii="Times New Roman" w:hAnsi="Times New Roman" w:cs="Times New Roman"/>
          <w:sz w:val="16"/>
          <w:szCs w:val="16"/>
          <w:lang w:val="en-RS"/>
        </w:rPr>
      </w:pPr>
      <w:r w:rsidRPr="00256ACF">
        <w:rPr>
          <w:rFonts w:ascii="Times New Roman" w:hAnsi="Times New Roman" w:cs="Times New Roman"/>
          <w:sz w:val="16"/>
          <w:szCs w:val="16"/>
          <w:lang w:val="en-RS"/>
        </w:rPr>
        <w:t>Leimbigler, B., Li, E. P. H., Rush, K. L., et al. (2023). Response to Buse et al.’s letter to the editor. </w:t>
      </w:r>
      <w:r w:rsidRPr="00256ACF">
        <w:rPr>
          <w:rFonts w:ascii="Times New Roman" w:hAnsi="Times New Roman" w:cs="Times New Roman"/>
          <w:i/>
          <w:iCs/>
          <w:sz w:val="16"/>
          <w:szCs w:val="16"/>
          <w:lang w:val="en-RS"/>
        </w:rPr>
        <w:t>Canadian Journal of Public Health, 114</w:t>
      </w:r>
      <w:r w:rsidR="00A620D6">
        <w:rPr>
          <w:rFonts w:ascii="Times New Roman" w:hAnsi="Times New Roman" w:cs="Times New Roman"/>
          <w:sz w:val="16"/>
          <w:szCs w:val="16"/>
          <w:lang w:val="en-RS"/>
        </w:rPr>
        <w:t xml:space="preserve">: </w:t>
      </w:r>
      <w:r w:rsidRPr="00256ACF">
        <w:rPr>
          <w:rFonts w:ascii="Times New Roman" w:hAnsi="Times New Roman" w:cs="Times New Roman"/>
          <w:sz w:val="16"/>
          <w:szCs w:val="16"/>
          <w:lang w:val="en-RS"/>
        </w:rPr>
        <w:t>154–155. </w:t>
      </w:r>
      <w:hyperlink r:id="rId249" w:history="1">
        <w:r w:rsidR="00256ACF" w:rsidRPr="00256ACF">
          <w:rPr>
            <w:rStyle w:val="Hyperlink"/>
            <w:rFonts w:ascii="Times New Roman" w:hAnsi="Times New Roman" w:cs="Times New Roman"/>
            <w:kern w:val="0"/>
            <w:sz w:val="17"/>
            <w:szCs w:val="17"/>
          </w:rPr>
          <w:t>https://doi.org/10.17269/s41997-022-00731-8</w:t>
        </w:r>
      </w:hyperlink>
      <w:r w:rsidR="00256ACF" w:rsidRPr="00256ACF">
        <w:rPr>
          <w:rFonts w:ascii="Times New Roman" w:hAnsi="Times New Roman" w:cs="Times New Roman"/>
          <w:kern w:val="0"/>
          <w:sz w:val="17"/>
          <w:szCs w:val="17"/>
        </w:rPr>
        <w:t xml:space="preserve"> </w:t>
      </w:r>
    </w:p>
    <w:p w14:paraId="55DB757D" w14:textId="6D54A2E8" w:rsidR="00B54869" w:rsidRDefault="00B54869" w:rsidP="00A620D6">
      <w:pPr>
        <w:numPr>
          <w:ilvl w:val="0"/>
          <w:numId w:val="23"/>
        </w:numPr>
        <w:spacing w:line="240" w:lineRule="auto"/>
        <w:rPr>
          <w:rFonts w:ascii="Times New Roman" w:hAnsi="Times New Roman" w:cs="Times New Roman"/>
          <w:sz w:val="16"/>
          <w:szCs w:val="16"/>
          <w:lang w:val="en-RS"/>
        </w:rPr>
      </w:pPr>
      <w:r w:rsidRPr="00256ACF">
        <w:rPr>
          <w:rFonts w:ascii="Times New Roman" w:hAnsi="Times New Roman" w:cs="Times New Roman"/>
          <w:sz w:val="16"/>
          <w:szCs w:val="16"/>
          <w:lang w:val="en-RS"/>
        </w:rPr>
        <w:t xml:space="preserve">Lisitza, T. </w:t>
      </w:r>
      <w:r w:rsidR="00157795">
        <w:rPr>
          <w:rFonts w:ascii="Times New Roman" w:hAnsi="Times New Roman" w:cs="Times New Roman"/>
          <w:sz w:val="16"/>
          <w:szCs w:val="16"/>
          <w:lang w:val="en-RS"/>
        </w:rPr>
        <w:t xml:space="preserve">&amp; Wolbring, G. </w:t>
      </w:r>
      <w:r w:rsidRPr="00256ACF">
        <w:rPr>
          <w:rFonts w:ascii="Times New Roman" w:hAnsi="Times New Roman" w:cs="Times New Roman"/>
          <w:sz w:val="16"/>
          <w:szCs w:val="16"/>
          <w:lang w:val="en-RS"/>
        </w:rPr>
        <w:t>(2018). EcoHealth and the determinants</w:t>
      </w:r>
      <w:r w:rsidRPr="00B54869">
        <w:rPr>
          <w:rFonts w:ascii="Times New Roman" w:hAnsi="Times New Roman" w:cs="Times New Roman"/>
          <w:sz w:val="16"/>
          <w:szCs w:val="16"/>
          <w:lang w:val="en-RS"/>
        </w:rPr>
        <w:t xml:space="preserve"> of health: Perspectives of a small subset of Canadian academics in the EcoHealth community. </w:t>
      </w:r>
      <w:r w:rsidRPr="00B54869">
        <w:rPr>
          <w:rFonts w:ascii="Times New Roman" w:hAnsi="Times New Roman" w:cs="Times New Roman"/>
          <w:i/>
          <w:iCs/>
          <w:sz w:val="16"/>
          <w:szCs w:val="16"/>
          <w:lang w:val="en-RS"/>
        </w:rPr>
        <w:t xml:space="preserve">International Journal of Environmental Research and Public Health, </w:t>
      </w:r>
      <w:r w:rsidR="00256ACF">
        <w:rPr>
          <w:rFonts w:ascii="Times New Roman" w:hAnsi="Times New Roman" w:cs="Times New Roman"/>
          <w:i/>
          <w:iCs/>
          <w:kern w:val="0"/>
          <w:sz w:val="16"/>
          <w:szCs w:val="16"/>
        </w:rPr>
        <w:t>15</w:t>
      </w:r>
      <w:r w:rsidR="00A620D6">
        <w:rPr>
          <w:rFonts w:ascii="Times New Roman" w:hAnsi="Times New Roman" w:cs="Times New Roman"/>
          <w:i/>
          <w:iCs/>
          <w:kern w:val="0"/>
          <w:sz w:val="16"/>
          <w:szCs w:val="16"/>
        </w:rPr>
        <w:t xml:space="preserve">: </w:t>
      </w:r>
      <w:r w:rsidR="00256ACF" w:rsidRPr="00256ACF">
        <w:rPr>
          <w:rFonts w:ascii="Times New Roman" w:hAnsi="Times New Roman" w:cs="Times New Roman"/>
          <w:kern w:val="0"/>
          <w:sz w:val="16"/>
          <w:szCs w:val="16"/>
        </w:rPr>
        <w:t>1688;</w:t>
      </w:r>
      <w:r w:rsidR="00256ACF">
        <w:rPr>
          <w:rFonts w:ascii="Times New Roman" w:hAnsi="Times New Roman" w:cs="Times New Roman"/>
          <w:kern w:val="0"/>
          <w:sz w:val="16"/>
          <w:szCs w:val="16"/>
        </w:rPr>
        <w:t xml:space="preserve"> </w:t>
      </w:r>
      <w:hyperlink r:id="rId250" w:history="1">
        <w:r w:rsidR="00256ACF" w:rsidRPr="00341C23">
          <w:rPr>
            <w:rStyle w:val="Hyperlink"/>
            <w:rFonts w:ascii="Times New Roman" w:hAnsi="Times New Roman" w:cs="Times New Roman"/>
            <w:kern w:val="0"/>
            <w:sz w:val="16"/>
            <w:szCs w:val="16"/>
          </w:rPr>
          <w:t>https://doi.org/10.3390/ijerph15081688</w:t>
        </w:r>
      </w:hyperlink>
      <w:r w:rsidR="00256ACF">
        <w:rPr>
          <w:rFonts w:ascii="Times New Roman" w:hAnsi="Times New Roman" w:cs="Times New Roman"/>
          <w:kern w:val="0"/>
          <w:sz w:val="16"/>
          <w:szCs w:val="16"/>
        </w:rPr>
        <w:t xml:space="preserve"> </w:t>
      </w:r>
    </w:p>
    <w:p w14:paraId="268A1969" w14:textId="7A8F28C7"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Maibach, E. (2024). Accelerating the end of the fossil fuel era: A human and planetary health imperative and opportunity. </w:t>
      </w:r>
      <w:r w:rsidRPr="00B54869">
        <w:rPr>
          <w:rFonts w:ascii="Times New Roman" w:hAnsi="Times New Roman" w:cs="Times New Roman"/>
          <w:i/>
          <w:iCs/>
          <w:sz w:val="16"/>
          <w:szCs w:val="16"/>
          <w:lang w:val="en-RS"/>
        </w:rPr>
        <w:t>Frontiers in Science, 2</w:t>
      </w:r>
      <w:r w:rsidRPr="00B54869">
        <w:rPr>
          <w:rFonts w:ascii="Times New Roman" w:hAnsi="Times New Roman" w:cs="Times New Roman"/>
          <w:sz w:val="16"/>
          <w:szCs w:val="16"/>
          <w:lang w:val="en-RS"/>
        </w:rPr>
        <w:t>, Article 1383921. </w:t>
      </w:r>
      <w:hyperlink r:id="rId251" w:history="1">
        <w:r w:rsidR="00B8224A" w:rsidRPr="00341C23">
          <w:rPr>
            <w:rStyle w:val="Hyperlink"/>
            <w:rFonts w:ascii="Times New Roman" w:hAnsi="Times New Roman" w:cs="Times New Roman"/>
            <w:sz w:val="16"/>
            <w:szCs w:val="16"/>
            <w:lang w:val="en-RS"/>
          </w:rPr>
          <w:t>https://doi.org/10.3389/fsci.2024.1383921</w:t>
        </w:r>
      </w:hyperlink>
      <w:r w:rsidR="00B8224A">
        <w:rPr>
          <w:rFonts w:ascii="Times New Roman" w:hAnsi="Times New Roman" w:cs="Times New Roman"/>
          <w:sz w:val="16"/>
          <w:szCs w:val="16"/>
          <w:lang w:val="en-RS"/>
        </w:rPr>
        <w:t xml:space="preserve"> </w:t>
      </w:r>
    </w:p>
    <w:p w14:paraId="49F4D2D4" w14:textId="006B8B72"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McLaren, L. (2025). Aligning public health with a well</w:t>
      </w:r>
      <w:r w:rsidRPr="00B54869">
        <w:rPr>
          <w:rFonts w:ascii="Times New Roman" w:hAnsi="Times New Roman" w:cs="Times New Roman"/>
          <w:sz w:val="16"/>
          <w:szCs w:val="16"/>
          <w:lang w:val="en-RS"/>
        </w:rPr>
        <w:noBreakHyphen/>
        <w:t>being economy: Opportunities and challenges in addressing root causes of health inequities. </w:t>
      </w:r>
      <w:r w:rsidRPr="00B54869">
        <w:rPr>
          <w:rFonts w:ascii="Times New Roman" w:hAnsi="Times New Roman" w:cs="Times New Roman"/>
          <w:i/>
          <w:iCs/>
          <w:sz w:val="16"/>
          <w:szCs w:val="16"/>
          <w:lang w:val="en-RS"/>
        </w:rPr>
        <w:t>International Journal of Health Policy and Management, 14</w:t>
      </w:r>
      <w:r w:rsidRPr="00B54869">
        <w:rPr>
          <w:rFonts w:ascii="Times New Roman" w:hAnsi="Times New Roman" w:cs="Times New Roman"/>
          <w:sz w:val="16"/>
          <w:szCs w:val="16"/>
          <w:lang w:val="en-RS"/>
        </w:rPr>
        <w:t>, Article 8877.</w:t>
      </w:r>
      <w:r w:rsidR="00256ACF">
        <w:rPr>
          <w:rFonts w:ascii="Times New Roman" w:hAnsi="Times New Roman" w:cs="Times New Roman"/>
          <w:sz w:val="16"/>
          <w:szCs w:val="16"/>
          <w:lang w:val="en-RS"/>
        </w:rPr>
        <w:t xml:space="preserve"> </w:t>
      </w:r>
      <w:hyperlink r:id="rId252" w:history="1">
        <w:r w:rsidR="00B8224A" w:rsidRPr="00341C23">
          <w:rPr>
            <w:rStyle w:val="Hyperlink"/>
            <w:rFonts w:ascii="Times New Roman" w:hAnsi="Times New Roman" w:cs="Times New Roman"/>
            <w:sz w:val="16"/>
            <w:szCs w:val="16"/>
            <w:lang w:val="en-RS"/>
          </w:rPr>
          <w:t>https://doi.org/10.34172/ijhpm.8877</w:t>
        </w:r>
      </w:hyperlink>
      <w:r w:rsidR="00B8224A">
        <w:rPr>
          <w:rFonts w:ascii="Times New Roman" w:hAnsi="Times New Roman" w:cs="Times New Roman"/>
          <w:sz w:val="16"/>
          <w:szCs w:val="16"/>
          <w:lang w:val="en-RS"/>
        </w:rPr>
        <w:t xml:space="preserve"> </w:t>
      </w:r>
    </w:p>
    <w:p w14:paraId="1F7CB386" w14:textId="6353C5AC"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Pasek, J., &amp; Sakłak, W. (2017). Ecological determinants of health as presented in the report published by the Institute for European Environmental Policy. </w:t>
      </w:r>
      <w:r w:rsidRPr="00B54869">
        <w:rPr>
          <w:rFonts w:ascii="Times New Roman" w:hAnsi="Times New Roman" w:cs="Times New Roman"/>
          <w:i/>
          <w:iCs/>
          <w:sz w:val="16"/>
          <w:szCs w:val="16"/>
          <w:lang w:val="en-RS"/>
        </w:rPr>
        <w:t>Zdrowie Publiczne i Zarządzanie, 15</w:t>
      </w:r>
      <w:r w:rsidRPr="00B54869">
        <w:rPr>
          <w:rFonts w:ascii="Times New Roman" w:hAnsi="Times New Roman" w:cs="Times New Roman"/>
          <w:sz w:val="16"/>
          <w:szCs w:val="16"/>
          <w:lang w:val="en-RS"/>
        </w:rPr>
        <w:t>(3),</w:t>
      </w:r>
      <w:r w:rsidR="00256ACF">
        <w:rPr>
          <w:rFonts w:ascii="Times New Roman" w:hAnsi="Times New Roman" w:cs="Times New Roman"/>
          <w:sz w:val="16"/>
          <w:szCs w:val="16"/>
          <w:lang w:val="en-RS"/>
        </w:rPr>
        <w:t>:</w:t>
      </w:r>
      <w:r w:rsidRPr="00B54869">
        <w:rPr>
          <w:rFonts w:ascii="Times New Roman" w:hAnsi="Times New Roman" w:cs="Times New Roman"/>
          <w:sz w:val="16"/>
          <w:szCs w:val="16"/>
          <w:lang w:val="en-RS"/>
        </w:rPr>
        <w:t>277–284.</w:t>
      </w:r>
    </w:p>
    <w:p w14:paraId="75661C9A" w14:textId="77E68BB6" w:rsidR="00256ACF"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Patrick, R., Henderson</w:t>
      </w:r>
      <w:r w:rsidRPr="00B54869">
        <w:rPr>
          <w:rFonts w:ascii="Times New Roman" w:hAnsi="Times New Roman" w:cs="Times New Roman"/>
          <w:sz w:val="16"/>
          <w:szCs w:val="16"/>
          <w:lang w:val="en-RS"/>
        </w:rPr>
        <w:noBreakHyphen/>
        <w:t>Wilson, C., &amp; Ebden, M. (2022). Exploring the co</w:t>
      </w:r>
      <w:r w:rsidRPr="00B54869">
        <w:rPr>
          <w:rFonts w:ascii="Times New Roman" w:hAnsi="Times New Roman" w:cs="Times New Roman"/>
          <w:sz w:val="16"/>
          <w:szCs w:val="16"/>
          <w:lang w:val="en-RS"/>
        </w:rPr>
        <w:noBreakHyphen/>
        <w:t>benefits of environmental volunteering for human and planetary health promotion. </w:t>
      </w:r>
      <w:r w:rsidRPr="00B54869">
        <w:rPr>
          <w:rFonts w:ascii="Times New Roman" w:hAnsi="Times New Roman" w:cs="Times New Roman"/>
          <w:i/>
          <w:iCs/>
          <w:sz w:val="16"/>
          <w:szCs w:val="16"/>
          <w:lang w:val="en-RS"/>
        </w:rPr>
        <w:t>Health Promotion Journal of Australia, 33</w:t>
      </w:r>
      <w:r w:rsidR="00256ACF">
        <w:rPr>
          <w:rFonts w:ascii="Times New Roman" w:hAnsi="Times New Roman" w:cs="Times New Roman"/>
          <w:sz w:val="16"/>
          <w:szCs w:val="16"/>
          <w:lang w:val="en-RS"/>
        </w:rPr>
        <w:t>:</w:t>
      </w:r>
      <w:r w:rsidRPr="00B54869">
        <w:rPr>
          <w:rFonts w:ascii="Times New Roman" w:hAnsi="Times New Roman" w:cs="Times New Roman"/>
          <w:sz w:val="16"/>
          <w:szCs w:val="16"/>
          <w:lang w:val="en-RS"/>
        </w:rPr>
        <w:t xml:space="preserve"> 57–67. </w:t>
      </w:r>
      <w:hyperlink r:id="rId253" w:history="1">
        <w:r w:rsidR="00B8224A" w:rsidRPr="00341C23">
          <w:rPr>
            <w:rStyle w:val="Hyperlink"/>
            <w:rFonts w:ascii="Times New Roman" w:hAnsi="Times New Roman" w:cs="Times New Roman"/>
            <w:sz w:val="16"/>
            <w:szCs w:val="16"/>
            <w:lang w:val="en-RS"/>
          </w:rPr>
          <w:t>https://doi.org/10.1002/hpja.460</w:t>
        </w:r>
      </w:hyperlink>
      <w:r w:rsidR="00B8224A">
        <w:rPr>
          <w:rFonts w:ascii="Times New Roman" w:hAnsi="Times New Roman" w:cs="Times New Roman"/>
          <w:sz w:val="16"/>
          <w:szCs w:val="16"/>
          <w:lang w:val="en-RS"/>
        </w:rPr>
        <w:t xml:space="preserve"> </w:t>
      </w:r>
    </w:p>
    <w:p w14:paraId="4EB6BA1D" w14:textId="23951E49" w:rsidR="00B54869" w:rsidRPr="00F714BD" w:rsidRDefault="00B54869" w:rsidP="00F714BD">
      <w:pPr>
        <w:numPr>
          <w:ilvl w:val="0"/>
          <w:numId w:val="23"/>
        </w:numPr>
        <w:spacing w:line="240" w:lineRule="auto"/>
        <w:rPr>
          <w:rFonts w:ascii="Times New Roman" w:hAnsi="Times New Roman" w:cs="Times New Roman"/>
          <w:sz w:val="16"/>
          <w:szCs w:val="16"/>
          <w:lang w:val="en-RS"/>
        </w:rPr>
      </w:pPr>
      <w:r w:rsidRPr="00256ACF">
        <w:rPr>
          <w:rFonts w:ascii="Times New Roman" w:hAnsi="Times New Roman" w:cs="Times New Roman"/>
          <w:sz w:val="16"/>
          <w:szCs w:val="16"/>
          <w:lang w:val="en-RS"/>
        </w:rPr>
        <w:t>Rahman, I., &amp; Willott, C. (2025). Social, economic and ecological drivers of tuberculosis disparities in Bangladesh: Implications for health equity and sustainable development policy. </w:t>
      </w:r>
      <w:r w:rsidRPr="00256ACF">
        <w:rPr>
          <w:rFonts w:ascii="Times New Roman" w:hAnsi="Times New Roman" w:cs="Times New Roman"/>
          <w:i/>
          <w:iCs/>
          <w:sz w:val="16"/>
          <w:szCs w:val="16"/>
          <w:lang w:val="en-RS"/>
        </w:rPr>
        <w:t xml:space="preserve">Challenges, </w:t>
      </w:r>
      <w:r w:rsidR="00256ACF" w:rsidRPr="00256ACF">
        <w:rPr>
          <w:rFonts w:ascii="Times New Roman" w:hAnsi="Times New Roman" w:cs="Times New Roman"/>
          <w:i/>
          <w:iCs/>
          <w:kern w:val="0"/>
          <w:sz w:val="16"/>
          <w:szCs w:val="16"/>
        </w:rPr>
        <w:t>16</w:t>
      </w:r>
      <w:r w:rsidR="00256ACF">
        <w:rPr>
          <w:rFonts w:ascii="Times New Roman" w:hAnsi="Times New Roman" w:cs="Times New Roman"/>
          <w:i/>
          <w:iCs/>
          <w:kern w:val="0"/>
          <w:sz w:val="16"/>
          <w:szCs w:val="16"/>
        </w:rPr>
        <w:t>:</w:t>
      </w:r>
      <w:r w:rsidR="00256ACF" w:rsidRPr="00256ACF">
        <w:rPr>
          <w:rFonts w:ascii="Times New Roman" w:hAnsi="Times New Roman" w:cs="Times New Roman"/>
          <w:i/>
          <w:iCs/>
          <w:kern w:val="0"/>
          <w:sz w:val="16"/>
          <w:szCs w:val="16"/>
        </w:rPr>
        <w:t xml:space="preserve"> </w:t>
      </w:r>
      <w:r w:rsidR="00256ACF" w:rsidRPr="00256ACF">
        <w:rPr>
          <w:rFonts w:ascii="Times New Roman" w:hAnsi="Times New Roman" w:cs="Times New Roman"/>
          <w:kern w:val="0"/>
          <w:sz w:val="16"/>
          <w:szCs w:val="16"/>
        </w:rPr>
        <w:t>37.</w:t>
      </w:r>
      <w:r w:rsidR="00256ACF" w:rsidRPr="00256ACF">
        <w:rPr>
          <w:rFonts w:ascii="Times New Roman" w:hAnsi="Times New Roman" w:cs="Times New Roman"/>
          <w:sz w:val="20"/>
          <w:szCs w:val="20"/>
          <w:lang w:val="en-RS"/>
        </w:rPr>
        <w:t xml:space="preserve"> </w:t>
      </w:r>
      <w:hyperlink r:id="rId254" w:history="1">
        <w:r w:rsidR="00F714BD" w:rsidRPr="00341C23">
          <w:rPr>
            <w:rStyle w:val="Hyperlink"/>
            <w:rFonts w:ascii="Times New Roman" w:hAnsi="Times New Roman" w:cs="Times New Roman"/>
            <w:kern w:val="0"/>
            <w:sz w:val="16"/>
            <w:szCs w:val="16"/>
          </w:rPr>
          <w:t>https://doi.org/10.3390/challe16030037</w:t>
        </w:r>
      </w:hyperlink>
      <w:r w:rsidR="00F714BD">
        <w:rPr>
          <w:rFonts w:ascii="Times New Roman" w:hAnsi="Times New Roman" w:cs="Times New Roman"/>
          <w:sz w:val="16"/>
          <w:szCs w:val="16"/>
          <w:lang w:val="en-RS"/>
        </w:rPr>
        <w:t xml:space="preserve"> </w:t>
      </w:r>
    </w:p>
    <w:p w14:paraId="50B19C2E" w14:textId="181CBD06"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Schultz, C. (2019). Ecological determinants of health. In </w:t>
      </w:r>
      <w:r w:rsidRPr="00B54869">
        <w:rPr>
          <w:rFonts w:ascii="Times New Roman" w:hAnsi="Times New Roman" w:cs="Times New Roman"/>
          <w:i/>
          <w:iCs/>
          <w:sz w:val="16"/>
          <w:szCs w:val="16"/>
          <w:lang w:val="en-RS"/>
        </w:rPr>
        <w:t>Proceedings of the 15th National Rural Health Conference, Hobart, Tasmania</w:t>
      </w:r>
      <w:r w:rsidRPr="00B54869">
        <w:rPr>
          <w:rFonts w:ascii="Times New Roman" w:hAnsi="Times New Roman" w:cs="Times New Roman"/>
          <w:sz w:val="16"/>
          <w:szCs w:val="16"/>
          <w:lang w:val="en-RS"/>
        </w:rPr>
        <w:t> (pp. unknown). National Rural Health Alliance.</w:t>
      </w:r>
    </w:p>
    <w:p w14:paraId="2610569F" w14:textId="06A7BCE1"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Serrezuela, R. R., &amp; Pinilla, L. E. (2015). Ecological determinants of forest to the abundance of </w:t>
      </w:r>
      <w:r w:rsidRPr="00B54869">
        <w:rPr>
          <w:rFonts w:ascii="Times New Roman" w:hAnsi="Times New Roman" w:cs="Times New Roman"/>
          <w:i/>
          <w:iCs/>
          <w:sz w:val="16"/>
          <w:szCs w:val="16"/>
          <w:lang w:val="en-RS"/>
        </w:rPr>
        <w:t>Lutzomyia longiflocosa</w:t>
      </w:r>
      <w:r w:rsidRPr="00B54869">
        <w:rPr>
          <w:rFonts w:ascii="Times New Roman" w:hAnsi="Times New Roman" w:cs="Times New Roman"/>
          <w:sz w:val="16"/>
          <w:szCs w:val="16"/>
          <w:lang w:val="en-RS"/>
        </w:rPr>
        <w:t> in Tello, Colombia. </w:t>
      </w:r>
      <w:r w:rsidRPr="00B54869">
        <w:rPr>
          <w:rFonts w:ascii="Times New Roman" w:hAnsi="Times New Roman" w:cs="Times New Roman"/>
          <w:i/>
          <w:iCs/>
          <w:sz w:val="16"/>
          <w:szCs w:val="16"/>
          <w:lang w:val="en-RS"/>
        </w:rPr>
        <w:t>International Journal of Ecology, 2015</w:t>
      </w:r>
      <w:r w:rsidRPr="00B54869">
        <w:rPr>
          <w:rFonts w:ascii="Times New Roman" w:hAnsi="Times New Roman" w:cs="Times New Roman"/>
          <w:sz w:val="16"/>
          <w:szCs w:val="16"/>
          <w:lang w:val="en-RS"/>
        </w:rPr>
        <w:t>, 580718. </w:t>
      </w:r>
      <w:hyperlink r:id="rId255" w:history="1">
        <w:r w:rsidR="00B8224A" w:rsidRPr="00341C23">
          <w:rPr>
            <w:rStyle w:val="Hyperlink"/>
            <w:rFonts w:ascii="Times New Roman" w:hAnsi="Times New Roman" w:cs="Times New Roman"/>
            <w:sz w:val="16"/>
            <w:szCs w:val="16"/>
            <w:lang w:val="en-RS"/>
          </w:rPr>
          <w:t>https://doi.org/10.1155/2015/580718</w:t>
        </w:r>
      </w:hyperlink>
      <w:r w:rsidR="00B8224A">
        <w:rPr>
          <w:rFonts w:ascii="Times New Roman" w:hAnsi="Times New Roman" w:cs="Times New Roman"/>
          <w:sz w:val="16"/>
          <w:szCs w:val="16"/>
          <w:lang w:val="en-RS"/>
        </w:rPr>
        <w:t xml:space="preserve"> </w:t>
      </w:r>
    </w:p>
    <w:p w14:paraId="251F35EB" w14:textId="72FA5789" w:rsidR="00B54869"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Stephen, C. (2023). Strengthening ties with public health for joint action on global health threats. Part 2. </w:t>
      </w:r>
      <w:r w:rsidRPr="00B54869">
        <w:rPr>
          <w:rFonts w:ascii="Times New Roman" w:hAnsi="Times New Roman" w:cs="Times New Roman"/>
          <w:i/>
          <w:iCs/>
          <w:sz w:val="16"/>
          <w:szCs w:val="16"/>
          <w:lang w:val="en-RS"/>
        </w:rPr>
        <w:t>Canadian Veterinary Journal, 64</w:t>
      </w:r>
      <w:r w:rsidRPr="00B54869">
        <w:rPr>
          <w:rFonts w:ascii="Times New Roman" w:hAnsi="Times New Roman" w:cs="Times New Roman"/>
          <w:sz w:val="16"/>
          <w:szCs w:val="16"/>
          <w:lang w:val="en-RS"/>
        </w:rPr>
        <w:t>(4), 385–387.</w:t>
      </w:r>
    </w:p>
    <w:p w14:paraId="1F674C2E" w14:textId="2E8E397D" w:rsidR="00A620D6" w:rsidRDefault="00B54869" w:rsidP="00A620D6">
      <w:pPr>
        <w:numPr>
          <w:ilvl w:val="0"/>
          <w:numId w:val="23"/>
        </w:numPr>
        <w:spacing w:line="240" w:lineRule="auto"/>
        <w:rPr>
          <w:rFonts w:ascii="Times New Roman" w:hAnsi="Times New Roman" w:cs="Times New Roman"/>
          <w:sz w:val="16"/>
          <w:szCs w:val="16"/>
          <w:lang w:val="en-RS"/>
        </w:rPr>
      </w:pPr>
      <w:r w:rsidRPr="00B54869">
        <w:rPr>
          <w:rFonts w:ascii="Times New Roman" w:hAnsi="Times New Roman" w:cs="Times New Roman"/>
          <w:sz w:val="16"/>
          <w:szCs w:val="16"/>
          <w:lang w:val="en-RS"/>
        </w:rPr>
        <w:t>Takahashi, N., &amp; Nyvad, B. (2016). Ecological hypothesis of dentin and root caries. </w:t>
      </w:r>
      <w:r w:rsidRPr="00B54869">
        <w:rPr>
          <w:rFonts w:ascii="Times New Roman" w:hAnsi="Times New Roman" w:cs="Times New Roman"/>
          <w:i/>
          <w:iCs/>
          <w:sz w:val="16"/>
          <w:szCs w:val="16"/>
          <w:lang w:val="en-RS"/>
        </w:rPr>
        <w:t>Caries Research, 50</w:t>
      </w:r>
      <w:r w:rsidRPr="00B54869">
        <w:rPr>
          <w:rFonts w:ascii="Times New Roman" w:hAnsi="Times New Roman" w:cs="Times New Roman"/>
          <w:sz w:val="16"/>
          <w:szCs w:val="16"/>
          <w:lang w:val="en-RS"/>
        </w:rPr>
        <w:t>(4), 294–303.</w:t>
      </w:r>
      <w:r w:rsidR="00A620D6">
        <w:rPr>
          <w:rFonts w:ascii="Times New Roman" w:hAnsi="Times New Roman" w:cs="Times New Roman"/>
          <w:sz w:val="16"/>
          <w:szCs w:val="16"/>
          <w:lang w:val="en-RS"/>
        </w:rPr>
        <w:t xml:space="preserve"> </w:t>
      </w:r>
      <w:hyperlink r:id="rId256" w:history="1">
        <w:r w:rsidR="00B8224A" w:rsidRPr="00341C23">
          <w:rPr>
            <w:rStyle w:val="Hyperlink"/>
            <w:rFonts w:ascii="Times New Roman" w:hAnsi="Times New Roman" w:cs="Times New Roman"/>
            <w:sz w:val="16"/>
            <w:szCs w:val="16"/>
            <w:lang w:val="en-RS"/>
          </w:rPr>
          <w:t>https://doi.org/10.1159/000445581</w:t>
        </w:r>
      </w:hyperlink>
      <w:r w:rsidR="00B8224A">
        <w:rPr>
          <w:rFonts w:ascii="Times New Roman" w:hAnsi="Times New Roman" w:cs="Times New Roman"/>
          <w:sz w:val="16"/>
          <w:szCs w:val="16"/>
          <w:lang w:val="en-RS"/>
        </w:rPr>
        <w:t xml:space="preserve"> </w:t>
      </w:r>
      <w:r w:rsidR="00A620D6">
        <w:rPr>
          <w:rFonts w:ascii="Times New Roman" w:hAnsi="Times New Roman" w:cs="Times New Roman"/>
          <w:sz w:val="16"/>
          <w:szCs w:val="16"/>
          <w:lang w:val="en-RS"/>
        </w:rPr>
        <w:t xml:space="preserve"> </w:t>
      </w:r>
    </w:p>
    <w:p w14:paraId="13A6B797" w14:textId="3CB21659" w:rsidR="00B54869" w:rsidRPr="00A620D6" w:rsidRDefault="00B54869" w:rsidP="00A620D6">
      <w:pPr>
        <w:numPr>
          <w:ilvl w:val="0"/>
          <w:numId w:val="23"/>
        </w:numPr>
        <w:spacing w:line="240" w:lineRule="auto"/>
        <w:rPr>
          <w:rFonts w:ascii="Times New Roman" w:hAnsi="Times New Roman" w:cs="Times New Roman"/>
          <w:sz w:val="16"/>
          <w:szCs w:val="16"/>
          <w:lang w:val="en-RS"/>
        </w:rPr>
      </w:pPr>
      <w:r w:rsidRPr="00A620D6">
        <w:rPr>
          <w:rFonts w:ascii="Times New Roman" w:hAnsi="Times New Roman" w:cs="Times New Roman"/>
          <w:sz w:val="16"/>
          <w:szCs w:val="16"/>
          <w:lang w:val="en-RS"/>
        </w:rPr>
        <w:t>Whitmee, S., Haines, A., Beyrer, C., Boltz, F., Capon, A. G., de Souza Dias, B. F., et al. (2015). Safeguarding human health in the Anthropocene epoch: Report of The Rockefeller Foundation–Lancet Commission on planetary health. </w:t>
      </w:r>
      <w:r w:rsidRPr="00A620D6">
        <w:rPr>
          <w:rFonts w:ascii="Times New Roman" w:hAnsi="Times New Roman" w:cs="Times New Roman"/>
          <w:i/>
          <w:iCs/>
          <w:sz w:val="16"/>
          <w:szCs w:val="16"/>
          <w:lang w:val="en-RS"/>
        </w:rPr>
        <w:t>The Lancet, 386</w:t>
      </w:r>
      <w:r w:rsidR="00A620D6">
        <w:rPr>
          <w:rFonts w:ascii="Times New Roman" w:hAnsi="Times New Roman" w:cs="Times New Roman"/>
          <w:sz w:val="16"/>
          <w:szCs w:val="16"/>
          <w:lang w:val="en-RS"/>
        </w:rPr>
        <w:t xml:space="preserve">: </w:t>
      </w:r>
      <w:r w:rsidRPr="00A620D6">
        <w:rPr>
          <w:rFonts w:ascii="Times New Roman" w:hAnsi="Times New Roman" w:cs="Times New Roman"/>
          <w:sz w:val="16"/>
          <w:szCs w:val="16"/>
          <w:lang w:val="en-RS"/>
        </w:rPr>
        <w:t>1973–2028. </w:t>
      </w:r>
      <w:hyperlink r:id="rId257" w:history="1">
        <w:r w:rsidR="00B8224A" w:rsidRPr="00341C23">
          <w:rPr>
            <w:rStyle w:val="Hyperlink"/>
            <w:rFonts w:ascii="Times New Roman" w:hAnsi="Times New Roman" w:cs="Times New Roman"/>
            <w:kern w:val="0"/>
            <w:sz w:val="16"/>
            <w:szCs w:val="16"/>
          </w:rPr>
          <w:t>http://dx.doi.org/10.1016/S0140-6736(15)60901-1</w:t>
        </w:r>
      </w:hyperlink>
      <w:r w:rsidR="00B8224A">
        <w:rPr>
          <w:rFonts w:ascii="Times New Roman" w:hAnsi="Times New Roman" w:cs="Times New Roman"/>
          <w:kern w:val="0"/>
          <w:sz w:val="16"/>
          <w:szCs w:val="16"/>
        </w:rPr>
        <w:t xml:space="preserve"> </w:t>
      </w:r>
      <w:r w:rsidR="00A620D6">
        <w:rPr>
          <w:rFonts w:ascii="Times New Roman" w:hAnsi="Times New Roman" w:cs="Times New Roman"/>
          <w:kern w:val="0"/>
          <w:sz w:val="16"/>
          <w:szCs w:val="16"/>
        </w:rPr>
        <w:t xml:space="preserve"> </w:t>
      </w:r>
    </w:p>
    <w:p w14:paraId="46D94BDF" w14:textId="77777777" w:rsidR="006F382B" w:rsidRDefault="006F382B" w:rsidP="006F382B">
      <w:pPr>
        <w:spacing w:line="240" w:lineRule="auto"/>
        <w:rPr>
          <w:rFonts w:ascii="Times New Roman" w:hAnsi="Times New Roman" w:cs="Times New Roman"/>
          <w:sz w:val="16"/>
          <w:szCs w:val="16"/>
        </w:rPr>
      </w:pPr>
    </w:p>
    <w:p w14:paraId="69E6BFE3" w14:textId="77777777" w:rsidR="00A620D6" w:rsidRDefault="00A620D6" w:rsidP="006F382B">
      <w:pPr>
        <w:spacing w:line="240" w:lineRule="auto"/>
        <w:rPr>
          <w:rFonts w:ascii="Times New Roman" w:hAnsi="Times New Roman" w:cs="Times New Roman"/>
          <w:sz w:val="16"/>
          <w:szCs w:val="16"/>
        </w:rPr>
      </w:pPr>
    </w:p>
    <w:p w14:paraId="739DEF5B" w14:textId="77777777" w:rsidR="00A620D6" w:rsidRDefault="00A620D6" w:rsidP="006F382B">
      <w:pPr>
        <w:spacing w:line="240" w:lineRule="auto"/>
        <w:rPr>
          <w:rFonts w:ascii="Times New Roman" w:hAnsi="Times New Roman" w:cs="Times New Roman"/>
          <w:sz w:val="16"/>
          <w:szCs w:val="16"/>
        </w:rPr>
      </w:pPr>
    </w:p>
    <w:p w14:paraId="195B5AA9" w14:textId="77777777" w:rsidR="00A620D6" w:rsidRDefault="00A620D6" w:rsidP="006F382B">
      <w:pPr>
        <w:spacing w:line="240" w:lineRule="auto"/>
        <w:rPr>
          <w:rFonts w:ascii="Times New Roman" w:hAnsi="Times New Roman" w:cs="Times New Roman"/>
          <w:sz w:val="16"/>
          <w:szCs w:val="16"/>
        </w:rPr>
      </w:pPr>
    </w:p>
    <w:p w14:paraId="201351E6" w14:textId="77777777" w:rsidR="00A620D6" w:rsidRDefault="00A620D6" w:rsidP="006F382B">
      <w:pPr>
        <w:spacing w:line="240" w:lineRule="auto"/>
        <w:rPr>
          <w:rFonts w:ascii="Times New Roman" w:hAnsi="Times New Roman" w:cs="Times New Roman"/>
          <w:sz w:val="16"/>
          <w:szCs w:val="16"/>
        </w:rPr>
      </w:pPr>
    </w:p>
    <w:p w14:paraId="5D115680" w14:textId="77777777" w:rsidR="00A620D6" w:rsidRDefault="00A620D6" w:rsidP="006F382B">
      <w:pPr>
        <w:spacing w:line="240" w:lineRule="auto"/>
        <w:rPr>
          <w:rFonts w:ascii="Times New Roman" w:hAnsi="Times New Roman" w:cs="Times New Roman"/>
          <w:sz w:val="16"/>
          <w:szCs w:val="16"/>
        </w:rPr>
      </w:pPr>
    </w:p>
    <w:p w14:paraId="3FAE2D49" w14:textId="77777777" w:rsidR="00A620D6" w:rsidRDefault="00A620D6" w:rsidP="006F382B">
      <w:pPr>
        <w:spacing w:line="240" w:lineRule="auto"/>
        <w:rPr>
          <w:rFonts w:ascii="Times New Roman" w:hAnsi="Times New Roman" w:cs="Times New Roman"/>
          <w:sz w:val="16"/>
          <w:szCs w:val="16"/>
        </w:rPr>
      </w:pPr>
    </w:p>
    <w:p w14:paraId="268CBCE3" w14:textId="77777777" w:rsidR="00A620D6" w:rsidRDefault="00A620D6" w:rsidP="006F382B">
      <w:pPr>
        <w:spacing w:line="240" w:lineRule="auto"/>
        <w:rPr>
          <w:rFonts w:ascii="Times New Roman" w:hAnsi="Times New Roman" w:cs="Times New Roman"/>
          <w:sz w:val="16"/>
          <w:szCs w:val="16"/>
        </w:rPr>
      </w:pPr>
    </w:p>
    <w:p w14:paraId="1DEA6CCE" w14:textId="77777777" w:rsidR="008558FA" w:rsidRDefault="008558FA" w:rsidP="006F382B">
      <w:pPr>
        <w:spacing w:line="240" w:lineRule="auto"/>
        <w:rPr>
          <w:rFonts w:ascii="Times New Roman" w:hAnsi="Times New Roman" w:cs="Times New Roman"/>
          <w:sz w:val="16"/>
          <w:szCs w:val="16"/>
        </w:rPr>
      </w:pPr>
    </w:p>
    <w:p w14:paraId="5435C7EC" w14:textId="69FF0A9E" w:rsidR="004365A5" w:rsidRDefault="004365A5" w:rsidP="004365A5">
      <w:pPr>
        <w:spacing w:line="240" w:lineRule="auto"/>
        <w:rPr>
          <w:rFonts w:ascii="Times New Roman" w:hAnsi="Times New Roman" w:cs="Times New Roman"/>
          <w:b/>
          <w:bCs/>
          <w:sz w:val="20"/>
          <w:szCs w:val="20"/>
        </w:rPr>
      </w:pPr>
      <w:r w:rsidRPr="00353B7B">
        <w:rPr>
          <w:rFonts w:ascii="Times New Roman" w:hAnsi="Times New Roman" w:cs="Times New Roman"/>
          <w:b/>
          <w:bCs/>
          <w:sz w:val="20"/>
          <w:szCs w:val="20"/>
        </w:rPr>
        <w:lastRenderedPageBreak/>
        <w:t xml:space="preserve">Supplementary File </w:t>
      </w:r>
      <w:r w:rsidR="00432ABD">
        <w:rPr>
          <w:rFonts w:ascii="Times New Roman" w:hAnsi="Times New Roman" w:cs="Times New Roman"/>
          <w:b/>
          <w:bCs/>
          <w:sz w:val="20"/>
          <w:szCs w:val="20"/>
        </w:rPr>
        <w:t>D</w:t>
      </w:r>
      <w:r w:rsidRPr="00353B7B">
        <w:rPr>
          <w:rFonts w:ascii="Times New Roman" w:hAnsi="Times New Roman" w:cs="Times New Roman"/>
          <w:b/>
          <w:bCs/>
          <w:sz w:val="20"/>
          <w:szCs w:val="20"/>
        </w:rPr>
        <w:t>: Data Extraction Variables and Eligibility Criteria</w:t>
      </w:r>
    </w:p>
    <w:p w14:paraId="2E438439" w14:textId="77777777" w:rsidR="004365A5" w:rsidRPr="002F64F1" w:rsidRDefault="004365A5" w:rsidP="004365A5">
      <w:pPr>
        <w:spacing w:line="240" w:lineRule="auto"/>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4508"/>
        <w:gridCol w:w="4508"/>
      </w:tblGrid>
      <w:tr w:rsidR="004365A5" w:rsidRPr="006F382B" w14:paraId="47398502" w14:textId="77777777" w:rsidTr="00542A27">
        <w:tc>
          <w:tcPr>
            <w:tcW w:w="4508" w:type="dxa"/>
          </w:tcPr>
          <w:p w14:paraId="6F34503A" w14:textId="77777777" w:rsidR="004365A5" w:rsidRPr="006F382B" w:rsidRDefault="004365A5" w:rsidP="00542A27">
            <w:pPr>
              <w:rPr>
                <w:rFonts w:ascii="Times New Roman" w:hAnsi="Times New Roman" w:cs="Times New Roman"/>
                <w:sz w:val="16"/>
                <w:szCs w:val="16"/>
              </w:rPr>
            </w:pPr>
            <w:r>
              <w:rPr>
                <w:rFonts w:ascii="Times New Roman" w:hAnsi="Times New Roman" w:cs="Times New Roman"/>
                <w:sz w:val="16"/>
                <w:szCs w:val="16"/>
              </w:rPr>
              <w:t>Descriptive Data</w:t>
            </w:r>
          </w:p>
        </w:tc>
        <w:tc>
          <w:tcPr>
            <w:tcW w:w="4508" w:type="dxa"/>
          </w:tcPr>
          <w:p w14:paraId="44F6B2E3" w14:textId="77777777" w:rsidR="004365A5" w:rsidRPr="006F382B" w:rsidRDefault="004365A5" w:rsidP="00542A27">
            <w:pPr>
              <w:rPr>
                <w:rFonts w:ascii="Times New Roman" w:hAnsi="Times New Roman" w:cs="Times New Roman"/>
                <w:sz w:val="16"/>
                <w:szCs w:val="16"/>
              </w:rPr>
            </w:pPr>
          </w:p>
        </w:tc>
      </w:tr>
      <w:tr w:rsidR="004365A5" w:rsidRPr="006F382B" w14:paraId="1BF60C34" w14:textId="77777777" w:rsidTr="00542A27">
        <w:tc>
          <w:tcPr>
            <w:tcW w:w="4508" w:type="dxa"/>
          </w:tcPr>
          <w:p w14:paraId="04B06FB4"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First author’s last name</w:t>
            </w:r>
          </w:p>
        </w:tc>
        <w:tc>
          <w:tcPr>
            <w:tcW w:w="4508" w:type="dxa"/>
          </w:tcPr>
          <w:p w14:paraId="7FB9F4EC" w14:textId="77777777" w:rsidR="004365A5" w:rsidRPr="006F382B" w:rsidRDefault="004365A5" w:rsidP="00542A27">
            <w:pPr>
              <w:rPr>
                <w:rFonts w:ascii="Times New Roman" w:hAnsi="Times New Roman" w:cs="Times New Roman"/>
                <w:sz w:val="16"/>
                <w:szCs w:val="16"/>
              </w:rPr>
            </w:pPr>
          </w:p>
        </w:tc>
      </w:tr>
      <w:tr w:rsidR="004365A5" w:rsidRPr="006F382B" w14:paraId="3025B111" w14:textId="77777777" w:rsidTr="00542A27">
        <w:tc>
          <w:tcPr>
            <w:tcW w:w="4508" w:type="dxa"/>
          </w:tcPr>
          <w:p w14:paraId="493EF424"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Year of publication</w:t>
            </w:r>
          </w:p>
        </w:tc>
        <w:tc>
          <w:tcPr>
            <w:tcW w:w="4508" w:type="dxa"/>
          </w:tcPr>
          <w:p w14:paraId="0F28ED56" w14:textId="77777777" w:rsidR="004365A5" w:rsidRPr="006F382B" w:rsidRDefault="004365A5" w:rsidP="00542A27">
            <w:pPr>
              <w:rPr>
                <w:rFonts w:ascii="Times New Roman" w:hAnsi="Times New Roman" w:cs="Times New Roman"/>
                <w:sz w:val="16"/>
                <w:szCs w:val="16"/>
              </w:rPr>
            </w:pPr>
          </w:p>
        </w:tc>
      </w:tr>
      <w:tr w:rsidR="004365A5" w:rsidRPr="006F382B" w14:paraId="68370DD7" w14:textId="77777777" w:rsidTr="00542A27">
        <w:tc>
          <w:tcPr>
            <w:tcW w:w="4508" w:type="dxa"/>
          </w:tcPr>
          <w:p w14:paraId="3106B530"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Country (</w:t>
            </w:r>
            <w:r>
              <w:rPr>
                <w:rFonts w:ascii="Times New Roman" w:hAnsi="Times New Roman" w:cs="Times New Roman"/>
                <w:sz w:val="16"/>
                <w:szCs w:val="16"/>
              </w:rPr>
              <w:t>based on</w:t>
            </w:r>
            <w:r w:rsidRPr="006F382B">
              <w:rPr>
                <w:rFonts w:ascii="Times New Roman" w:hAnsi="Times New Roman" w:cs="Times New Roman"/>
                <w:sz w:val="16"/>
                <w:szCs w:val="16"/>
              </w:rPr>
              <w:t xml:space="preserve"> </w:t>
            </w:r>
            <w:r>
              <w:rPr>
                <w:rFonts w:ascii="Times New Roman" w:hAnsi="Times New Roman" w:cs="Times New Roman"/>
                <w:sz w:val="16"/>
                <w:szCs w:val="16"/>
              </w:rPr>
              <w:t xml:space="preserve">the </w:t>
            </w:r>
            <w:r w:rsidRPr="006F382B">
              <w:rPr>
                <w:rFonts w:ascii="Times New Roman" w:hAnsi="Times New Roman" w:cs="Times New Roman"/>
                <w:sz w:val="16"/>
                <w:szCs w:val="16"/>
              </w:rPr>
              <w:t>correspondent author</w:t>
            </w:r>
            <w:r>
              <w:rPr>
                <w:rFonts w:ascii="Times New Roman" w:hAnsi="Times New Roman" w:cs="Times New Roman"/>
                <w:sz w:val="16"/>
                <w:szCs w:val="16"/>
              </w:rPr>
              <w:t>,</w:t>
            </w:r>
            <w:r w:rsidRPr="006F382B">
              <w:rPr>
                <w:rFonts w:ascii="Times New Roman" w:hAnsi="Times New Roman" w:cs="Times New Roman"/>
                <w:sz w:val="16"/>
                <w:szCs w:val="16"/>
              </w:rPr>
              <w:t xml:space="preserve"> or</w:t>
            </w:r>
            <w:r>
              <w:rPr>
                <w:rFonts w:ascii="Times New Roman" w:hAnsi="Times New Roman" w:cs="Times New Roman"/>
                <w:sz w:val="16"/>
                <w:szCs w:val="16"/>
              </w:rPr>
              <w:t xml:space="preserve"> the</w:t>
            </w:r>
            <w:r w:rsidRPr="006F382B">
              <w:rPr>
                <w:rFonts w:ascii="Times New Roman" w:hAnsi="Times New Roman" w:cs="Times New Roman"/>
                <w:sz w:val="16"/>
                <w:szCs w:val="16"/>
              </w:rPr>
              <w:t xml:space="preserve"> first author </w:t>
            </w:r>
            <w:r>
              <w:rPr>
                <w:rFonts w:ascii="Times New Roman" w:hAnsi="Times New Roman" w:cs="Times New Roman"/>
                <w:sz w:val="16"/>
                <w:szCs w:val="16"/>
              </w:rPr>
              <w:t>if unavailable)</w:t>
            </w:r>
          </w:p>
        </w:tc>
        <w:tc>
          <w:tcPr>
            <w:tcW w:w="4508" w:type="dxa"/>
          </w:tcPr>
          <w:p w14:paraId="6961CE5F" w14:textId="77777777" w:rsidR="004365A5" w:rsidRPr="006F382B" w:rsidRDefault="004365A5" w:rsidP="00542A27">
            <w:pPr>
              <w:rPr>
                <w:rFonts w:ascii="Times New Roman" w:hAnsi="Times New Roman" w:cs="Times New Roman"/>
                <w:sz w:val="16"/>
                <w:szCs w:val="16"/>
              </w:rPr>
            </w:pPr>
          </w:p>
        </w:tc>
      </w:tr>
      <w:tr w:rsidR="004365A5" w:rsidRPr="006F382B" w14:paraId="105433FF" w14:textId="77777777" w:rsidTr="00542A27">
        <w:tc>
          <w:tcPr>
            <w:tcW w:w="4508" w:type="dxa"/>
          </w:tcPr>
          <w:p w14:paraId="231AF090" w14:textId="77777777" w:rsidR="004365A5" w:rsidRPr="006F382B" w:rsidRDefault="004365A5" w:rsidP="00542A27">
            <w:pPr>
              <w:rPr>
                <w:rFonts w:ascii="Times New Roman" w:hAnsi="Times New Roman" w:cs="Times New Roman"/>
                <w:sz w:val="16"/>
                <w:szCs w:val="16"/>
              </w:rPr>
            </w:pPr>
            <w:r>
              <w:rPr>
                <w:rFonts w:ascii="Times New Roman" w:hAnsi="Times New Roman" w:cs="Times New Roman"/>
                <w:sz w:val="16"/>
                <w:szCs w:val="16"/>
              </w:rPr>
              <w:t>County or region where the study was conducted or to which it refers</w:t>
            </w:r>
          </w:p>
        </w:tc>
        <w:tc>
          <w:tcPr>
            <w:tcW w:w="4508" w:type="dxa"/>
          </w:tcPr>
          <w:p w14:paraId="5B8B76AA" w14:textId="77777777" w:rsidR="004365A5" w:rsidRPr="006F382B" w:rsidRDefault="004365A5" w:rsidP="00542A27">
            <w:pPr>
              <w:rPr>
                <w:rFonts w:ascii="Times New Roman" w:hAnsi="Times New Roman" w:cs="Times New Roman"/>
                <w:sz w:val="16"/>
                <w:szCs w:val="16"/>
              </w:rPr>
            </w:pPr>
          </w:p>
        </w:tc>
      </w:tr>
      <w:tr w:rsidR="004365A5" w:rsidRPr="006F382B" w14:paraId="6536C213" w14:textId="77777777" w:rsidTr="00542A27">
        <w:tc>
          <w:tcPr>
            <w:tcW w:w="4508" w:type="dxa"/>
          </w:tcPr>
          <w:p w14:paraId="095B881E"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Type of publication</w:t>
            </w:r>
          </w:p>
        </w:tc>
        <w:tc>
          <w:tcPr>
            <w:tcW w:w="4508" w:type="dxa"/>
          </w:tcPr>
          <w:p w14:paraId="1781AF82" w14:textId="77777777" w:rsidR="004365A5" w:rsidRPr="006F382B" w:rsidRDefault="004365A5" w:rsidP="00542A27">
            <w:pPr>
              <w:rPr>
                <w:rFonts w:ascii="Times New Roman" w:hAnsi="Times New Roman" w:cs="Times New Roman"/>
                <w:sz w:val="16"/>
                <w:szCs w:val="16"/>
              </w:rPr>
            </w:pPr>
          </w:p>
        </w:tc>
      </w:tr>
      <w:tr w:rsidR="004365A5" w:rsidRPr="006F382B" w14:paraId="3F6D3522" w14:textId="77777777" w:rsidTr="00542A27">
        <w:tc>
          <w:tcPr>
            <w:tcW w:w="4508" w:type="dxa"/>
          </w:tcPr>
          <w:p w14:paraId="00C0476C" w14:textId="77777777" w:rsidR="004365A5" w:rsidRPr="006F382B" w:rsidRDefault="004365A5" w:rsidP="00542A27">
            <w:pPr>
              <w:rPr>
                <w:rFonts w:ascii="Times New Roman" w:hAnsi="Times New Roman" w:cs="Times New Roman"/>
                <w:sz w:val="16"/>
                <w:szCs w:val="16"/>
              </w:rPr>
            </w:pPr>
            <w:r>
              <w:rPr>
                <w:rFonts w:ascii="Times New Roman" w:hAnsi="Times New Roman" w:cs="Times New Roman"/>
                <w:sz w:val="16"/>
                <w:szCs w:val="16"/>
              </w:rPr>
              <w:t>Research methodology</w:t>
            </w:r>
          </w:p>
        </w:tc>
        <w:tc>
          <w:tcPr>
            <w:tcW w:w="4508" w:type="dxa"/>
          </w:tcPr>
          <w:p w14:paraId="6B8098A7" w14:textId="77777777" w:rsidR="004365A5" w:rsidRPr="006F382B" w:rsidRDefault="004365A5" w:rsidP="00542A27">
            <w:pPr>
              <w:rPr>
                <w:rFonts w:ascii="Times New Roman" w:hAnsi="Times New Roman" w:cs="Times New Roman"/>
                <w:sz w:val="16"/>
                <w:szCs w:val="16"/>
              </w:rPr>
            </w:pPr>
          </w:p>
        </w:tc>
      </w:tr>
      <w:tr w:rsidR="004365A5" w:rsidRPr="006F382B" w14:paraId="0F5C9365" w14:textId="77777777" w:rsidTr="00542A27">
        <w:tc>
          <w:tcPr>
            <w:tcW w:w="9016" w:type="dxa"/>
            <w:gridSpan w:val="2"/>
          </w:tcPr>
          <w:p w14:paraId="5B9C1EF5" w14:textId="77777777" w:rsidR="004365A5" w:rsidRPr="00202C63" w:rsidRDefault="004365A5" w:rsidP="00542A27">
            <w:pPr>
              <w:rPr>
                <w:rFonts w:ascii="Times New Roman" w:hAnsi="Times New Roman" w:cs="Times New Roman"/>
                <w:b/>
                <w:bCs/>
                <w:sz w:val="16"/>
                <w:szCs w:val="16"/>
              </w:rPr>
            </w:pPr>
            <w:r w:rsidRPr="00202C63">
              <w:rPr>
                <w:rFonts w:ascii="Times New Roman" w:hAnsi="Times New Roman" w:cs="Times New Roman"/>
                <w:b/>
                <w:bCs/>
                <w:sz w:val="16"/>
                <w:szCs w:val="16"/>
              </w:rPr>
              <w:t>Eligibility criteria</w:t>
            </w:r>
          </w:p>
        </w:tc>
      </w:tr>
      <w:tr w:rsidR="004365A5" w:rsidRPr="006F382B" w14:paraId="5C6FAB12" w14:textId="77777777" w:rsidTr="00542A27">
        <w:tc>
          <w:tcPr>
            <w:tcW w:w="4508" w:type="dxa"/>
          </w:tcPr>
          <w:p w14:paraId="6D8F3CDD"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Eligible</w:t>
            </w:r>
            <w:r>
              <w:rPr>
                <w:rFonts w:ascii="Times New Roman" w:hAnsi="Times New Roman" w:cs="Times New Roman"/>
                <w:sz w:val="16"/>
                <w:szCs w:val="16"/>
              </w:rPr>
              <w:t>:</w:t>
            </w:r>
          </w:p>
        </w:tc>
        <w:tc>
          <w:tcPr>
            <w:tcW w:w="4508" w:type="dxa"/>
          </w:tcPr>
          <w:p w14:paraId="2B1EECD0"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Not eligible</w:t>
            </w:r>
            <w:r>
              <w:rPr>
                <w:rFonts w:ascii="Times New Roman" w:hAnsi="Times New Roman" w:cs="Times New Roman"/>
                <w:sz w:val="16"/>
                <w:szCs w:val="16"/>
              </w:rPr>
              <w:t>:</w:t>
            </w:r>
          </w:p>
        </w:tc>
      </w:tr>
      <w:tr w:rsidR="004365A5" w:rsidRPr="006F382B" w14:paraId="434C7B12" w14:textId="77777777" w:rsidTr="00542A27">
        <w:tc>
          <w:tcPr>
            <w:tcW w:w="4508" w:type="dxa"/>
          </w:tcPr>
          <w:p w14:paraId="4302C4A1"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Article</w:t>
            </w:r>
            <w:r>
              <w:rPr>
                <w:rFonts w:ascii="Times New Roman" w:hAnsi="Times New Roman" w:cs="Times New Roman"/>
                <w:sz w:val="16"/>
                <w:szCs w:val="16"/>
              </w:rPr>
              <w:t>s published</w:t>
            </w:r>
            <w:r w:rsidRPr="006F382B">
              <w:rPr>
                <w:rFonts w:ascii="Times New Roman" w:hAnsi="Times New Roman" w:cs="Times New Roman"/>
                <w:sz w:val="16"/>
                <w:szCs w:val="16"/>
              </w:rPr>
              <w:t xml:space="preserve"> in a peer-reviewed journal</w:t>
            </w:r>
            <w:r>
              <w:rPr>
                <w:rFonts w:ascii="Times New Roman" w:hAnsi="Times New Roman" w:cs="Times New Roman"/>
                <w:sz w:val="16"/>
                <w:szCs w:val="16"/>
              </w:rPr>
              <w:t>s including</w:t>
            </w:r>
            <w:r w:rsidRPr="006F382B">
              <w:rPr>
                <w:rFonts w:ascii="Times New Roman" w:hAnsi="Times New Roman" w:cs="Times New Roman"/>
                <w:sz w:val="16"/>
                <w:szCs w:val="16"/>
              </w:rPr>
              <w:t>:</w:t>
            </w:r>
          </w:p>
          <w:p w14:paraId="5C3E2E53"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Original article</w:t>
            </w:r>
            <w:r>
              <w:rPr>
                <w:rFonts w:ascii="Times New Roman" w:hAnsi="Times New Roman" w:cs="Times New Roman"/>
                <w:sz w:val="16"/>
                <w:szCs w:val="16"/>
              </w:rPr>
              <w:t>s</w:t>
            </w:r>
          </w:p>
          <w:p w14:paraId="58841E30"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Review article</w:t>
            </w:r>
            <w:r>
              <w:rPr>
                <w:rFonts w:ascii="Times New Roman" w:hAnsi="Times New Roman" w:cs="Times New Roman"/>
                <w:sz w:val="16"/>
                <w:szCs w:val="16"/>
              </w:rPr>
              <w:t>s</w:t>
            </w:r>
          </w:p>
          <w:p w14:paraId="5F86F0D3"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Editorials</w:t>
            </w:r>
          </w:p>
          <w:p w14:paraId="56D1C33D"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Commission</w:t>
            </w:r>
            <w:r>
              <w:rPr>
                <w:rFonts w:ascii="Times New Roman" w:hAnsi="Times New Roman" w:cs="Times New Roman"/>
                <w:sz w:val="16"/>
                <w:szCs w:val="16"/>
              </w:rPr>
              <w:t>s</w:t>
            </w:r>
          </w:p>
          <w:p w14:paraId="483BED47"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Comments</w:t>
            </w:r>
          </w:p>
          <w:p w14:paraId="3E0A88C5"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Opinions</w:t>
            </w:r>
          </w:p>
          <w:p w14:paraId="352DCE73" w14:textId="77777777" w:rsidR="004365A5" w:rsidRPr="006F382B" w:rsidRDefault="004365A5" w:rsidP="00542A27">
            <w:pPr>
              <w:pStyle w:val="ListParagraph"/>
              <w:numPr>
                <w:ilvl w:val="0"/>
                <w:numId w:val="4"/>
              </w:numPr>
              <w:rPr>
                <w:rFonts w:ascii="Times New Roman" w:hAnsi="Times New Roman" w:cs="Times New Roman"/>
                <w:sz w:val="16"/>
                <w:szCs w:val="16"/>
              </w:rPr>
            </w:pPr>
            <w:r w:rsidRPr="006F382B">
              <w:rPr>
                <w:rFonts w:ascii="Times New Roman" w:hAnsi="Times New Roman" w:cs="Times New Roman"/>
                <w:sz w:val="16"/>
                <w:szCs w:val="16"/>
              </w:rPr>
              <w:t>Letters to the editor</w:t>
            </w:r>
          </w:p>
          <w:p w14:paraId="3955E64C"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Peer-reviewed conference papers</w:t>
            </w:r>
          </w:p>
          <w:p w14:paraId="2F70C741"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Book chapters</w:t>
            </w:r>
          </w:p>
        </w:tc>
        <w:tc>
          <w:tcPr>
            <w:tcW w:w="4508" w:type="dxa"/>
          </w:tcPr>
          <w:p w14:paraId="1498D3B2"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Dissertation</w:t>
            </w:r>
            <w:r>
              <w:rPr>
                <w:rFonts w:ascii="Times New Roman" w:hAnsi="Times New Roman" w:cs="Times New Roman"/>
                <w:sz w:val="16"/>
                <w:szCs w:val="16"/>
              </w:rPr>
              <w:t>s</w:t>
            </w:r>
          </w:p>
          <w:p w14:paraId="45FE074A"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Theses</w:t>
            </w:r>
          </w:p>
          <w:p w14:paraId="3D6A817E"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Personal narrative</w:t>
            </w:r>
            <w:r>
              <w:rPr>
                <w:rFonts w:ascii="Times New Roman" w:hAnsi="Times New Roman" w:cs="Times New Roman"/>
                <w:sz w:val="16"/>
                <w:szCs w:val="16"/>
              </w:rPr>
              <w:t>s</w:t>
            </w:r>
          </w:p>
          <w:p w14:paraId="39F68FEC"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Interview</w:t>
            </w:r>
            <w:r>
              <w:rPr>
                <w:rFonts w:ascii="Times New Roman" w:hAnsi="Times New Roman" w:cs="Times New Roman"/>
                <w:sz w:val="16"/>
                <w:szCs w:val="16"/>
              </w:rPr>
              <w:t>s</w:t>
            </w:r>
          </w:p>
          <w:p w14:paraId="42FC1FB5"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News article</w:t>
            </w:r>
            <w:r>
              <w:rPr>
                <w:rFonts w:ascii="Times New Roman" w:hAnsi="Times New Roman" w:cs="Times New Roman"/>
                <w:sz w:val="16"/>
                <w:szCs w:val="16"/>
              </w:rPr>
              <w:t>s</w:t>
            </w:r>
          </w:p>
          <w:p w14:paraId="5D594DD3"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Book review</w:t>
            </w:r>
            <w:r>
              <w:rPr>
                <w:rFonts w:ascii="Times New Roman" w:hAnsi="Times New Roman" w:cs="Times New Roman"/>
                <w:sz w:val="16"/>
                <w:szCs w:val="16"/>
              </w:rPr>
              <w:t>s</w:t>
            </w:r>
          </w:p>
          <w:p w14:paraId="460B8725"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Other non-peer</w:t>
            </w:r>
            <w:r>
              <w:rPr>
                <w:rFonts w:ascii="Times New Roman" w:hAnsi="Times New Roman" w:cs="Times New Roman"/>
                <w:sz w:val="16"/>
                <w:szCs w:val="16"/>
              </w:rPr>
              <w:t>-</w:t>
            </w:r>
            <w:r w:rsidRPr="006F382B">
              <w:rPr>
                <w:rFonts w:ascii="Times New Roman" w:hAnsi="Times New Roman" w:cs="Times New Roman"/>
                <w:sz w:val="16"/>
                <w:szCs w:val="16"/>
              </w:rPr>
              <w:t xml:space="preserve">reviewed articles </w:t>
            </w:r>
            <w:r>
              <w:rPr>
                <w:rFonts w:ascii="Times New Roman" w:hAnsi="Times New Roman" w:cs="Times New Roman"/>
                <w:sz w:val="16"/>
                <w:szCs w:val="16"/>
              </w:rPr>
              <w:t>or</w:t>
            </w:r>
            <w:r w:rsidRPr="006F382B">
              <w:rPr>
                <w:rFonts w:ascii="Times New Roman" w:hAnsi="Times New Roman" w:cs="Times New Roman"/>
                <w:sz w:val="16"/>
                <w:szCs w:val="16"/>
              </w:rPr>
              <w:t xml:space="preserve"> conference proceedings</w:t>
            </w:r>
          </w:p>
        </w:tc>
      </w:tr>
      <w:tr w:rsidR="004365A5" w:rsidRPr="006F382B" w14:paraId="51116DA9" w14:textId="77777777" w:rsidTr="00542A27">
        <w:tc>
          <w:tcPr>
            <w:tcW w:w="9016" w:type="dxa"/>
            <w:gridSpan w:val="2"/>
          </w:tcPr>
          <w:p w14:paraId="681A3934" w14:textId="77777777" w:rsidR="004365A5" w:rsidRPr="00202C63" w:rsidRDefault="004365A5" w:rsidP="00542A27">
            <w:pPr>
              <w:rPr>
                <w:rFonts w:ascii="Times New Roman" w:hAnsi="Times New Roman" w:cs="Times New Roman"/>
                <w:b/>
                <w:bCs/>
                <w:sz w:val="16"/>
                <w:szCs w:val="16"/>
              </w:rPr>
            </w:pPr>
            <w:r w:rsidRPr="00202C63">
              <w:rPr>
                <w:rFonts w:ascii="Times New Roman" w:hAnsi="Times New Roman" w:cs="Times New Roman"/>
                <w:b/>
                <w:bCs/>
                <w:sz w:val="16"/>
                <w:szCs w:val="16"/>
              </w:rPr>
              <w:t xml:space="preserve">Other </w:t>
            </w:r>
            <w:r>
              <w:rPr>
                <w:rFonts w:ascii="Times New Roman" w:hAnsi="Times New Roman" w:cs="Times New Roman"/>
                <w:b/>
                <w:bCs/>
                <w:sz w:val="16"/>
                <w:szCs w:val="16"/>
              </w:rPr>
              <w:t>E</w:t>
            </w:r>
            <w:r w:rsidRPr="00202C63">
              <w:rPr>
                <w:rFonts w:ascii="Times New Roman" w:hAnsi="Times New Roman" w:cs="Times New Roman"/>
                <w:b/>
                <w:bCs/>
                <w:sz w:val="16"/>
                <w:szCs w:val="16"/>
              </w:rPr>
              <w:t xml:space="preserve">xtraction </w:t>
            </w:r>
            <w:r>
              <w:rPr>
                <w:rFonts w:ascii="Times New Roman" w:hAnsi="Times New Roman" w:cs="Times New Roman"/>
                <w:b/>
                <w:bCs/>
                <w:sz w:val="16"/>
                <w:szCs w:val="16"/>
              </w:rPr>
              <w:t>V</w:t>
            </w:r>
            <w:r w:rsidRPr="00202C63">
              <w:rPr>
                <w:rFonts w:ascii="Times New Roman" w:hAnsi="Times New Roman" w:cs="Times New Roman"/>
                <w:b/>
                <w:bCs/>
                <w:sz w:val="16"/>
                <w:szCs w:val="16"/>
              </w:rPr>
              <w:t>ariables</w:t>
            </w:r>
          </w:p>
        </w:tc>
      </w:tr>
      <w:tr w:rsidR="004365A5" w:rsidRPr="006F382B" w14:paraId="200A6A31" w14:textId="77777777" w:rsidTr="00542A27">
        <w:tc>
          <w:tcPr>
            <w:tcW w:w="4508" w:type="dxa"/>
          </w:tcPr>
          <w:p w14:paraId="24A8CA35"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Type of study</w:t>
            </w:r>
          </w:p>
        </w:tc>
        <w:tc>
          <w:tcPr>
            <w:tcW w:w="4508" w:type="dxa"/>
          </w:tcPr>
          <w:p w14:paraId="7A62169C" w14:textId="77777777" w:rsidR="004365A5" w:rsidRPr="006F382B" w:rsidRDefault="004365A5" w:rsidP="00542A27">
            <w:pPr>
              <w:rPr>
                <w:rFonts w:ascii="Times New Roman" w:hAnsi="Times New Roman" w:cs="Times New Roman"/>
                <w:sz w:val="16"/>
                <w:szCs w:val="16"/>
              </w:rPr>
            </w:pPr>
          </w:p>
        </w:tc>
      </w:tr>
      <w:tr w:rsidR="004365A5" w:rsidRPr="006F382B" w14:paraId="35236498" w14:textId="77777777" w:rsidTr="00542A27">
        <w:tc>
          <w:tcPr>
            <w:tcW w:w="4508" w:type="dxa"/>
          </w:tcPr>
          <w:p w14:paraId="4A989585"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 xml:space="preserve">Definition of </w:t>
            </w:r>
            <w:r>
              <w:rPr>
                <w:rFonts w:ascii="Times New Roman" w:hAnsi="Times New Roman" w:cs="Times New Roman"/>
                <w:sz w:val="16"/>
                <w:szCs w:val="16"/>
              </w:rPr>
              <w:t>Ecl</w:t>
            </w:r>
            <w:r w:rsidRPr="006F382B">
              <w:rPr>
                <w:rFonts w:ascii="Times New Roman" w:hAnsi="Times New Roman" w:cs="Times New Roman"/>
                <w:sz w:val="16"/>
                <w:szCs w:val="16"/>
              </w:rPr>
              <w:t>DoH</w:t>
            </w:r>
          </w:p>
        </w:tc>
        <w:tc>
          <w:tcPr>
            <w:tcW w:w="4508" w:type="dxa"/>
          </w:tcPr>
          <w:p w14:paraId="5AACE03D" w14:textId="77777777" w:rsidR="004365A5" w:rsidRPr="006F382B" w:rsidRDefault="004365A5" w:rsidP="00542A27">
            <w:pPr>
              <w:rPr>
                <w:rFonts w:ascii="Times New Roman" w:hAnsi="Times New Roman" w:cs="Times New Roman"/>
                <w:sz w:val="16"/>
                <w:szCs w:val="16"/>
              </w:rPr>
            </w:pPr>
          </w:p>
        </w:tc>
      </w:tr>
      <w:tr w:rsidR="004365A5" w:rsidRPr="006F382B" w14:paraId="1D89A372" w14:textId="77777777" w:rsidTr="00542A27">
        <w:tc>
          <w:tcPr>
            <w:tcW w:w="4508" w:type="dxa"/>
          </w:tcPr>
          <w:p w14:paraId="29D6EC4B" w14:textId="77777777" w:rsidR="004365A5" w:rsidRPr="006F382B" w:rsidRDefault="004365A5" w:rsidP="00542A27">
            <w:pPr>
              <w:rPr>
                <w:rFonts w:ascii="Times New Roman" w:hAnsi="Times New Roman" w:cs="Times New Roman"/>
                <w:sz w:val="16"/>
                <w:szCs w:val="16"/>
              </w:rPr>
            </w:pPr>
            <w:r>
              <w:rPr>
                <w:rFonts w:ascii="Times New Roman" w:hAnsi="Times New Roman" w:cs="Times New Roman"/>
                <w:sz w:val="16"/>
                <w:szCs w:val="16"/>
              </w:rPr>
              <w:t>Types</w:t>
            </w:r>
            <w:r w:rsidRPr="006F382B">
              <w:rPr>
                <w:rFonts w:ascii="Times New Roman" w:hAnsi="Times New Roman" w:cs="Times New Roman"/>
                <w:sz w:val="16"/>
                <w:szCs w:val="16"/>
              </w:rPr>
              <w:t xml:space="preserve"> of </w:t>
            </w:r>
            <w:r>
              <w:rPr>
                <w:rFonts w:ascii="Times New Roman" w:hAnsi="Times New Roman" w:cs="Times New Roman"/>
                <w:sz w:val="16"/>
                <w:szCs w:val="16"/>
              </w:rPr>
              <w:t>Ecl</w:t>
            </w:r>
            <w:r w:rsidRPr="006F382B">
              <w:rPr>
                <w:rFonts w:ascii="Times New Roman" w:hAnsi="Times New Roman" w:cs="Times New Roman"/>
                <w:sz w:val="16"/>
                <w:szCs w:val="16"/>
              </w:rPr>
              <w:t>DoH</w:t>
            </w:r>
          </w:p>
        </w:tc>
        <w:tc>
          <w:tcPr>
            <w:tcW w:w="4508" w:type="dxa"/>
          </w:tcPr>
          <w:p w14:paraId="3533C141" w14:textId="77777777" w:rsidR="004365A5" w:rsidRPr="006F382B" w:rsidRDefault="004365A5" w:rsidP="00542A27">
            <w:pPr>
              <w:rPr>
                <w:rFonts w:ascii="Times New Roman" w:hAnsi="Times New Roman" w:cs="Times New Roman"/>
                <w:sz w:val="16"/>
                <w:szCs w:val="16"/>
              </w:rPr>
            </w:pPr>
          </w:p>
        </w:tc>
      </w:tr>
      <w:tr w:rsidR="004365A5" w:rsidRPr="006F382B" w14:paraId="3DC943D7" w14:textId="77777777" w:rsidTr="00542A27">
        <w:tc>
          <w:tcPr>
            <w:tcW w:w="4508" w:type="dxa"/>
          </w:tcPr>
          <w:p w14:paraId="4450152B" w14:textId="77777777" w:rsidR="004365A5" w:rsidRPr="006F382B" w:rsidRDefault="004365A5" w:rsidP="00542A27">
            <w:pPr>
              <w:rPr>
                <w:rFonts w:ascii="Times New Roman" w:hAnsi="Times New Roman" w:cs="Times New Roman"/>
                <w:sz w:val="16"/>
                <w:szCs w:val="16"/>
              </w:rPr>
            </w:pPr>
            <w:r w:rsidRPr="006F382B">
              <w:rPr>
                <w:rFonts w:ascii="Times New Roman" w:hAnsi="Times New Roman" w:cs="Times New Roman"/>
                <w:sz w:val="16"/>
                <w:szCs w:val="16"/>
              </w:rPr>
              <w:t xml:space="preserve">Relationship between </w:t>
            </w:r>
            <w:r>
              <w:rPr>
                <w:rFonts w:ascii="Times New Roman" w:hAnsi="Times New Roman" w:cs="Times New Roman"/>
                <w:sz w:val="16"/>
                <w:szCs w:val="16"/>
              </w:rPr>
              <w:t>Ecl</w:t>
            </w:r>
            <w:r w:rsidRPr="006F382B">
              <w:rPr>
                <w:rFonts w:ascii="Times New Roman" w:hAnsi="Times New Roman" w:cs="Times New Roman"/>
                <w:sz w:val="16"/>
                <w:szCs w:val="16"/>
              </w:rPr>
              <w:t>DoH</w:t>
            </w:r>
            <w:r>
              <w:rPr>
                <w:rFonts w:ascii="Times New Roman" w:hAnsi="Times New Roman" w:cs="Times New Roman"/>
                <w:sz w:val="16"/>
                <w:szCs w:val="16"/>
              </w:rPr>
              <w:t xml:space="preserve">, EnvDoH, </w:t>
            </w:r>
            <w:r w:rsidRPr="006F382B">
              <w:rPr>
                <w:rFonts w:ascii="Times New Roman" w:hAnsi="Times New Roman" w:cs="Times New Roman"/>
                <w:sz w:val="16"/>
                <w:szCs w:val="16"/>
              </w:rPr>
              <w:t>SDoH a</w:t>
            </w:r>
            <w:r>
              <w:rPr>
                <w:rFonts w:ascii="Times New Roman" w:hAnsi="Times New Roman" w:cs="Times New Roman"/>
                <w:sz w:val="16"/>
                <w:szCs w:val="16"/>
              </w:rPr>
              <w:t>nd</w:t>
            </w:r>
            <w:r w:rsidRPr="006F382B">
              <w:rPr>
                <w:rFonts w:ascii="Times New Roman" w:hAnsi="Times New Roman" w:cs="Times New Roman"/>
                <w:sz w:val="16"/>
                <w:szCs w:val="16"/>
              </w:rPr>
              <w:t xml:space="preserve"> other determinants of health</w:t>
            </w:r>
          </w:p>
        </w:tc>
        <w:tc>
          <w:tcPr>
            <w:tcW w:w="4508" w:type="dxa"/>
          </w:tcPr>
          <w:p w14:paraId="4F48FAC5" w14:textId="77777777" w:rsidR="004365A5" w:rsidRPr="006F382B" w:rsidRDefault="004365A5" w:rsidP="00542A27">
            <w:pPr>
              <w:rPr>
                <w:rFonts w:ascii="Times New Roman" w:hAnsi="Times New Roman" w:cs="Times New Roman"/>
                <w:sz w:val="16"/>
                <w:szCs w:val="16"/>
              </w:rPr>
            </w:pPr>
          </w:p>
        </w:tc>
      </w:tr>
    </w:tbl>
    <w:p w14:paraId="6D3C54A3" w14:textId="77777777" w:rsidR="004365A5" w:rsidRPr="006F382B" w:rsidRDefault="004365A5" w:rsidP="004365A5">
      <w:pPr>
        <w:spacing w:line="240" w:lineRule="auto"/>
        <w:rPr>
          <w:rFonts w:ascii="Times New Roman" w:hAnsi="Times New Roman" w:cs="Times New Roman"/>
          <w:sz w:val="16"/>
          <w:szCs w:val="16"/>
        </w:rPr>
      </w:pPr>
    </w:p>
    <w:p w14:paraId="2E3093E8" w14:textId="77777777" w:rsidR="008202FC" w:rsidRDefault="008202FC" w:rsidP="008202FC">
      <w:pPr>
        <w:spacing w:line="240" w:lineRule="auto"/>
        <w:rPr>
          <w:rFonts w:ascii="Times New Roman" w:hAnsi="Times New Roman" w:cs="Times New Roman"/>
          <w:sz w:val="16"/>
          <w:szCs w:val="16"/>
        </w:rPr>
      </w:pPr>
    </w:p>
    <w:p w14:paraId="5AB2E57A" w14:textId="77777777" w:rsidR="008202FC" w:rsidRDefault="008202FC" w:rsidP="008202FC">
      <w:pPr>
        <w:spacing w:line="240" w:lineRule="auto"/>
        <w:rPr>
          <w:rFonts w:ascii="Times New Roman" w:hAnsi="Times New Roman" w:cs="Times New Roman"/>
          <w:sz w:val="16"/>
          <w:szCs w:val="16"/>
        </w:rPr>
      </w:pPr>
    </w:p>
    <w:p w14:paraId="1DF3FD7F" w14:textId="77777777" w:rsidR="00DA3B5C" w:rsidRDefault="00DA3B5C" w:rsidP="008202FC">
      <w:pPr>
        <w:spacing w:line="240" w:lineRule="auto"/>
        <w:rPr>
          <w:rFonts w:ascii="Times New Roman" w:hAnsi="Times New Roman" w:cs="Times New Roman"/>
          <w:sz w:val="16"/>
          <w:szCs w:val="16"/>
        </w:rPr>
      </w:pPr>
    </w:p>
    <w:p w14:paraId="15ED1F85" w14:textId="77777777" w:rsidR="00DA3B5C" w:rsidRDefault="00DA3B5C" w:rsidP="008202FC">
      <w:pPr>
        <w:spacing w:line="240" w:lineRule="auto"/>
        <w:rPr>
          <w:rFonts w:ascii="Times New Roman" w:hAnsi="Times New Roman" w:cs="Times New Roman"/>
          <w:sz w:val="16"/>
          <w:szCs w:val="16"/>
        </w:rPr>
      </w:pPr>
    </w:p>
    <w:p w14:paraId="362A0F5A" w14:textId="77777777" w:rsidR="00DA3B5C" w:rsidRDefault="00DA3B5C" w:rsidP="008202FC">
      <w:pPr>
        <w:spacing w:line="240" w:lineRule="auto"/>
        <w:rPr>
          <w:rFonts w:ascii="Times New Roman" w:hAnsi="Times New Roman" w:cs="Times New Roman"/>
          <w:sz w:val="16"/>
          <w:szCs w:val="16"/>
        </w:rPr>
      </w:pPr>
    </w:p>
    <w:p w14:paraId="1D5C4ED0" w14:textId="77777777" w:rsidR="00DA3B5C" w:rsidRDefault="00DA3B5C" w:rsidP="008202FC">
      <w:pPr>
        <w:spacing w:line="240" w:lineRule="auto"/>
        <w:rPr>
          <w:rFonts w:ascii="Times New Roman" w:hAnsi="Times New Roman" w:cs="Times New Roman"/>
          <w:sz w:val="16"/>
          <w:szCs w:val="16"/>
        </w:rPr>
      </w:pPr>
    </w:p>
    <w:p w14:paraId="63190771" w14:textId="77777777" w:rsidR="00DA3B5C" w:rsidRDefault="00DA3B5C" w:rsidP="008202FC">
      <w:pPr>
        <w:spacing w:line="240" w:lineRule="auto"/>
        <w:rPr>
          <w:rFonts w:ascii="Times New Roman" w:hAnsi="Times New Roman" w:cs="Times New Roman"/>
          <w:sz w:val="16"/>
          <w:szCs w:val="16"/>
        </w:rPr>
      </w:pPr>
    </w:p>
    <w:p w14:paraId="624E65D3" w14:textId="77777777" w:rsidR="00DA3B5C" w:rsidRDefault="00DA3B5C" w:rsidP="008202FC">
      <w:pPr>
        <w:spacing w:line="240" w:lineRule="auto"/>
        <w:rPr>
          <w:rFonts w:ascii="Times New Roman" w:hAnsi="Times New Roman" w:cs="Times New Roman"/>
          <w:sz w:val="16"/>
          <w:szCs w:val="16"/>
        </w:rPr>
      </w:pPr>
    </w:p>
    <w:p w14:paraId="04825B68" w14:textId="77777777" w:rsidR="00DA3B5C" w:rsidRDefault="00DA3B5C" w:rsidP="008202FC">
      <w:pPr>
        <w:spacing w:line="240" w:lineRule="auto"/>
        <w:rPr>
          <w:rFonts w:ascii="Times New Roman" w:hAnsi="Times New Roman" w:cs="Times New Roman"/>
          <w:sz w:val="16"/>
          <w:szCs w:val="16"/>
        </w:rPr>
      </w:pPr>
    </w:p>
    <w:p w14:paraId="555F5AC4" w14:textId="77777777" w:rsidR="00DA3B5C" w:rsidRDefault="00DA3B5C" w:rsidP="008202FC">
      <w:pPr>
        <w:spacing w:line="240" w:lineRule="auto"/>
        <w:rPr>
          <w:rFonts w:ascii="Times New Roman" w:hAnsi="Times New Roman" w:cs="Times New Roman"/>
          <w:sz w:val="16"/>
          <w:szCs w:val="16"/>
        </w:rPr>
      </w:pPr>
    </w:p>
    <w:p w14:paraId="52EB427E" w14:textId="77777777" w:rsidR="00DA3B5C" w:rsidRDefault="00DA3B5C" w:rsidP="008202FC">
      <w:pPr>
        <w:spacing w:line="240" w:lineRule="auto"/>
        <w:rPr>
          <w:rFonts w:ascii="Times New Roman" w:hAnsi="Times New Roman" w:cs="Times New Roman"/>
          <w:sz w:val="16"/>
          <w:szCs w:val="16"/>
        </w:rPr>
      </w:pPr>
    </w:p>
    <w:p w14:paraId="35314A73" w14:textId="77777777" w:rsidR="00DA3B5C" w:rsidRDefault="00DA3B5C" w:rsidP="008202FC">
      <w:pPr>
        <w:spacing w:line="240" w:lineRule="auto"/>
        <w:rPr>
          <w:rFonts w:ascii="Times New Roman" w:hAnsi="Times New Roman" w:cs="Times New Roman"/>
          <w:sz w:val="16"/>
          <w:szCs w:val="16"/>
        </w:rPr>
      </w:pPr>
    </w:p>
    <w:p w14:paraId="45916798" w14:textId="77777777" w:rsidR="00DA3B5C" w:rsidRDefault="00DA3B5C" w:rsidP="008202FC">
      <w:pPr>
        <w:spacing w:line="240" w:lineRule="auto"/>
        <w:rPr>
          <w:rFonts w:ascii="Times New Roman" w:hAnsi="Times New Roman" w:cs="Times New Roman"/>
          <w:sz w:val="16"/>
          <w:szCs w:val="16"/>
        </w:rPr>
      </w:pPr>
    </w:p>
    <w:p w14:paraId="10F63A51" w14:textId="77777777" w:rsidR="00DA3B5C" w:rsidRDefault="00DA3B5C" w:rsidP="008202FC">
      <w:pPr>
        <w:spacing w:line="240" w:lineRule="auto"/>
        <w:rPr>
          <w:rFonts w:ascii="Times New Roman" w:hAnsi="Times New Roman" w:cs="Times New Roman"/>
          <w:sz w:val="16"/>
          <w:szCs w:val="16"/>
        </w:rPr>
      </w:pPr>
    </w:p>
    <w:p w14:paraId="02CE3B37" w14:textId="77777777" w:rsidR="00DA3B5C" w:rsidRDefault="00DA3B5C" w:rsidP="008202FC">
      <w:pPr>
        <w:spacing w:line="240" w:lineRule="auto"/>
        <w:rPr>
          <w:rFonts w:ascii="Times New Roman" w:hAnsi="Times New Roman" w:cs="Times New Roman"/>
          <w:sz w:val="16"/>
          <w:szCs w:val="16"/>
        </w:rPr>
      </w:pPr>
    </w:p>
    <w:p w14:paraId="07F57A71" w14:textId="77777777" w:rsidR="00DA3B5C" w:rsidRDefault="00DA3B5C" w:rsidP="008202FC">
      <w:pPr>
        <w:spacing w:line="240" w:lineRule="auto"/>
        <w:rPr>
          <w:rFonts w:ascii="Times New Roman" w:hAnsi="Times New Roman" w:cs="Times New Roman"/>
          <w:sz w:val="16"/>
          <w:szCs w:val="16"/>
        </w:rPr>
      </w:pPr>
    </w:p>
    <w:p w14:paraId="508EEF27" w14:textId="77777777" w:rsidR="00DA3B5C" w:rsidRDefault="00DA3B5C" w:rsidP="008202FC">
      <w:pPr>
        <w:spacing w:line="240" w:lineRule="auto"/>
        <w:rPr>
          <w:rFonts w:ascii="Times New Roman" w:hAnsi="Times New Roman" w:cs="Times New Roman"/>
          <w:sz w:val="16"/>
          <w:szCs w:val="16"/>
        </w:rPr>
      </w:pPr>
    </w:p>
    <w:p w14:paraId="4FF8E380" w14:textId="77777777" w:rsidR="00DA3B5C" w:rsidRDefault="00DA3B5C" w:rsidP="008202FC">
      <w:pPr>
        <w:spacing w:line="240" w:lineRule="auto"/>
        <w:rPr>
          <w:rFonts w:ascii="Times New Roman" w:hAnsi="Times New Roman" w:cs="Times New Roman"/>
          <w:sz w:val="16"/>
          <w:szCs w:val="16"/>
        </w:rPr>
      </w:pPr>
    </w:p>
    <w:p w14:paraId="1E89374C" w14:textId="77777777" w:rsidR="00DA3B5C" w:rsidRDefault="00DA3B5C" w:rsidP="008202FC">
      <w:pPr>
        <w:spacing w:line="240" w:lineRule="auto"/>
        <w:rPr>
          <w:rFonts w:ascii="Times New Roman" w:hAnsi="Times New Roman" w:cs="Times New Roman"/>
          <w:sz w:val="16"/>
          <w:szCs w:val="16"/>
        </w:rPr>
      </w:pPr>
    </w:p>
    <w:p w14:paraId="57A59B3F" w14:textId="77777777" w:rsidR="00DA3B5C" w:rsidRDefault="00DA3B5C" w:rsidP="008202FC">
      <w:pPr>
        <w:spacing w:line="240" w:lineRule="auto"/>
        <w:rPr>
          <w:rFonts w:ascii="Times New Roman" w:hAnsi="Times New Roman" w:cs="Times New Roman"/>
          <w:sz w:val="16"/>
          <w:szCs w:val="16"/>
        </w:rPr>
      </w:pPr>
    </w:p>
    <w:p w14:paraId="7E95D97E" w14:textId="77777777" w:rsidR="00DA3B5C" w:rsidRDefault="00DA3B5C" w:rsidP="008202FC">
      <w:pPr>
        <w:spacing w:line="240" w:lineRule="auto"/>
        <w:rPr>
          <w:rFonts w:ascii="Times New Roman" w:hAnsi="Times New Roman" w:cs="Times New Roman"/>
          <w:sz w:val="16"/>
          <w:szCs w:val="16"/>
        </w:rPr>
      </w:pPr>
    </w:p>
    <w:p w14:paraId="08F564A4" w14:textId="77777777" w:rsidR="00DA3B5C" w:rsidRPr="008202FC" w:rsidRDefault="00DA3B5C" w:rsidP="008202FC">
      <w:pPr>
        <w:spacing w:line="240" w:lineRule="auto"/>
        <w:rPr>
          <w:rFonts w:ascii="Times New Roman" w:hAnsi="Times New Roman" w:cs="Times New Roman"/>
          <w:sz w:val="16"/>
          <w:szCs w:val="16"/>
        </w:rPr>
      </w:pPr>
    </w:p>
    <w:p w14:paraId="66B6920D" w14:textId="1C4E8F71" w:rsidR="00BD335C" w:rsidRDefault="00B8224A" w:rsidP="006F382B">
      <w:pPr>
        <w:spacing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Supplement File</w:t>
      </w:r>
      <w:r w:rsidR="00AC439C" w:rsidRPr="006F382B">
        <w:rPr>
          <w:rFonts w:ascii="Times New Roman" w:hAnsi="Times New Roman" w:cs="Times New Roman"/>
          <w:b/>
          <w:bCs/>
          <w:sz w:val="20"/>
          <w:szCs w:val="20"/>
        </w:rPr>
        <w:t xml:space="preserve"> </w:t>
      </w:r>
      <w:r w:rsidR="00960531">
        <w:rPr>
          <w:rFonts w:ascii="Times New Roman" w:hAnsi="Times New Roman" w:cs="Times New Roman"/>
          <w:b/>
          <w:bCs/>
          <w:sz w:val="20"/>
          <w:szCs w:val="20"/>
        </w:rPr>
        <w:t>E</w:t>
      </w:r>
      <w:r w:rsidR="00AC439C" w:rsidRPr="006F382B">
        <w:rPr>
          <w:rFonts w:ascii="Times New Roman" w:hAnsi="Times New Roman" w:cs="Times New Roman"/>
          <w:b/>
          <w:bCs/>
          <w:sz w:val="20"/>
          <w:szCs w:val="20"/>
        </w:rPr>
        <w:t xml:space="preserve">: </w:t>
      </w:r>
      <w:r w:rsidR="00225F0B" w:rsidRPr="00225F0B">
        <w:rPr>
          <w:rFonts w:ascii="Times New Roman" w:hAnsi="Times New Roman" w:cs="Times New Roman"/>
          <w:b/>
          <w:bCs/>
          <w:sz w:val="20"/>
          <w:szCs w:val="20"/>
        </w:rPr>
        <w:t>Inclusion Criteria Fulfilled by the Included Publications (N = 10</w:t>
      </w:r>
      <w:r w:rsidR="00225F0B">
        <w:rPr>
          <w:rFonts w:ascii="Times New Roman" w:hAnsi="Times New Roman" w:cs="Times New Roman"/>
          <w:b/>
          <w:bCs/>
          <w:sz w:val="20"/>
          <w:szCs w:val="20"/>
        </w:rPr>
        <w:t>0</w:t>
      </w:r>
      <w:r w:rsidR="00225F0B" w:rsidRPr="00225F0B">
        <w:rPr>
          <w:rFonts w:ascii="Times New Roman" w:hAnsi="Times New Roman" w:cs="Times New Roman"/>
          <w:b/>
          <w:bCs/>
          <w:sz w:val="20"/>
          <w:szCs w:val="20"/>
        </w:rPr>
        <w:t>)</w:t>
      </w:r>
    </w:p>
    <w:tbl>
      <w:tblPr>
        <w:tblStyle w:val="TableGrid"/>
        <w:tblW w:w="0" w:type="auto"/>
        <w:tblLook w:val="04A0" w:firstRow="1" w:lastRow="0" w:firstColumn="1" w:lastColumn="0" w:noHBand="0" w:noVBand="1"/>
      </w:tblPr>
      <w:tblGrid>
        <w:gridCol w:w="2547"/>
        <w:gridCol w:w="1417"/>
        <w:gridCol w:w="1418"/>
        <w:gridCol w:w="1276"/>
        <w:gridCol w:w="1134"/>
        <w:gridCol w:w="1224"/>
      </w:tblGrid>
      <w:tr w:rsidR="00BD335C" w14:paraId="4D8F049B" w14:textId="77777777" w:rsidTr="008B38E8">
        <w:tc>
          <w:tcPr>
            <w:tcW w:w="2547" w:type="dxa"/>
          </w:tcPr>
          <w:p w14:paraId="04B2D3D8" w14:textId="5B37DCCD" w:rsidR="00BD335C" w:rsidRDefault="00BD335C" w:rsidP="00BD335C">
            <w:pPr>
              <w:rPr>
                <w:rFonts w:ascii="Times New Roman" w:hAnsi="Times New Roman" w:cs="Times New Roman"/>
                <w:b/>
                <w:bCs/>
                <w:sz w:val="20"/>
                <w:szCs w:val="20"/>
              </w:rPr>
            </w:pPr>
            <w:r w:rsidRPr="006F382B">
              <w:rPr>
                <w:rFonts w:ascii="Times New Roman" w:eastAsia="Times New Roman" w:hAnsi="Times New Roman" w:cs="Times New Roman"/>
                <w:b/>
                <w:bCs/>
                <w:kern w:val="0"/>
                <w:sz w:val="16"/>
                <w:szCs w:val="16"/>
                <w:lang w:eastAsia="en-GB"/>
                <w14:ligatures w14:val="none"/>
              </w:rPr>
              <w:t>Record</w:t>
            </w:r>
          </w:p>
        </w:tc>
        <w:tc>
          <w:tcPr>
            <w:tcW w:w="1417" w:type="dxa"/>
          </w:tcPr>
          <w:p w14:paraId="5B75C54E" w14:textId="091E8642" w:rsidR="00BD335C" w:rsidRDefault="00BD335C" w:rsidP="00BD335C">
            <w:pPr>
              <w:rPr>
                <w:rFonts w:ascii="Times New Roman" w:hAnsi="Times New Roman" w:cs="Times New Roman"/>
                <w:b/>
                <w:bCs/>
                <w:sz w:val="20"/>
                <w:szCs w:val="20"/>
              </w:rPr>
            </w:pPr>
            <w:r w:rsidRPr="006F382B">
              <w:rPr>
                <w:rFonts w:ascii="Times New Roman" w:eastAsia="Times New Roman" w:hAnsi="Times New Roman" w:cs="Times New Roman"/>
                <w:b/>
                <w:bCs/>
                <w:color w:val="000000"/>
                <w:kern w:val="0"/>
                <w:sz w:val="16"/>
                <w:szCs w:val="16"/>
                <w:lang w:eastAsia="en-GB"/>
                <w14:ligatures w14:val="none"/>
              </w:rPr>
              <w:t>Type of publication</w:t>
            </w:r>
            <w:r>
              <w:rPr>
                <w:rFonts w:ascii="Times New Roman" w:eastAsia="Times New Roman" w:hAnsi="Times New Roman" w:cs="Times New Roman"/>
                <w:b/>
                <w:bCs/>
                <w:color w:val="000000"/>
                <w:kern w:val="0"/>
                <w:sz w:val="16"/>
                <w:szCs w:val="16"/>
                <w:lang w:eastAsia="en-GB"/>
                <w14:ligatures w14:val="none"/>
              </w:rPr>
              <w:t>*</w:t>
            </w:r>
          </w:p>
        </w:tc>
        <w:tc>
          <w:tcPr>
            <w:tcW w:w="1418" w:type="dxa"/>
          </w:tcPr>
          <w:p w14:paraId="501F383F" w14:textId="73114706" w:rsidR="00BD335C" w:rsidRDefault="00BD335C" w:rsidP="00BD335C">
            <w:pPr>
              <w:rPr>
                <w:rFonts w:ascii="Times New Roman" w:hAnsi="Times New Roman" w:cs="Times New Roman"/>
                <w:b/>
                <w:bCs/>
                <w:sz w:val="20"/>
                <w:szCs w:val="20"/>
              </w:rPr>
            </w:pPr>
            <w:r w:rsidRPr="006F382B">
              <w:rPr>
                <w:rFonts w:ascii="Times New Roman" w:eastAsia="Times New Roman" w:hAnsi="Times New Roman" w:cs="Times New Roman"/>
                <w:b/>
                <w:bCs/>
                <w:color w:val="000000"/>
                <w:kern w:val="0"/>
                <w:sz w:val="16"/>
                <w:szCs w:val="16"/>
                <w:lang w:eastAsia="en-GB"/>
                <w14:ligatures w14:val="none"/>
              </w:rPr>
              <w:t>Country of the corresponding author</w:t>
            </w:r>
          </w:p>
        </w:tc>
        <w:tc>
          <w:tcPr>
            <w:tcW w:w="1276" w:type="dxa"/>
          </w:tcPr>
          <w:p w14:paraId="58BDACD7" w14:textId="78DEA218" w:rsidR="00BD335C" w:rsidRDefault="00BD335C" w:rsidP="00BD335C">
            <w:pPr>
              <w:rPr>
                <w:rFonts w:ascii="Times New Roman" w:hAnsi="Times New Roman" w:cs="Times New Roman"/>
                <w:b/>
                <w:bCs/>
                <w:sz w:val="20"/>
                <w:szCs w:val="20"/>
              </w:rPr>
            </w:pPr>
            <w:r w:rsidRPr="006F382B">
              <w:rPr>
                <w:rFonts w:ascii="Times New Roman" w:eastAsia="Times New Roman" w:hAnsi="Times New Roman" w:cs="Times New Roman"/>
                <w:b/>
                <w:bCs/>
                <w:color w:val="000000"/>
                <w:kern w:val="0"/>
                <w:sz w:val="16"/>
                <w:szCs w:val="16"/>
                <w:lang w:eastAsia="en-GB"/>
                <w14:ligatures w14:val="none"/>
              </w:rPr>
              <w:t>Definition</w:t>
            </w:r>
          </w:p>
        </w:tc>
        <w:tc>
          <w:tcPr>
            <w:tcW w:w="1134" w:type="dxa"/>
          </w:tcPr>
          <w:p w14:paraId="7F9C99C8" w14:textId="68D13ECC" w:rsidR="00BD335C" w:rsidRDefault="00BD335C" w:rsidP="00BD335C">
            <w:pPr>
              <w:rPr>
                <w:rFonts w:ascii="Times New Roman" w:hAnsi="Times New Roman" w:cs="Times New Roman"/>
                <w:b/>
                <w:bCs/>
                <w:sz w:val="20"/>
                <w:szCs w:val="20"/>
              </w:rPr>
            </w:pPr>
            <w:r w:rsidRPr="00BD335C">
              <w:rPr>
                <w:rFonts w:ascii="Times New Roman" w:hAnsi="Times New Roman" w:cs="Times New Roman"/>
                <w:b/>
                <w:bCs/>
                <w:sz w:val="16"/>
                <w:szCs w:val="16"/>
              </w:rPr>
              <w:t>Components</w:t>
            </w:r>
          </w:p>
        </w:tc>
        <w:tc>
          <w:tcPr>
            <w:tcW w:w="1224" w:type="dxa"/>
          </w:tcPr>
          <w:p w14:paraId="35C47A27" w14:textId="07A7AB13" w:rsidR="00BD335C" w:rsidRDefault="00BD335C" w:rsidP="00BD335C">
            <w:pPr>
              <w:rPr>
                <w:rFonts w:ascii="Times New Roman" w:hAnsi="Times New Roman" w:cs="Times New Roman"/>
                <w:b/>
                <w:bCs/>
                <w:sz w:val="20"/>
                <w:szCs w:val="20"/>
              </w:rPr>
            </w:pPr>
            <w:r w:rsidRPr="006F382B">
              <w:rPr>
                <w:rFonts w:ascii="Times New Roman" w:eastAsia="Times New Roman" w:hAnsi="Times New Roman" w:cs="Times New Roman"/>
                <w:b/>
                <w:bCs/>
                <w:color w:val="000000"/>
                <w:kern w:val="0"/>
                <w:sz w:val="16"/>
                <w:szCs w:val="16"/>
                <w:lang w:eastAsia="en-GB"/>
                <w14:ligatures w14:val="none"/>
              </w:rPr>
              <w:t>Relationship</w:t>
            </w:r>
          </w:p>
        </w:tc>
      </w:tr>
      <w:tr w:rsidR="00FB4BF2" w14:paraId="78E9B533" w14:textId="77777777" w:rsidTr="008B38E8">
        <w:tc>
          <w:tcPr>
            <w:tcW w:w="2547" w:type="dxa"/>
            <w:vAlign w:val="bottom"/>
          </w:tcPr>
          <w:p w14:paraId="02B0915E" w14:textId="027505B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Acheson et al, 2018</w:t>
            </w:r>
          </w:p>
        </w:tc>
        <w:tc>
          <w:tcPr>
            <w:tcW w:w="1417" w:type="dxa"/>
            <w:vAlign w:val="bottom"/>
          </w:tcPr>
          <w:p w14:paraId="4AC57B92" w14:textId="5E69C6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15226144" w14:textId="1ADFC8E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2FA3449" w14:textId="162A164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3B4B268" w14:textId="67A5D15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62D0A1C" w14:textId="5F5D339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42F3946" w14:textId="77777777" w:rsidTr="008B38E8">
        <w:tc>
          <w:tcPr>
            <w:tcW w:w="2547" w:type="dxa"/>
            <w:vAlign w:val="bottom"/>
          </w:tcPr>
          <w:p w14:paraId="38D96E59" w14:textId="15906BF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Akter et al, 2017</w:t>
            </w:r>
          </w:p>
        </w:tc>
        <w:tc>
          <w:tcPr>
            <w:tcW w:w="1417" w:type="dxa"/>
            <w:vAlign w:val="bottom"/>
          </w:tcPr>
          <w:p w14:paraId="086B19BD" w14:textId="608B9D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FC70D21" w14:textId="672EDA1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624F5792" w14:textId="0B715EF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8DF58CE" w14:textId="17546BC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B5E855E" w14:textId="1CB70F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7100215" w14:textId="77777777" w:rsidTr="008B38E8">
        <w:tc>
          <w:tcPr>
            <w:tcW w:w="2547" w:type="dxa"/>
            <w:vAlign w:val="bottom"/>
          </w:tcPr>
          <w:p w14:paraId="22B4E8E8" w14:textId="6AD8DB4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Alma</w:t>
            </w:r>
            <w:r w:rsidR="00C61376">
              <w:rPr>
                <w:rFonts w:ascii="Times New Roman" w:hAnsi="Times New Roman" w:cs="Times New Roman"/>
                <w:color w:val="000000"/>
                <w:sz w:val="16"/>
                <w:szCs w:val="16"/>
              </w:rPr>
              <w:t>l</w:t>
            </w:r>
            <w:r w:rsidRPr="00FB4BF2">
              <w:rPr>
                <w:rFonts w:ascii="Times New Roman" w:hAnsi="Times New Roman" w:cs="Times New Roman"/>
                <w:color w:val="000000"/>
                <w:sz w:val="16"/>
                <w:szCs w:val="16"/>
              </w:rPr>
              <w:t xml:space="preserve">ki </w:t>
            </w:r>
            <w:r w:rsidR="008B38E8">
              <w:rPr>
                <w:rFonts w:ascii="Times New Roman" w:hAnsi="Times New Roman" w:cs="Times New Roman"/>
                <w:color w:val="000000"/>
                <w:sz w:val="16"/>
                <w:szCs w:val="16"/>
              </w:rPr>
              <w:t>and Karunamoorthi</w:t>
            </w:r>
            <w:r w:rsidRPr="00FB4BF2">
              <w:rPr>
                <w:rFonts w:ascii="Times New Roman" w:hAnsi="Times New Roman" w:cs="Times New Roman"/>
                <w:color w:val="000000"/>
                <w:sz w:val="16"/>
                <w:szCs w:val="16"/>
              </w:rPr>
              <w:t>, 2024</w:t>
            </w:r>
          </w:p>
        </w:tc>
        <w:tc>
          <w:tcPr>
            <w:tcW w:w="1417" w:type="dxa"/>
            <w:vAlign w:val="bottom"/>
          </w:tcPr>
          <w:p w14:paraId="1157C1C9" w14:textId="6503A2A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6EB1E3A7" w14:textId="5783854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Saudi Arabia</w:t>
            </w:r>
          </w:p>
        </w:tc>
        <w:tc>
          <w:tcPr>
            <w:tcW w:w="1276" w:type="dxa"/>
            <w:vAlign w:val="bottom"/>
          </w:tcPr>
          <w:p w14:paraId="3977813E" w14:textId="6B9DFAB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8A5FFDD" w14:textId="26A8489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355A10B" w14:textId="20F5004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48F3DA7" w14:textId="77777777" w:rsidTr="008B38E8">
        <w:tc>
          <w:tcPr>
            <w:tcW w:w="2547" w:type="dxa"/>
            <w:vAlign w:val="bottom"/>
          </w:tcPr>
          <w:p w14:paraId="5C2CA65C" w14:textId="721770B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Basir et al, 2024</w:t>
            </w:r>
          </w:p>
        </w:tc>
        <w:tc>
          <w:tcPr>
            <w:tcW w:w="1417" w:type="dxa"/>
            <w:vAlign w:val="bottom"/>
          </w:tcPr>
          <w:p w14:paraId="37F7033F" w14:textId="084BF1A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A4449FA" w14:textId="6483418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Malaysia</w:t>
            </w:r>
          </w:p>
        </w:tc>
        <w:tc>
          <w:tcPr>
            <w:tcW w:w="1276" w:type="dxa"/>
            <w:vAlign w:val="bottom"/>
          </w:tcPr>
          <w:p w14:paraId="48D6B73D" w14:textId="1A76B7E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70407A92" w14:textId="577A188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4AB23F4" w14:textId="020B8C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F9D9CBC" w14:textId="77777777" w:rsidTr="008B38E8">
        <w:tc>
          <w:tcPr>
            <w:tcW w:w="2547" w:type="dxa"/>
            <w:vAlign w:val="bottom"/>
          </w:tcPr>
          <w:p w14:paraId="663D0CCD" w14:textId="102BDA1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Bennett et al, 2024</w:t>
            </w:r>
          </w:p>
        </w:tc>
        <w:tc>
          <w:tcPr>
            <w:tcW w:w="1417" w:type="dxa"/>
            <w:vAlign w:val="bottom"/>
          </w:tcPr>
          <w:p w14:paraId="4F210C35" w14:textId="7D5A6F9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1DE3122" w14:textId="1177A61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040FC411" w14:textId="362A5BC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BE16410" w14:textId="120EA77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0C8BA3D" w14:textId="573B94D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67FC3C39" w14:textId="77777777" w:rsidTr="008B38E8">
        <w:tc>
          <w:tcPr>
            <w:tcW w:w="2547" w:type="dxa"/>
            <w:vAlign w:val="bottom"/>
          </w:tcPr>
          <w:p w14:paraId="0C92CBB1" w14:textId="41FACC1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Blakely </w:t>
            </w:r>
            <w:r w:rsidR="008B38E8">
              <w:rPr>
                <w:rFonts w:ascii="Times New Roman" w:hAnsi="Times New Roman" w:cs="Times New Roman"/>
                <w:color w:val="000000"/>
                <w:sz w:val="16"/>
                <w:szCs w:val="16"/>
              </w:rPr>
              <w:t>and Woodward</w:t>
            </w:r>
            <w:r w:rsidRPr="00FB4BF2">
              <w:rPr>
                <w:rFonts w:ascii="Times New Roman" w:hAnsi="Times New Roman" w:cs="Times New Roman"/>
                <w:color w:val="000000"/>
                <w:sz w:val="16"/>
                <w:szCs w:val="16"/>
              </w:rPr>
              <w:t>, 2000</w:t>
            </w:r>
          </w:p>
        </w:tc>
        <w:tc>
          <w:tcPr>
            <w:tcW w:w="1417" w:type="dxa"/>
            <w:vAlign w:val="bottom"/>
          </w:tcPr>
          <w:p w14:paraId="769CEE49" w14:textId="69FFD94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7D6E4E11" w14:textId="173FACE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New Zealand</w:t>
            </w:r>
          </w:p>
        </w:tc>
        <w:tc>
          <w:tcPr>
            <w:tcW w:w="1276" w:type="dxa"/>
            <w:vAlign w:val="bottom"/>
          </w:tcPr>
          <w:p w14:paraId="0BB5E36E" w14:textId="00D9A6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BE2B32C" w14:textId="38DC765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3009260" w14:textId="7CB3ED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961E22F" w14:textId="77777777" w:rsidTr="008B38E8">
        <w:tc>
          <w:tcPr>
            <w:tcW w:w="2547" w:type="dxa"/>
            <w:vAlign w:val="bottom"/>
          </w:tcPr>
          <w:p w14:paraId="529F3E42" w14:textId="1D9BBE1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Bogart et al, 2019</w:t>
            </w:r>
          </w:p>
        </w:tc>
        <w:tc>
          <w:tcPr>
            <w:tcW w:w="1417" w:type="dxa"/>
            <w:vAlign w:val="bottom"/>
          </w:tcPr>
          <w:p w14:paraId="422444DD" w14:textId="7AD7278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472B8CB" w14:textId="2B145D5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4027E371" w14:textId="474D3FF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54D3985" w14:textId="799B1E5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EA48A7F" w14:textId="4EE82AB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BE352CC" w14:textId="77777777" w:rsidTr="008B38E8">
        <w:tc>
          <w:tcPr>
            <w:tcW w:w="2547" w:type="dxa"/>
            <w:vAlign w:val="bottom"/>
          </w:tcPr>
          <w:p w14:paraId="1B2EF9D2" w14:textId="3BBB044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Bohra et al, 2025</w:t>
            </w:r>
          </w:p>
        </w:tc>
        <w:tc>
          <w:tcPr>
            <w:tcW w:w="1417" w:type="dxa"/>
            <w:vAlign w:val="bottom"/>
          </w:tcPr>
          <w:p w14:paraId="7432B179" w14:textId="10A0A7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57CF5409" w14:textId="7E404BE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India</w:t>
            </w:r>
          </w:p>
        </w:tc>
        <w:tc>
          <w:tcPr>
            <w:tcW w:w="1276" w:type="dxa"/>
            <w:vAlign w:val="bottom"/>
          </w:tcPr>
          <w:p w14:paraId="47D7B875" w14:textId="03ACEFE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9CC3C84" w14:textId="1C7D3F7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B3A6FE3" w14:textId="0BF8DFC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8758BA3" w14:textId="77777777" w:rsidTr="008B38E8">
        <w:tc>
          <w:tcPr>
            <w:tcW w:w="2547" w:type="dxa"/>
            <w:vAlign w:val="bottom"/>
          </w:tcPr>
          <w:p w14:paraId="1AEC3534" w14:textId="65AD681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Buse et al, 2023</w:t>
            </w:r>
          </w:p>
        </w:tc>
        <w:tc>
          <w:tcPr>
            <w:tcW w:w="1417" w:type="dxa"/>
            <w:vAlign w:val="bottom"/>
          </w:tcPr>
          <w:p w14:paraId="72C1BE3D" w14:textId="487F77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Letter to the editor</w:t>
            </w:r>
          </w:p>
        </w:tc>
        <w:tc>
          <w:tcPr>
            <w:tcW w:w="1418" w:type="dxa"/>
            <w:vAlign w:val="bottom"/>
          </w:tcPr>
          <w:p w14:paraId="0DAC2CC3" w14:textId="5D1D083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213DFF65" w14:textId="3DD1370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27B9543" w14:textId="1E396DA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A1A27CC" w14:textId="1C304C2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436B8CF3" w14:textId="77777777" w:rsidTr="008B38E8">
        <w:tc>
          <w:tcPr>
            <w:tcW w:w="2547" w:type="dxa"/>
            <w:vAlign w:val="bottom"/>
          </w:tcPr>
          <w:p w14:paraId="707AAD7A" w14:textId="03E730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Capps et al, 2023</w:t>
            </w:r>
          </w:p>
        </w:tc>
        <w:tc>
          <w:tcPr>
            <w:tcW w:w="1417" w:type="dxa"/>
            <w:vAlign w:val="bottom"/>
          </w:tcPr>
          <w:p w14:paraId="2D5E032E" w14:textId="572EAE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Perspective</w:t>
            </w:r>
          </w:p>
        </w:tc>
        <w:tc>
          <w:tcPr>
            <w:tcW w:w="1418" w:type="dxa"/>
            <w:vAlign w:val="bottom"/>
          </w:tcPr>
          <w:p w14:paraId="0AACB7BB" w14:textId="34D9A07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1F11475E" w14:textId="1BEDD59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74EBB118" w14:textId="0E27CBF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0F5DEA8" w14:textId="27C8687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5A886B88" w14:textId="77777777" w:rsidTr="008B38E8">
        <w:tc>
          <w:tcPr>
            <w:tcW w:w="2547" w:type="dxa"/>
            <w:vAlign w:val="bottom"/>
          </w:tcPr>
          <w:p w14:paraId="100B2FC8" w14:textId="4E5D989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Capps, 2024</w:t>
            </w:r>
          </w:p>
        </w:tc>
        <w:tc>
          <w:tcPr>
            <w:tcW w:w="1417" w:type="dxa"/>
            <w:vAlign w:val="bottom"/>
          </w:tcPr>
          <w:p w14:paraId="1834B58B" w14:textId="77B3CB7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Chapter</w:t>
            </w:r>
          </w:p>
        </w:tc>
        <w:tc>
          <w:tcPr>
            <w:tcW w:w="1418" w:type="dxa"/>
            <w:vAlign w:val="bottom"/>
          </w:tcPr>
          <w:p w14:paraId="39255D94" w14:textId="47929D8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983C690" w14:textId="5EB22E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7F656D4E" w14:textId="74AF5C0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711F5839" w14:textId="066BB1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2D02D1AB" w14:textId="77777777" w:rsidTr="008B38E8">
        <w:tc>
          <w:tcPr>
            <w:tcW w:w="2547" w:type="dxa"/>
            <w:vAlign w:val="bottom"/>
          </w:tcPr>
          <w:p w14:paraId="3E921EBE" w14:textId="05F6106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Carrier </w:t>
            </w:r>
            <w:r w:rsidR="008B38E8">
              <w:rPr>
                <w:rFonts w:ascii="Times New Roman" w:hAnsi="Times New Roman" w:cs="Times New Roman"/>
                <w:color w:val="000000"/>
                <w:sz w:val="16"/>
                <w:szCs w:val="16"/>
              </w:rPr>
              <w:t>and Padilla</w:t>
            </w:r>
            <w:r w:rsidRPr="00FB4BF2">
              <w:rPr>
                <w:rFonts w:ascii="Times New Roman" w:hAnsi="Times New Roman" w:cs="Times New Roman"/>
                <w:color w:val="000000"/>
                <w:sz w:val="16"/>
                <w:szCs w:val="16"/>
              </w:rPr>
              <w:t>, 2025</w:t>
            </w:r>
          </w:p>
        </w:tc>
        <w:tc>
          <w:tcPr>
            <w:tcW w:w="1417" w:type="dxa"/>
            <w:vAlign w:val="bottom"/>
          </w:tcPr>
          <w:p w14:paraId="06B22CCE" w14:textId="368245F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7C6D7CC6" w14:textId="3EC4065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0F58C300" w14:textId="013485D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B3D8F45" w14:textId="56FE2B3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3AE33B7" w14:textId="6FCDC99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51480AC" w14:textId="77777777" w:rsidTr="008B38E8">
        <w:tc>
          <w:tcPr>
            <w:tcW w:w="2547" w:type="dxa"/>
            <w:vAlign w:val="bottom"/>
          </w:tcPr>
          <w:p w14:paraId="60324CF5" w14:textId="698F58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Colombo </w:t>
            </w:r>
            <w:r w:rsidR="008B38E8">
              <w:rPr>
                <w:rFonts w:ascii="Times New Roman" w:hAnsi="Times New Roman" w:cs="Times New Roman"/>
                <w:color w:val="000000"/>
                <w:sz w:val="16"/>
                <w:szCs w:val="16"/>
              </w:rPr>
              <w:t>and Tanner</w:t>
            </w:r>
            <w:r w:rsidRPr="00FB4BF2">
              <w:rPr>
                <w:rFonts w:ascii="Times New Roman" w:hAnsi="Times New Roman" w:cs="Times New Roman"/>
                <w:color w:val="000000"/>
                <w:sz w:val="16"/>
                <w:szCs w:val="16"/>
              </w:rPr>
              <w:t>, 2019</w:t>
            </w:r>
          </w:p>
        </w:tc>
        <w:tc>
          <w:tcPr>
            <w:tcW w:w="1417" w:type="dxa"/>
            <w:vAlign w:val="bottom"/>
          </w:tcPr>
          <w:p w14:paraId="04BF49EB" w14:textId="5D8DBB0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398379F6" w14:textId="214CFE8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Brazil</w:t>
            </w:r>
          </w:p>
        </w:tc>
        <w:tc>
          <w:tcPr>
            <w:tcW w:w="1276" w:type="dxa"/>
            <w:vAlign w:val="bottom"/>
          </w:tcPr>
          <w:p w14:paraId="03EAB80D" w14:textId="21CCFB4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5EA36A7E" w14:textId="4FD086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E393E36" w14:textId="0DCFF5D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D83418D" w14:textId="77777777" w:rsidTr="008B38E8">
        <w:tc>
          <w:tcPr>
            <w:tcW w:w="2547" w:type="dxa"/>
            <w:vAlign w:val="bottom"/>
          </w:tcPr>
          <w:p w14:paraId="6E992544" w14:textId="7E16CF4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Courtois, 2021</w:t>
            </w:r>
          </w:p>
        </w:tc>
        <w:tc>
          <w:tcPr>
            <w:tcW w:w="1417" w:type="dxa"/>
            <w:vAlign w:val="bottom"/>
          </w:tcPr>
          <w:p w14:paraId="0437994B" w14:textId="4C1AF45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640081D3" w14:textId="411D93B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Belgium</w:t>
            </w:r>
          </w:p>
        </w:tc>
        <w:tc>
          <w:tcPr>
            <w:tcW w:w="1276" w:type="dxa"/>
            <w:vAlign w:val="bottom"/>
          </w:tcPr>
          <w:p w14:paraId="0281629C" w14:textId="26B7A31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8B09DD0" w14:textId="6DF8DFF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AA315AB" w14:textId="7FB486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FD87D30" w14:textId="77777777" w:rsidTr="008B38E8">
        <w:tc>
          <w:tcPr>
            <w:tcW w:w="2547" w:type="dxa"/>
            <w:vAlign w:val="bottom"/>
          </w:tcPr>
          <w:p w14:paraId="7F767E6F" w14:textId="4BA18DC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Crosse et al, 2021</w:t>
            </w:r>
          </w:p>
        </w:tc>
        <w:tc>
          <w:tcPr>
            <w:tcW w:w="1417" w:type="dxa"/>
            <w:vAlign w:val="bottom"/>
          </w:tcPr>
          <w:p w14:paraId="7FDD5BB6" w14:textId="0FC8B6A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A144AD4" w14:textId="2214EB3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Ireland</w:t>
            </w:r>
          </w:p>
        </w:tc>
        <w:tc>
          <w:tcPr>
            <w:tcW w:w="1276" w:type="dxa"/>
            <w:vAlign w:val="bottom"/>
          </w:tcPr>
          <w:p w14:paraId="27878EA5" w14:textId="17901A5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6780B70" w14:textId="0E50078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65B83B5" w14:textId="2F3E74A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6E76FECA" w14:textId="77777777" w:rsidTr="008B38E8">
        <w:tc>
          <w:tcPr>
            <w:tcW w:w="2547" w:type="dxa"/>
            <w:vAlign w:val="bottom"/>
          </w:tcPr>
          <w:p w14:paraId="3F476A63" w14:textId="0A0F037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Dea et al, 2019</w:t>
            </w:r>
          </w:p>
        </w:tc>
        <w:tc>
          <w:tcPr>
            <w:tcW w:w="1417" w:type="dxa"/>
            <w:vAlign w:val="bottom"/>
          </w:tcPr>
          <w:p w14:paraId="31C92A89" w14:textId="7D05A8C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D71AA0E" w14:textId="5D29AAD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5C959E38" w14:textId="228D042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72E3C0F4" w14:textId="2E469BF7" w:rsidR="00FB4BF2" w:rsidRPr="001165D4" w:rsidRDefault="001165D4" w:rsidP="00FB4BF2">
            <w:pPr>
              <w:rPr>
                <w:rFonts w:ascii="Times New Roman" w:hAnsi="Times New Roman" w:cs="Times New Roman"/>
                <w:sz w:val="16"/>
                <w:szCs w:val="16"/>
              </w:rPr>
            </w:pPr>
            <w:r w:rsidRPr="001165D4">
              <w:rPr>
                <w:rFonts w:ascii="Times New Roman" w:hAnsi="Times New Roman" w:cs="Times New Roman"/>
                <w:sz w:val="16"/>
                <w:szCs w:val="16"/>
              </w:rPr>
              <w:t>YES</w:t>
            </w:r>
          </w:p>
        </w:tc>
        <w:tc>
          <w:tcPr>
            <w:tcW w:w="1224" w:type="dxa"/>
            <w:vAlign w:val="bottom"/>
          </w:tcPr>
          <w:p w14:paraId="266E3F16" w14:textId="715CFB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62B91E2E" w14:textId="77777777" w:rsidTr="008B38E8">
        <w:tc>
          <w:tcPr>
            <w:tcW w:w="2547" w:type="dxa"/>
            <w:vAlign w:val="bottom"/>
          </w:tcPr>
          <w:p w14:paraId="66197661" w14:textId="39D7342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Degeling </w:t>
            </w:r>
            <w:r w:rsidR="008B38E8">
              <w:rPr>
                <w:rFonts w:ascii="Times New Roman" w:hAnsi="Times New Roman" w:cs="Times New Roman"/>
                <w:color w:val="000000"/>
                <w:sz w:val="16"/>
                <w:szCs w:val="16"/>
              </w:rPr>
              <w:t>and Kerridge,</w:t>
            </w:r>
            <w:r w:rsidRPr="00FB4BF2">
              <w:rPr>
                <w:rFonts w:ascii="Times New Roman" w:hAnsi="Times New Roman" w:cs="Times New Roman"/>
                <w:color w:val="000000"/>
                <w:sz w:val="16"/>
                <w:szCs w:val="16"/>
              </w:rPr>
              <w:t xml:space="preserve"> 2013</w:t>
            </w:r>
          </w:p>
        </w:tc>
        <w:tc>
          <w:tcPr>
            <w:tcW w:w="1417" w:type="dxa"/>
            <w:vAlign w:val="bottom"/>
          </w:tcPr>
          <w:p w14:paraId="79DF4FC3" w14:textId="5CDA536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703D498" w14:textId="3EBDFC3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38FF7C26" w14:textId="1980CDF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C4A88BC" w14:textId="7D6AB20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26C605A" w14:textId="013DB2C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8DBB5D8" w14:textId="77777777" w:rsidTr="008B38E8">
        <w:tc>
          <w:tcPr>
            <w:tcW w:w="2547" w:type="dxa"/>
            <w:vAlign w:val="bottom"/>
          </w:tcPr>
          <w:p w14:paraId="72C7C178" w14:textId="37015C1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Dennis et al, 2023</w:t>
            </w:r>
          </w:p>
        </w:tc>
        <w:tc>
          <w:tcPr>
            <w:tcW w:w="1417" w:type="dxa"/>
            <w:vAlign w:val="bottom"/>
          </w:tcPr>
          <w:p w14:paraId="745614F9" w14:textId="4A3663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56F8261" w14:textId="23A364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41E988B2" w14:textId="4E5E8B5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72DFD1D" w14:textId="1C14B9B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A542350" w14:textId="62264A6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EE0225F" w14:textId="77777777" w:rsidTr="008B38E8">
        <w:tc>
          <w:tcPr>
            <w:tcW w:w="2547" w:type="dxa"/>
            <w:vAlign w:val="bottom"/>
          </w:tcPr>
          <w:p w14:paraId="6FDBC3A8" w14:textId="7201E50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DeWinter et al, 2024</w:t>
            </w:r>
          </w:p>
        </w:tc>
        <w:tc>
          <w:tcPr>
            <w:tcW w:w="1417" w:type="dxa"/>
            <w:vAlign w:val="bottom"/>
          </w:tcPr>
          <w:p w14:paraId="5CEDF9F8" w14:textId="4DBB34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309B7530" w14:textId="21C8A4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56EB80F6" w14:textId="29642A6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3BF44FF" w14:textId="02BC233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BC6A620" w14:textId="069FAE6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3A6C964" w14:textId="77777777" w:rsidTr="008B38E8">
        <w:tc>
          <w:tcPr>
            <w:tcW w:w="2547" w:type="dxa"/>
            <w:vAlign w:val="bottom"/>
          </w:tcPr>
          <w:p w14:paraId="47935D05" w14:textId="1FCF5F9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Dickin </w:t>
            </w:r>
            <w:r w:rsidR="008B38E8">
              <w:rPr>
                <w:rFonts w:ascii="Times New Roman" w:hAnsi="Times New Roman" w:cs="Times New Roman"/>
                <w:color w:val="000000"/>
                <w:sz w:val="16"/>
                <w:szCs w:val="16"/>
              </w:rPr>
              <w:t xml:space="preserve">and Schuster-Wallace, </w:t>
            </w:r>
            <w:r w:rsidRPr="00FB4BF2">
              <w:rPr>
                <w:rFonts w:ascii="Times New Roman" w:hAnsi="Times New Roman" w:cs="Times New Roman"/>
                <w:color w:val="000000"/>
                <w:sz w:val="16"/>
                <w:szCs w:val="16"/>
              </w:rPr>
              <w:t xml:space="preserve"> 2014</w:t>
            </w:r>
          </w:p>
        </w:tc>
        <w:tc>
          <w:tcPr>
            <w:tcW w:w="1417" w:type="dxa"/>
            <w:vAlign w:val="bottom"/>
          </w:tcPr>
          <w:p w14:paraId="7B645FBB" w14:textId="6893F6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4B97DBF" w14:textId="0F54F83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B19E91E" w14:textId="49C26B3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C1110D8" w14:textId="4297B05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5C00C5B" w14:textId="5053C1A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3AE22AB1" w14:textId="77777777" w:rsidTr="008B38E8">
        <w:tc>
          <w:tcPr>
            <w:tcW w:w="2547" w:type="dxa"/>
            <w:vAlign w:val="bottom"/>
          </w:tcPr>
          <w:p w14:paraId="3088BC00" w14:textId="383926A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Douglas et al, 2019</w:t>
            </w:r>
          </w:p>
        </w:tc>
        <w:tc>
          <w:tcPr>
            <w:tcW w:w="1417" w:type="dxa"/>
            <w:vAlign w:val="bottom"/>
          </w:tcPr>
          <w:p w14:paraId="08A10819" w14:textId="038C4E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4C04E1F" w14:textId="38BBA7E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0081C718" w14:textId="1225BE7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DBF904E" w14:textId="4D08716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90FB6BD" w14:textId="57F399F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E791765" w14:textId="77777777" w:rsidTr="008B38E8">
        <w:tc>
          <w:tcPr>
            <w:tcW w:w="2547" w:type="dxa"/>
            <w:vAlign w:val="bottom"/>
          </w:tcPr>
          <w:p w14:paraId="118CA913" w14:textId="75547CC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Dzul-</w:t>
            </w:r>
            <w:r w:rsidR="008B38E8">
              <w:rPr>
                <w:rFonts w:ascii="Times New Roman" w:hAnsi="Times New Roman" w:cs="Times New Roman"/>
                <w:color w:val="000000"/>
                <w:sz w:val="16"/>
                <w:szCs w:val="16"/>
              </w:rPr>
              <w:t>R</w:t>
            </w:r>
            <w:r w:rsidRPr="00FB4BF2">
              <w:rPr>
                <w:rFonts w:ascii="Times New Roman" w:hAnsi="Times New Roman" w:cs="Times New Roman"/>
                <w:color w:val="000000"/>
                <w:sz w:val="16"/>
                <w:szCs w:val="16"/>
              </w:rPr>
              <w:t>osado, 2022</w:t>
            </w:r>
          </w:p>
        </w:tc>
        <w:tc>
          <w:tcPr>
            <w:tcW w:w="1417" w:type="dxa"/>
            <w:vAlign w:val="bottom"/>
          </w:tcPr>
          <w:p w14:paraId="5C3EF4D3" w14:textId="1875EDD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64321F5" w14:textId="7F32B23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087AB602" w14:textId="56EACE2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6A523E5" w14:textId="08F38B9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85EF8BB" w14:textId="023F803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329A847" w14:textId="77777777" w:rsidTr="008B38E8">
        <w:tc>
          <w:tcPr>
            <w:tcW w:w="2547" w:type="dxa"/>
            <w:vAlign w:val="bottom"/>
          </w:tcPr>
          <w:p w14:paraId="26834207" w14:textId="5925AB3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Elton, 2019</w:t>
            </w:r>
          </w:p>
        </w:tc>
        <w:tc>
          <w:tcPr>
            <w:tcW w:w="1417" w:type="dxa"/>
            <w:vAlign w:val="bottom"/>
          </w:tcPr>
          <w:p w14:paraId="1488D333" w14:textId="15257D6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Commentary</w:t>
            </w:r>
          </w:p>
        </w:tc>
        <w:tc>
          <w:tcPr>
            <w:tcW w:w="1418" w:type="dxa"/>
            <w:vAlign w:val="bottom"/>
          </w:tcPr>
          <w:p w14:paraId="601AF808" w14:textId="5A479F0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05AA4711" w14:textId="08AD5AA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707509D3" w14:textId="7D7BF44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506DBC3" w14:textId="17578E2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C179449" w14:textId="77777777" w:rsidTr="008B38E8">
        <w:tc>
          <w:tcPr>
            <w:tcW w:w="2547" w:type="dxa"/>
            <w:vAlign w:val="bottom"/>
          </w:tcPr>
          <w:p w14:paraId="70295680" w14:textId="14F45A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Elton, 2021</w:t>
            </w:r>
          </w:p>
        </w:tc>
        <w:tc>
          <w:tcPr>
            <w:tcW w:w="1417" w:type="dxa"/>
            <w:vAlign w:val="bottom"/>
          </w:tcPr>
          <w:p w14:paraId="7CE85ADE" w14:textId="7D3A609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Commentary</w:t>
            </w:r>
          </w:p>
        </w:tc>
        <w:tc>
          <w:tcPr>
            <w:tcW w:w="1418" w:type="dxa"/>
            <w:vAlign w:val="bottom"/>
          </w:tcPr>
          <w:p w14:paraId="78F2FCD8" w14:textId="4399834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1CDAD099" w14:textId="734D708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1181473D" w14:textId="7CE337B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796B7D8" w14:textId="33DE7D8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235D9DB9" w14:textId="77777777" w:rsidTr="008B38E8">
        <w:tc>
          <w:tcPr>
            <w:tcW w:w="2547" w:type="dxa"/>
            <w:vAlign w:val="bottom"/>
          </w:tcPr>
          <w:p w14:paraId="0FA0A4EA" w14:textId="798216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Ferraguti et al, 2024</w:t>
            </w:r>
          </w:p>
        </w:tc>
        <w:tc>
          <w:tcPr>
            <w:tcW w:w="1417" w:type="dxa"/>
            <w:vAlign w:val="bottom"/>
          </w:tcPr>
          <w:p w14:paraId="20E36A2B" w14:textId="0EB0CAB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F6CC032" w14:textId="2F5E13C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Spain</w:t>
            </w:r>
          </w:p>
        </w:tc>
        <w:tc>
          <w:tcPr>
            <w:tcW w:w="1276" w:type="dxa"/>
            <w:vAlign w:val="bottom"/>
          </w:tcPr>
          <w:p w14:paraId="1A16306F" w14:textId="47292A0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04CC5E0" w14:textId="113D667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C4FFB03" w14:textId="7B90D7F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0AAFEC82" w14:textId="77777777" w:rsidTr="008B38E8">
        <w:tc>
          <w:tcPr>
            <w:tcW w:w="2547" w:type="dxa"/>
            <w:vAlign w:val="bottom"/>
          </w:tcPr>
          <w:p w14:paraId="597890CE" w14:textId="7EBA1EC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Ferrari et al, 2013</w:t>
            </w:r>
          </w:p>
        </w:tc>
        <w:tc>
          <w:tcPr>
            <w:tcW w:w="1417" w:type="dxa"/>
            <w:vAlign w:val="bottom"/>
          </w:tcPr>
          <w:p w14:paraId="01581D6F" w14:textId="453BC8D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C6DE2B3" w14:textId="219455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0E9EA96D" w14:textId="52A837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7D662A5" w14:textId="1A6AC42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693444B" w14:textId="0CF4BE0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B6BA412" w14:textId="77777777" w:rsidTr="008B38E8">
        <w:tc>
          <w:tcPr>
            <w:tcW w:w="2547" w:type="dxa"/>
            <w:vAlign w:val="bottom"/>
          </w:tcPr>
          <w:p w14:paraId="1A10E310" w14:textId="242AD78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Friedsam et al, 2022</w:t>
            </w:r>
          </w:p>
        </w:tc>
        <w:tc>
          <w:tcPr>
            <w:tcW w:w="1417" w:type="dxa"/>
            <w:vAlign w:val="bottom"/>
          </w:tcPr>
          <w:p w14:paraId="14E39A42" w14:textId="1A9C213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AA1875A" w14:textId="72B3823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Germany</w:t>
            </w:r>
          </w:p>
        </w:tc>
        <w:tc>
          <w:tcPr>
            <w:tcW w:w="1276" w:type="dxa"/>
            <w:vAlign w:val="bottom"/>
          </w:tcPr>
          <w:p w14:paraId="21D27C70" w14:textId="6B9751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2FC8804" w14:textId="2710D82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CFAC530" w14:textId="4C401BD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467CFF9A" w14:textId="77777777" w:rsidTr="008B38E8">
        <w:tc>
          <w:tcPr>
            <w:tcW w:w="2547" w:type="dxa"/>
            <w:vAlign w:val="bottom"/>
          </w:tcPr>
          <w:p w14:paraId="7B821403" w14:textId="5277F2B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Gaspe et al, 2020</w:t>
            </w:r>
          </w:p>
        </w:tc>
        <w:tc>
          <w:tcPr>
            <w:tcW w:w="1417" w:type="dxa"/>
            <w:vAlign w:val="bottom"/>
          </w:tcPr>
          <w:p w14:paraId="4846B040" w14:textId="5EA870B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AE45626" w14:textId="7EF8E27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Argentina</w:t>
            </w:r>
          </w:p>
        </w:tc>
        <w:tc>
          <w:tcPr>
            <w:tcW w:w="1276" w:type="dxa"/>
            <w:vAlign w:val="bottom"/>
          </w:tcPr>
          <w:p w14:paraId="04C9D3EA" w14:textId="2D14BBB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DD35EE5" w14:textId="0F72E04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0EC5B72" w14:textId="4513F55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541405C" w14:textId="77777777" w:rsidTr="008B38E8">
        <w:tc>
          <w:tcPr>
            <w:tcW w:w="2547" w:type="dxa"/>
            <w:vAlign w:val="bottom"/>
          </w:tcPr>
          <w:p w14:paraId="446692F5" w14:textId="29B7DEC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George, 2007</w:t>
            </w:r>
          </w:p>
        </w:tc>
        <w:tc>
          <w:tcPr>
            <w:tcW w:w="1417" w:type="dxa"/>
            <w:vAlign w:val="bottom"/>
          </w:tcPr>
          <w:p w14:paraId="2E209CF1" w14:textId="0DE944E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34319E85" w14:textId="4905A4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India</w:t>
            </w:r>
          </w:p>
        </w:tc>
        <w:tc>
          <w:tcPr>
            <w:tcW w:w="1276" w:type="dxa"/>
            <w:vAlign w:val="bottom"/>
          </w:tcPr>
          <w:p w14:paraId="6E9B2D67" w14:textId="788BF26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229C77F" w14:textId="2BDFBD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7D72F60" w14:textId="417E4DB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2240763" w14:textId="77777777" w:rsidTr="008B38E8">
        <w:tc>
          <w:tcPr>
            <w:tcW w:w="2547" w:type="dxa"/>
            <w:vAlign w:val="bottom"/>
          </w:tcPr>
          <w:p w14:paraId="334EABAA" w14:textId="427E503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Gibbons</w:t>
            </w:r>
            <w:r w:rsidR="008B38E8">
              <w:rPr>
                <w:rFonts w:ascii="Times New Roman" w:hAnsi="Times New Roman" w:cs="Times New Roman"/>
                <w:color w:val="000000"/>
                <w:sz w:val="16"/>
                <w:szCs w:val="16"/>
              </w:rPr>
              <w:t xml:space="preserve"> and van Houte</w:t>
            </w:r>
            <w:r w:rsidRPr="00FB4BF2">
              <w:rPr>
                <w:rFonts w:ascii="Times New Roman" w:hAnsi="Times New Roman" w:cs="Times New Roman"/>
                <w:color w:val="000000"/>
                <w:sz w:val="16"/>
                <w:szCs w:val="16"/>
              </w:rPr>
              <w:t>, 1971</w:t>
            </w:r>
          </w:p>
        </w:tc>
        <w:tc>
          <w:tcPr>
            <w:tcW w:w="1417" w:type="dxa"/>
            <w:vAlign w:val="bottom"/>
          </w:tcPr>
          <w:p w14:paraId="6C1C72F8" w14:textId="26242C7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A73889C" w14:textId="54CBB7B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5D4C8D88" w14:textId="2652B39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CDE7179" w14:textId="4DC00A0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CB40B58" w14:textId="5B4DC9D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4D53822" w14:textId="77777777" w:rsidTr="008B38E8">
        <w:tc>
          <w:tcPr>
            <w:tcW w:w="2547" w:type="dxa"/>
            <w:vAlign w:val="bottom"/>
          </w:tcPr>
          <w:p w14:paraId="3B3C2154" w14:textId="5246383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Gislason et al, 2021</w:t>
            </w:r>
          </w:p>
        </w:tc>
        <w:tc>
          <w:tcPr>
            <w:tcW w:w="1417" w:type="dxa"/>
            <w:vAlign w:val="bottom"/>
          </w:tcPr>
          <w:p w14:paraId="0CD76E7C" w14:textId="6AE8804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3FB642CB" w14:textId="748D46B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4E2D44FB" w14:textId="6ADF5D3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39BC25DA" w14:textId="16079C0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204FFC7" w14:textId="3CF9E0C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4B10615" w14:textId="77777777" w:rsidTr="008B38E8">
        <w:tc>
          <w:tcPr>
            <w:tcW w:w="2547" w:type="dxa"/>
            <w:vAlign w:val="bottom"/>
          </w:tcPr>
          <w:p w14:paraId="52D724BA" w14:textId="593043F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Goodman, 2014</w:t>
            </w:r>
          </w:p>
        </w:tc>
        <w:tc>
          <w:tcPr>
            <w:tcW w:w="1417" w:type="dxa"/>
            <w:vAlign w:val="bottom"/>
          </w:tcPr>
          <w:p w14:paraId="22A8E324" w14:textId="2BAD7F7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41EA150" w14:textId="39FF5B9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661F4D9B" w14:textId="146A3AA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9F12174" w14:textId="4A59D1D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29D396F" w14:textId="72D5156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16FC512" w14:textId="77777777" w:rsidTr="008B38E8">
        <w:tc>
          <w:tcPr>
            <w:tcW w:w="2547" w:type="dxa"/>
            <w:vAlign w:val="bottom"/>
          </w:tcPr>
          <w:p w14:paraId="0643144C" w14:textId="184450F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Haldane</w:t>
            </w:r>
            <w:r w:rsidR="00157795">
              <w:rPr>
                <w:rFonts w:ascii="Times New Roman" w:hAnsi="Times New Roman" w:cs="Times New Roman"/>
                <w:color w:val="000000"/>
                <w:sz w:val="16"/>
                <w:szCs w:val="16"/>
              </w:rPr>
              <w:t xml:space="preserve"> et al.</w:t>
            </w:r>
            <w:r w:rsidRPr="00FB4BF2">
              <w:rPr>
                <w:rFonts w:ascii="Times New Roman" w:hAnsi="Times New Roman" w:cs="Times New Roman"/>
                <w:color w:val="000000"/>
                <w:sz w:val="16"/>
                <w:szCs w:val="16"/>
              </w:rPr>
              <w:t>, 2016</w:t>
            </w:r>
          </w:p>
        </w:tc>
        <w:tc>
          <w:tcPr>
            <w:tcW w:w="1417" w:type="dxa"/>
            <w:vAlign w:val="bottom"/>
          </w:tcPr>
          <w:p w14:paraId="566E51B8" w14:textId="2827749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Letter</w:t>
            </w:r>
          </w:p>
        </w:tc>
        <w:tc>
          <w:tcPr>
            <w:tcW w:w="1418" w:type="dxa"/>
            <w:vAlign w:val="bottom"/>
          </w:tcPr>
          <w:p w14:paraId="6141DCD4" w14:textId="0CB077E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36C19AD1" w14:textId="68F3E75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C5D09AF" w14:textId="6FFE4D4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8495C88" w14:textId="09E71C0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25942DF9" w14:textId="77777777" w:rsidTr="008B38E8">
        <w:tc>
          <w:tcPr>
            <w:tcW w:w="2547" w:type="dxa"/>
            <w:vAlign w:val="bottom"/>
          </w:tcPr>
          <w:p w14:paraId="07E7FA17" w14:textId="4E353FA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Hancock, 2015</w:t>
            </w:r>
          </w:p>
        </w:tc>
        <w:tc>
          <w:tcPr>
            <w:tcW w:w="1417" w:type="dxa"/>
            <w:vAlign w:val="bottom"/>
          </w:tcPr>
          <w:p w14:paraId="697200D2" w14:textId="617A364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Commentary</w:t>
            </w:r>
          </w:p>
        </w:tc>
        <w:tc>
          <w:tcPr>
            <w:tcW w:w="1418" w:type="dxa"/>
            <w:vAlign w:val="bottom"/>
          </w:tcPr>
          <w:p w14:paraId="55966888" w14:textId="288057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063506FF" w14:textId="5EAE50D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B5A1318" w14:textId="60603F6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99B4AE0" w14:textId="676CBFC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8E5CEFB" w14:textId="77777777" w:rsidTr="008B38E8">
        <w:tc>
          <w:tcPr>
            <w:tcW w:w="2547" w:type="dxa"/>
            <w:vAlign w:val="bottom"/>
          </w:tcPr>
          <w:p w14:paraId="40B45E95" w14:textId="52056CE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Hancock et al, 2022</w:t>
            </w:r>
          </w:p>
        </w:tc>
        <w:tc>
          <w:tcPr>
            <w:tcW w:w="1417" w:type="dxa"/>
            <w:vAlign w:val="bottom"/>
          </w:tcPr>
          <w:p w14:paraId="629D4BA6" w14:textId="3530150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Chapter</w:t>
            </w:r>
          </w:p>
        </w:tc>
        <w:tc>
          <w:tcPr>
            <w:tcW w:w="1418" w:type="dxa"/>
            <w:vAlign w:val="bottom"/>
          </w:tcPr>
          <w:p w14:paraId="476C111F" w14:textId="10A3034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17D9A8BB" w14:textId="58C1D04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142AD8F1" w14:textId="1E5FF59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AD14235" w14:textId="625D1B0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93526DD" w14:textId="77777777" w:rsidTr="008B38E8">
        <w:tc>
          <w:tcPr>
            <w:tcW w:w="2547" w:type="dxa"/>
            <w:vAlign w:val="bottom"/>
          </w:tcPr>
          <w:p w14:paraId="03426A53" w14:textId="28E3142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Hancock et al, 2022a</w:t>
            </w:r>
          </w:p>
        </w:tc>
        <w:tc>
          <w:tcPr>
            <w:tcW w:w="1417" w:type="dxa"/>
            <w:vAlign w:val="bottom"/>
          </w:tcPr>
          <w:p w14:paraId="25F59E49" w14:textId="2A897EA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Chapter</w:t>
            </w:r>
          </w:p>
        </w:tc>
        <w:tc>
          <w:tcPr>
            <w:tcW w:w="1418" w:type="dxa"/>
            <w:vAlign w:val="bottom"/>
          </w:tcPr>
          <w:p w14:paraId="5AC62FD6" w14:textId="77CD908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00260302" w14:textId="242DA70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4D4E042C" w14:textId="066D0B9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502D86A" w14:textId="2061554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7CEF598B" w14:textId="77777777" w:rsidTr="008B38E8">
        <w:tc>
          <w:tcPr>
            <w:tcW w:w="2547" w:type="dxa"/>
            <w:vAlign w:val="bottom"/>
          </w:tcPr>
          <w:p w14:paraId="2720A349" w14:textId="60865B3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Hill </w:t>
            </w:r>
            <w:r w:rsidR="00157795">
              <w:rPr>
                <w:rFonts w:ascii="Times New Roman" w:hAnsi="Times New Roman" w:cs="Times New Roman"/>
                <w:color w:val="000000"/>
                <w:sz w:val="16"/>
                <w:szCs w:val="16"/>
              </w:rPr>
              <w:t>and Mad Plume</w:t>
            </w:r>
            <w:r w:rsidRPr="00FB4BF2">
              <w:rPr>
                <w:rFonts w:ascii="Times New Roman" w:hAnsi="Times New Roman" w:cs="Times New Roman"/>
                <w:color w:val="000000"/>
                <w:sz w:val="16"/>
                <w:szCs w:val="16"/>
              </w:rPr>
              <w:t>, 2024</w:t>
            </w:r>
          </w:p>
        </w:tc>
        <w:tc>
          <w:tcPr>
            <w:tcW w:w="1417" w:type="dxa"/>
            <w:vAlign w:val="bottom"/>
          </w:tcPr>
          <w:p w14:paraId="2A24E76F" w14:textId="7944185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Chapter</w:t>
            </w:r>
          </w:p>
        </w:tc>
        <w:tc>
          <w:tcPr>
            <w:tcW w:w="1418" w:type="dxa"/>
            <w:vAlign w:val="bottom"/>
          </w:tcPr>
          <w:p w14:paraId="64CF64D7" w14:textId="4467E4A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035C6BF1" w14:textId="60BCBD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BA5BC3E" w14:textId="43CE26D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0335922" w14:textId="56B459A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06FE47F" w14:textId="77777777" w:rsidTr="008B38E8">
        <w:tc>
          <w:tcPr>
            <w:tcW w:w="2547" w:type="dxa"/>
            <w:vAlign w:val="bottom"/>
          </w:tcPr>
          <w:p w14:paraId="054B34CB" w14:textId="5FE100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Hossain et al, 2025</w:t>
            </w:r>
          </w:p>
        </w:tc>
        <w:tc>
          <w:tcPr>
            <w:tcW w:w="1417" w:type="dxa"/>
            <w:vAlign w:val="bottom"/>
          </w:tcPr>
          <w:p w14:paraId="3134F6A3" w14:textId="55D6CFD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57E6891B" w14:textId="2CEF3F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Bangladesh</w:t>
            </w:r>
          </w:p>
        </w:tc>
        <w:tc>
          <w:tcPr>
            <w:tcW w:w="1276" w:type="dxa"/>
            <w:vAlign w:val="bottom"/>
          </w:tcPr>
          <w:p w14:paraId="4226ABFF" w14:textId="7175EC0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0A131A6" w14:textId="53ECA7B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2FA893E" w14:textId="38EA72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66C7D47D" w14:textId="77777777" w:rsidTr="008B38E8">
        <w:tc>
          <w:tcPr>
            <w:tcW w:w="2547" w:type="dxa"/>
            <w:vAlign w:val="bottom"/>
          </w:tcPr>
          <w:p w14:paraId="5F9D8EDD" w14:textId="1527C40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Huynen et al, 2005</w:t>
            </w:r>
          </w:p>
        </w:tc>
        <w:tc>
          <w:tcPr>
            <w:tcW w:w="1417" w:type="dxa"/>
            <w:vAlign w:val="bottom"/>
          </w:tcPr>
          <w:p w14:paraId="3A7E8D01" w14:textId="319935E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Conceptual framework</w:t>
            </w:r>
          </w:p>
        </w:tc>
        <w:tc>
          <w:tcPr>
            <w:tcW w:w="1418" w:type="dxa"/>
            <w:vAlign w:val="bottom"/>
          </w:tcPr>
          <w:p w14:paraId="23F420B4" w14:textId="5DB609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The Netherlands</w:t>
            </w:r>
          </w:p>
        </w:tc>
        <w:tc>
          <w:tcPr>
            <w:tcW w:w="1276" w:type="dxa"/>
            <w:vAlign w:val="bottom"/>
          </w:tcPr>
          <w:p w14:paraId="67975BDA" w14:textId="2BA6D01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4AB9875" w14:textId="3989CEC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6048750" w14:textId="76CEB2F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D96151E" w14:textId="77777777" w:rsidTr="008B38E8">
        <w:tc>
          <w:tcPr>
            <w:tcW w:w="2547" w:type="dxa"/>
            <w:vAlign w:val="bottom"/>
          </w:tcPr>
          <w:p w14:paraId="1B2FA3BE" w14:textId="6BD9890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Inayatulloh </w:t>
            </w:r>
            <w:r w:rsidR="00157795">
              <w:rPr>
                <w:rFonts w:ascii="Times New Roman" w:hAnsi="Times New Roman" w:cs="Times New Roman"/>
                <w:color w:val="000000"/>
                <w:sz w:val="16"/>
                <w:szCs w:val="16"/>
              </w:rPr>
              <w:t>and Theresia</w:t>
            </w:r>
            <w:r w:rsidRPr="00FB4BF2">
              <w:rPr>
                <w:rFonts w:ascii="Times New Roman" w:hAnsi="Times New Roman" w:cs="Times New Roman"/>
                <w:color w:val="000000"/>
                <w:sz w:val="16"/>
                <w:szCs w:val="16"/>
              </w:rPr>
              <w:t>, 2016</w:t>
            </w:r>
          </w:p>
        </w:tc>
        <w:tc>
          <w:tcPr>
            <w:tcW w:w="1417" w:type="dxa"/>
            <w:vAlign w:val="bottom"/>
          </w:tcPr>
          <w:p w14:paraId="0DA96BD2" w14:textId="30BF844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Conference paper</w:t>
            </w:r>
          </w:p>
        </w:tc>
        <w:tc>
          <w:tcPr>
            <w:tcW w:w="1418" w:type="dxa"/>
            <w:vAlign w:val="bottom"/>
          </w:tcPr>
          <w:p w14:paraId="379A08D1" w14:textId="3E429A8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Indonesia</w:t>
            </w:r>
          </w:p>
        </w:tc>
        <w:tc>
          <w:tcPr>
            <w:tcW w:w="1276" w:type="dxa"/>
            <w:vAlign w:val="bottom"/>
          </w:tcPr>
          <w:p w14:paraId="2B51163D" w14:textId="1C2F9EE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0CEF39B" w14:textId="69F0375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E646C27" w14:textId="3F89127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4020EE7E" w14:textId="77777777" w:rsidTr="008B38E8">
        <w:tc>
          <w:tcPr>
            <w:tcW w:w="2547" w:type="dxa"/>
            <w:vAlign w:val="bottom"/>
          </w:tcPr>
          <w:p w14:paraId="31B510F7" w14:textId="0896996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Jackson, 2017</w:t>
            </w:r>
          </w:p>
        </w:tc>
        <w:tc>
          <w:tcPr>
            <w:tcW w:w="1417" w:type="dxa"/>
            <w:vAlign w:val="bottom"/>
          </w:tcPr>
          <w:p w14:paraId="0A58B152" w14:textId="1488D2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Editorial</w:t>
            </w:r>
          </w:p>
        </w:tc>
        <w:tc>
          <w:tcPr>
            <w:tcW w:w="1418" w:type="dxa"/>
            <w:vAlign w:val="bottom"/>
          </w:tcPr>
          <w:p w14:paraId="07974540" w14:textId="600F956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51484D0A" w14:textId="50E34DB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5DC05997" w14:textId="3B2908E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739D158" w14:textId="30481C5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B8252EC" w14:textId="77777777" w:rsidTr="008B38E8">
        <w:tc>
          <w:tcPr>
            <w:tcW w:w="2547" w:type="dxa"/>
            <w:vAlign w:val="bottom"/>
          </w:tcPr>
          <w:p w14:paraId="4A6A233A" w14:textId="5FAFD5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Jenkins</w:t>
            </w:r>
            <w:r w:rsidR="00157795">
              <w:rPr>
                <w:rFonts w:ascii="Times New Roman" w:hAnsi="Times New Roman" w:cs="Times New Roman"/>
                <w:color w:val="000000"/>
                <w:sz w:val="16"/>
                <w:szCs w:val="16"/>
              </w:rPr>
              <w:t xml:space="preserve"> et al.</w:t>
            </w:r>
            <w:r w:rsidRPr="00FB4BF2">
              <w:rPr>
                <w:rFonts w:ascii="Times New Roman" w:hAnsi="Times New Roman" w:cs="Times New Roman"/>
                <w:color w:val="000000"/>
                <w:sz w:val="16"/>
                <w:szCs w:val="16"/>
              </w:rPr>
              <w:t>, 2025</w:t>
            </w:r>
          </w:p>
        </w:tc>
        <w:tc>
          <w:tcPr>
            <w:tcW w:w="1417" w:type="dxa"/>
            <w:vAlign w:val="bottom"/>
          </w:tcPr>
          <w:p w14:paraId="64D63E89" w14:textId="659E14F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Letter</w:t>
            </w:r>
          </w:p>
        </w:tc>
        <w:tc>
          <w:tcPr>
            <w:tcW w:w="1418" w:type="dxa"/>
            <w:vAlign w:val="bottom"/>
          </w:tcPr>
          <w:p w14:paraId="0A29FF24" w14:textId="7C9838C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082DB4BD" w14:textId="76C60DD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C7B7406" w14:textId="270DE71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71F0152" w14:textId="5B68470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7DC5A847" w14:textId="77777777" w:rsidTr="008B38E8">
        <w:tc>
          <w:tcPr>
            <w:tcW w:w="2547" w:type="dxa"/>
            <w:vAlign w:val="bottom"/>
          </w:tcPr>
          <w:p w14:paraId="61B4010C" w14:textId="605812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Kalolo </w:t>
            </w:r>
            <w:r w:rsidR="00157795">
              <w:rPr>
                <w:rFonts w:ascii="Times New Roman" w:hAnsi="Times New Roman" w:cs="Times New Roman"/>
                <w:color w:val="000000"/>
                <w:sz w:val="16"/>
                <w:szCs w:val="16"/>
              </w:rPr>
              <w:t>and Kibusi</w:t>
            </w:r>
            <w:r w:rsidRPr="00FB4BF2">
              <w:rPr>
                <w:rFonts w:ascii="Times New Roman" w:hAnsi="Times New Roman" w:cs="Times New Roman"/>
                <w:color w:val="000000"/>
                <w:sz w:val="16"/>
                <w:szCs w:val="16"/>
              </w:rPr>
              <w:t>, 2015</w:t>
            </w:r>
          </w:p>
        </w:tc>
        <w:tc>
          <w:tcPr>
            <w:tcW w:w="1417" w:type="dxa"/>
            <w:vAlign w:val="bottom"/>
          </w:tcPr>
          <w:p w14:paraId="519916FB" w14:textId="43D1787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9136B0E" w14:textId="5606FF3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Tanzania</w:t>
            </w:r>
          </w:p>
        </w:tc>
        <w:tc>
          <w:tcPr>
            <w:tcW w:w="1276" w:type="dxa"/>
            <w:vAlign w:val="bottom"/>
          </w:tcPr>
          <w:p w14:paraId="78FEEA0C" w14:textId="6579AB3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665D933" w14:textId="07AAF6D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C4A69B1" w14:textId="44CD3C8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1584533" w14:textId="77777777" w:rsidTr="008B38E8">
        <w:tc>
          <w:tcPr>
            <w:tcW w:w="2547" w:type="dxa"/>
            <w:vAlign w:val="bottom"/>
          </w:tcPr>
          <w:p w14:paraId="22D5AB19" w14:textId="469213F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Kathe </w:t>
            </w:r>
            <w:r w:rsidR="00157795">
              <w:rPr>
                <w:rFonts w:ascii="Times New Roman" w:hAnsi="Times New Roman" w:cs="Times New Roman"/>
                <w:color w:val="000000"/>
                <w:sz w:val="16"/>
                <w:szCs w:val="16"/>
              </w:rPr>
              <w:t>and Wani</w:t>
            </w:r>
            <w:r w:rsidRPr="00FB4BF2">
              <w:rPr>
                <w:rFonts w:ascii="Times New Roman" w:hAnsi="Times New Roman" w:cs="Times New Roman"/>
                <w:color w:val="000000"/>
                <w:sz w:val="16"/>
                <w:szCs w:val="16"/>
              </w:rPr>
              <w:t>, 2021</w:t>
            </w:r>
          </w:p>
        </w:tc>
        <w:tc>
          <w:tcPr>
            <w:tcW w:w="1417" w:type="dxa"/>
            <w:vAlign w:val="bottom"/>
          </w:tcPr>
          <w:p w14:paraId="7A11A8EF" w14:textId="0371556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28AC446" w14:textId="2DE5C4E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70987709" w14:textId="62BEC6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41B8AA9" w14:textId="4BD6CE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FA32892" w14:textId="0AC1BC8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68359B0" w14:textId="77777777" w:rsidTr="008B38E8">
        <w:tc>
          <w:tcPr>
            <w:tcW w:w="2547" w:type="dxa"/>
            <w:vAlign w:val="bottom"/>
          </w:tcPr>
          <w:p w14:paraId="72639F66" w14:textId="456B1A5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Keeney et al, 2023</w:t>
            </w:r>
          </w:p>
        </w:tc>
        <w:tc>
          <w:tcPr>
            <w:tcW w:w="1417" w:type="dxa"/>
            <w:vAlign w:val="bottom"/>
          </w:tcPr>
          <w:p w14:paraId="72E6FF24" w14:textId="38DDEF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2D70848" w14:textId="354137B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2E6583E8" w14:textId="220315D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7821548" w14:textId="6B6A837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4770EE6" w14:textId="704277A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26EB36C4" w14:textId="77777777" w:rsidTr="008B38E8">
        <w:tc>
          <w:tcPr>
            <w:tcW w:w="2547" w:type="dxa"/>
            <w:vAlign w:val="bottom"/>
          </w:tcPr>
          <w:p w14:paraId="78145707" w14:textId="40F5DCA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Kennedy et al, 2024</w:t>
            </w:r>
          </w:p>
        </w:tc>
        <w:tc>
          <w:tcPr>
            <w:tcW w:w="1417" w:type="dxa"/>
            <w:vAlign w:val="bottom"/>
          </w:tcPr>
          <w:p w14:paraId="3F5B9A2F" w14:textId="331F8E9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Reflection</w:t>
            </w:r>
          </w:p>
        </w:tc>
        <w:tc>
          <w:tcPr>
            <w:tcW w:w="1418" w:type="dxa"/>
            <w:vAlign w:val="bottom"/>
          </w:tcPr>
          <w:p w14:paraId="3836D378" w14:textId="5CAD59F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2A5B66A1" w14:textId="016069C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F7D05A2" w14:textId="6AC6374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4A4DD4D8" w14:textId="5144808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ED08494" w14:textId="77777777" w:rsidTr="008B38E8">
        <w:tc>
          <w:tcPr>
            <w:tcW w:w="2547" w:type="dxa"/>
            <w:vAlign w:val="bottom"/>
          </w:tcPr>
          <w:p w14:paraId="28A0BDF1" w14:textId="4C03B48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Khalil et al, 2017</w:t>
            </w:r>
          </w:p>
        </w:tc>
        <w:tc>
          <w:tcPr>
            <w:tcW w:w="1417" w:type="dxa"/>
            <w:vAlign w:val="bottom"/>
          </w:tcPr>
          <w:p w14:paraId="39A39DFE" w14:textId="055D962F" w:rsidR="00FB4BF2" w:rsidRPr="00B8224A" w:rsidRDefault="00B8224A" w:rsidP="00FB4BF2">
            <w:pPr>
              <w:rPr>
                <w:rFonts w:ascii="Times New Roman" w:hAnsi="Times New Roman" w:cs="Times New Roman"/>
                <w:sz w:val="16"/>
                <w:szCs w:val="16"/>
              </w:rPr>
            </w:pPr>
            <w:r w:rsidRPr="00B8224A">
              <w:rPr>
                <w:rFonts w:ascii="Times New Roman" w:hAnsi="Times New Roman" w:cs="Times New Roman"/>
                <w:sz w:val="16"/>
                <w:szCs w:val="16"/>
              </w:rPr>
              <w:t>Review article</w:t>
            </w:r>
          </w:p>
        </w:tc>
        <w:tc>
          <w:tcPr>
            <w:tcW w:w="1418" w:type="dxa"/>
            <w:vAlign w:val="bottom"/>
          </w:tcPr>
          <w:p w14:paraId="54F0F223" w14:textId="45307D3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Pakistan</w:t>
            </w:r>
          </w:p>
        </w:tc>
        <w:tc>
          <w:tcPr>
            <w:tcW w:w="1276" w:type="dxa"/>
            <w:vAlign w:val="bottom"/>
          </w:tcPr>
          <w:p w14:paraId="3A8612E4" w14:textId="703FDA2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48F7711" w14:textId="5CA1E99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ED79088" w14:textId="4A8ACEE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7A13CC49" w14:textId="77777777" w:rsidTr="008B38E8">
        <w:tc>
          <w:tcPr>
            <w:tcW w:w="2547" w:type="dxa"/>
            <w:vAlign w:val="bottom"/>
          </w:tcPr>
          <w:p w14:paraId="607AED11" w14:textId="4A88B30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Kusumayati </w:t>
            </w:r>
            <w:r w:rsidR="00157795">
              <w:rPr>
                <w:rFonts w:ascii="Times New Roman" w:hAnsi="Times New Roman" w:cs="Times New Roman"/>
                <w:color w:val="000000"/>
                <w:sz w:val="16"/>
                <w:szCs w:val="16"/>
              </w:rPr>
              <w:t>and Gross</w:t>
            </w:r>
            <w:r w:rsidRPr="00FB4BF2">
              <w:rPr>
                <w:rFonts w:ascii="Times New Roman" w:hAnsi="Times New Roman" w:cs="Times New Roman"/>
                <w:color w:val="000000"/>
                <w:sz w:val="16"/>
                <w:szCs w:val="16"/>
              </w:rPr>
              <w:t>, 1998</w:t>
            </w:r>
          </w:p>
        </w:tc>
        <w:tc>
          <w:tcPr>
            <w:tcW w:w="1417" w:type="dxa"/>
            <w:vAlign w:val="bottom"/>
          </w:tcPr>
          <w:p w14:paraId="66E59411" w14:textId="56C2F37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06E49CA" w14:textId="10042F7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Indonesia</w:t>
            </w:r>
          </w:p>
        </w:tc>
        <w:tc>
          <w:tcPr>
            <w:tcW w:w="1276" w:type="dxa"/>
            <w:vAlign w:val="bottom"/>
          </w:tcPr>
          <w:p w14:paraId="7211764A" w14:textId="0B9EE53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2F3DFA8" w14:textId="69CD47A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0D803BB" w14:textId="03429A2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252082F0" w14:textId="77777777" w:rsidTr="008B38E8">
        <w:tc>
          <w:tcPr>
            <w:tcW w:w="2547" w:type="dxa"/>
            <w:vAlign w:val="bottom"/>
          </w:tcPr>
          <w:p w14:paraId="649104EE" w14:textId="2D1F89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Langmaid et al, 2021</w:t>
            </w:r>
          </w:p>
        </w:tc>
        <w:tc>
          <w:tcPr>
            <w:tcW w:w="1417" w:type="dxa"/>
            <w:vAlign w:val="bottom"/>
          </w:tcPr>
          <w:p w14:paraId="2A76FFCB" w14:textId="2DFA395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323FE6B7" w14:textId="73758D1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5882B765" w14:textId="7FB2EC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29C29162" w14:textId="0E288E8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8502176" w14:textId="44EF726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6D1A0219" w14:textId="77777777" w:rsidTr="008B38E8">
        <w:tc>
          <w:tcPr>
            <w:tcW w:w="2547" w:type="dxa"/>
            <w:vAlign w:val="bottom"/>
          </w:tcPr>
          <w:p w14:paraId="6B4BE735" w14:textId="3105CD1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Lawes et al, 2015</w:t>
            </w:r>
          </w:p>
        </w:tc>
        <w:tc>
          <w:tcPr>
            <w:tcW w:w="1417" w:type="dxa"/>
            <w:vAlign w:val="bottom"/>
          </w:tcPr>
          <w:p w14:paraId="59F1DB08" w14:textId="4698B64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E6CA8A2" w14:textId="6B94B47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198E29D1" w14:textId="42DC967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DE6FE07" w14:textId="2386487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1AC6135" w14:textId="7196341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4AC359A" w14:textId="77777777" w:rsidTr="008B38E8">
        <w:tc>
          <w:tcPr>
            <w:tcW w:w="2547" w:type="dxa"/>
            <w:vAlign w:val="bottom"/>
          </w:tcPr>
          <w:p w14:paraId="19CF5CBD" w14:textId="2A59987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Lawes et al, 2017</w:t>
            </w:r>
          </w:p>
        </w:tc>
        <w:tc>
          <w:tcPr>
            <w:tcW w:w="1417" w:type="dxa"/>
            <w:vAlign w:val="bottom"/>
          </w:tcPr>
          <w:p w14:paraId="43258877" w14:textId="4A3C0BE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1F113DA" w14:textId="7CA0F5C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689344C5" w14:textId="4602C0B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4C22AB5" w14:textId="72A8276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7ED463B" w14:textId="37FDD04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2F4A33B" w14:textId="77777777" w:rsidTr="008B38E8">
        <w:tc>
          <w:tcPr>
            <w:tcW w:w="2547" w:type="dxa"/>
            <w:vAlign w:val="bottom"/>
          </w:tcPr>
          <w:p w14:paraId="1D912B91" w14:textId="1F2CE0E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Lawson et al, 2015</w:t>
            </w:r>
          </w:p>
        </w:tc>
        <w:tc>
          <w:tcPr>
            <w:tcW w:w="1417" w:type="dxa"/>
            <w:vAlign w:val="bottom"/>
          </w:tcPr>
          <w:p w14:paraId="65410C40" w14:textId="17BDE4D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B7FE465" w14:textId="6B004EB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4469B4CF" w14:textId="05D98B9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64A32EE" w14:textId="05CC0A8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790A41D" w14:textId="7FBC902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3D844659" w14:textId="77777777" w:rsidTr="008B38E8">
        <w:tc>
          <w:tcPr>
            <w:tcW w:w="2547" w:type="dxa"/>
            <w:vAlign w:val="bottom"/>
          </w:tcPr>
          <w:p w14:paraId="0E26FF34" w14:textId="7FF2B0A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Lee et al, 2025</w:t>
            </w:r>
          </w:p>
        </w:tc>
        <w:tc>
          <w:tcPr>
            <w:tcW w:w="1417" w:type="dxa"/>
            <w:vAlign w:val="bottom"/>
          </w:tcPr>
          <w:p w14:paraId="09192F88" w14:textId="1C6F24E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26412C61" w14:textId="6EE8452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2D505304" w14:textId="5FB0E33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D8D88C1" w14:textId="2008D7B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9C45F2E" w14:textId="0E479C0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3E0487D" w14:textId="77777777" w:rsidTr="008B38E8">
        <w:tc>
          <w:tcPr>
            <w:tcW w:w="2547" w:type="dxa"/>
            <w:vAlign w:val="bottom"/>
          </w:tcPr>
          <w:p w14:paraId="168B879F" w14:textId="6C39CC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Leimbigler, 2023</w:t>
            </w:r>
          </w:p>
        </w:tc>
        <w:tc>
          <w:tcPr>
            <w:tcW w:w="1417" w:type="dxa"/>
            <w:vAlign w:val="bottom"/>
          </w:tcPr>
          <w:p w14:paraId="01DE9696" w14:textId="007966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Letter</w:t>
            </w:r>
          </w:p>
        </w:tc>
        <w:tc>
          <w:tcPr>
            <w:tcW w:w="1418" w:type="dxa"/>
            <w:vAlign w:val="bottom"/>
          </w:tcPr>
          <w:p w14:paraId="5343B855" w14:textId="4C504C5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803656D" w14:textId="3F8CA61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557018E" w14:textId="11CC2C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55E38132" w14:textId="60DC9EC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7F61DF62" w14:textId="77777777" w:rsidTr="008B38E8">
        <w:tc>
          <w:tcPr>
            <w:tcW w:w="2547" w:type="dxa"/>
            <w:vAlign w:val="bottom"/>
          </w:tcPr>
          <w:p w14:paraId="1E49976A" w14:textId="0AC435E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Li et al, 2020</w:t>
            </w:r>
          </w:p>
        </w:tc>
        <w:tc>
          <w:tcPr>
            <w:tcW w:w="1417" w:type="dxa"/>
            <w:vAlign w:val="bottom"/>
          </w:tcPr>
          <w:p w14:paraId="0842733C" w14:textId="245396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84B8156" w14:textId="35BB316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China</w:t>
            </w:r>
          </w:p>
        </w:tc>
        <w:tc>
          <w:tcPr>
            <w:tcW w:w="1276" w:type="dxa"/>
            <w:vAlign w:val="bottom"/>
          </w:tcPr>
          <w:p w14:paraId="03ADB775" w14:textId="696396F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3A63B6AE" w14:textId="60CF9767" w:rsidR="00FB4BF2" w:rsidRPr="001165D4" w:rsidRDefault="001165D4" w:rsidP="00FB4BF2">
            <w:pPr>
              <w:rPr>
                <w:rFonts w:ascii="Times New Roman" w:hAnsi="Times New Roman" w:cs="Times New Roman"/>
                <w:sz w:val="16"/>
                <w:szCs w:val="16"/>
              </w:rPr>
            </w:pPr>
            <w:r w:rsidRPr="001165D4">
              <w:rPr>
                <w:rFonts w:ascii="Times New Roman" w:hAnsi="Times New Roman" w:cs="Times New Roman"/>
                <w:sz w:val="16"/>
                <w:szCs w:val="16"/>
              </w:rPr>
              <w:t>YES</w:t>
            </w:r>
          </w:p>
        </w:tc>
        <w:tc>
          <w:tcPr>
            <w:tcW w:w="1224" w:type="dxa"/>
            <w:vAlign w:val="bottom"/>
          </w:tcPr>
          <w:p w14:paraId="1E640D60" w14:textId="2DD860D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20D8368" w14:textId="77777777" w:rsidTr="008B38E8">
        <w:tc>
          <w:tcPr>
            <w:tcW w:w="2547" w:type="dxa"/>
            <w:vAlign w:val="bottom"/>
          </w:tcPr>
          <w:p w14:paraId="68C3A5B0" w14:textId="6108773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Li et al, 2023</w:t>
            </w:r>
          </w:p>
        </w:tc>
        <w:tc>
          <w:tcPr>
            <w:tcW w:w="1417" w:type="dxa"/>
            <w:vAlign w:val="bottom"/>
          </w:tcPr>
          <w:p w14:paraId="34B85124" w14:textId="18580118" w:rsidR="00FB4BF2" w:rsidRPr="00B8224A" w:rsidRDefault="00B8224A" w:rsidP="00FB4BF2">
            <w:pPr>
              <w:rPr>
                <w:rFonts w:ascii="Times New Roman" w:hAnsi="Times New Roman" w:cs="Times New Roman"/>
                <w:sz w:val="16"/>
                <w:szCs w:val="16"/>
              </w:rPr>
            </w:pPr>
            <w:r w:rsidRPr="00B8224A">
              <w:rPr>
                <w:rFonts w:ascii="Times New Roman" w:hAnsi="Times New Roman" w:cs="Times New Roman"/>
                <w:sz w:val="16"/>
                <w:szCs w:val="16"/>
              </w:rPr>
              <w:t>Review article</w:t>
            </w:r>
          </w:p>
        </w:tc>
        <w:tc>
          <w:tcPr>
            <w:tcW w:w="1418" w:type="dxa"/>
            <w:vAlign w:val="bottom"/>
          </w:tcPr>
          <w:p w14:paraId="1E0DA3C1" w14:textId="1CD35C8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China</w:t>
            </w:r>
          </w:p>
        </w:tc>
        <w:tc>
          <w:tcPr>
            <w:tcW w:w="1276" w:type="dxa"/>
            <w:vAlign w:val="bottom"/>
          </w:tcPr>
          <w:p w14:paraId="0C4FD625" w14:textId="7391095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DD6F14D" w14:textId="1E215E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9F40916" w14:textId="0121D8C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73381206" w14:textId="77777777" w:rsidTr="008B38E8">
        <w:tc>
          <w:tcPr>
            <w:tcW w:w="2547" w:type="dxa"/>
            <w:vAlign w:val="bottom"/>
          </w:tcPr>
          <w:p w14:paraId="6B7714A1" w14:textId="0A867C7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Li, 2017</w:t>
            </w:r>
          </w:p>
        </w:tc>
        <w:tc>
          <w:tcPr>
            <w:tcW w:w="1417" w:type="dxa"/>
            <w:vAlign w:val="bottom"/>
          </w:tcPr>
          <w:p w14:paraId="525F5B40" w14:textId="6462058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2F3C7C58" w14:textId="1F7BBE2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China</w:t>
            </w:r>
          </w:p>
        </w:tc>
        <w:tc>
          <w:tcPr>
            <w:tcW w:w="1276" w:type="dxa"/>
            <w:vAlign w:val="bottom"/>
          </w:tcPr>
          <w:p w14:paraId="3E7B0A7E" w14:textId="693B1B8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114E6B67" w14:textId="1B9B4AA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87B09EA" w14:textId="2F8BCF3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DB7A3B5" w14:textId="77777777" w:rsidTr="008B38E8">
        <w:tc>
          <w:tcPr>
            <w:tcW w:w="2547" w:type="dxa"/>
            <w:vAlign w:val="bottom"/>
          </w:tcPr>
          <w:p w14:paraId="49185CFA" w14:textId="2C168FE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Lisitza</w:t>
            </w:r>
            <w:r w:rsidR="00157795">
              <w:rPr>
                <w:rFonts w:ascii="Times New Roman" w:hAnsi="Times New Roman" w:cs="Times New Roman"/>
                <w:color w:val="000000"/>
                <w:sz w:val="16"/>
                <w:szCs w:val="16"/>
              </w:rPr>
              <w:t xml:space="preserve"> and Wolbring</w:t>
            </w:r>
            <w:r w:rsidRPr="00FB4BF2">
              <w:rPr>
                <w:rFonts w:ascii="Times New Roman" w:hAnsi="Times New Roman" w:cs="Times New Roman"/>
                <w:color w:val="000000"/>
                <w:sz w:val="16"/>
                <w:szCs w:val="16"/>
              </w:rPr>
              <w:t>, 2018</w:t>
            </w:r>
          </w:p>
        </w:tc>
        <w:tc>
          <w:tcPr>
            <w:tcW w:w="1417" w:type="dxa"/>
            <w:vAlign w:val="bottom"/>
          </w:tcPr>
          <w:p w14:paraId="46B3B2C5" w14:textId="3CEA905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6DE0222" w14:textId="0DB0DA9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3E04D900" w14:textId="54BF6D8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5B059836" w14:textId="4EDAED7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0AD26D7" w14:textId="3FD4413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2287ADE8" w14:textId="77777777" w:rsidTr="008B38E8">
        <w:tc>
          <w:tcPr>
            <w:tcW w:w="2547" w:type="dxa"/>
            <w:vAlign w:val="bottom"/>
          </w:tcPr>
          <w:p w14:paraId="59100090" w14:textId="4CD614F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Lokmic-Tomkins et al, 2024</w:t>
            </w:r>
          </w:p>
        </w:tc>
        <w:tc>
          <w:tcPr>
            <w:tcW w:w="1417" w:type="dxa"/>
            <w:vAlign w:val="bottom"/>
          </w:tcPr>
          <w:p w14:paraId="55F2874A" w14:textId="4BF061D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Short communication</w:t>
            </w:r>
          </w:p>
        </w:tc>
        <w:tc>
          <w:tcPr>
            <w:tcW w:w="1418" w:type="dxa"/>
            <w:vAlign w:val="bottom"/>
          </w:tcPr>
          <w:p w14:paraId="543D047D" w14:textId="5FE546F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43E20ABF" w14:textId="79E0933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1C32B56" w14:textId="3CF5A7C5" w:rsidR="00FB4BF2" w:rsidRPr="001165D4" w:rsidRDefault="001165D4" w:rsidP="00FB4BF2">
            <w:pPr>
              <w:rPr>
                <w:rFonts w:ascii="Times New Roman" w:hAnsi="Times New Roman" w:cs="Times New Roman"/>
                <w:sz w:val="16"/>
                <w:szCs w:val="16"/>
              </w:rPr>
            </w:pPr>
            <w:r w:rsidRPr="001165D4">
              <w:rPr>
                <w:rFonts w:ascii="Times New Roman" w:hAnsi="Times New Roman" w:cs="Times New Roman"/>
                <w:sz w:val="16"/>
                <w:szCs w:val="16"/>
              </w:rPr>
              <w:t>YES</w:t>
            </w:r>
          </w:p>
        </w:tc>
        <w:tc>
          <w:tcPr>
            <w:tcW w:w="1224" w:type="dxa"/>
            <w:vAlign w:val="bottom"/>
          </w:tcPr>
          <w:p w14:paraId="476255F0" w14:textId="299C1BF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1123CA36" w14:textId="77777777" w:rsidTr="008B38E8">
        <w:tc>
          <w:tcPr>
            <w:tcW w:w="2547" w:type="dxa"/>
            <w:vAlign w:val="bottom"/>
          </w:tcPr>
          <w:p w14:paraId="4A276F54" w14:textId="64EA474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Mahfouz et al, 1997</w:t>
            </w:r>
          </w:p>
        </w:tc>
        <w:tc>
          <w:tcPr>
            <w:tcW w:w="1417" w:type="dxa"/>
            <w:vAlign w:val="bottom"/>
          </w:tcPr>
          <w:p w14:paraId="65E6BF62" w14:textId="0ABE03A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048F295" w14:textId="369EFD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Egypt</w:t>
            </w:r>
          </w:p>
        </w:tc>
        <w:tc>
          <w:tcPr>
            <w:tcW w:w="1276" w:type="dxa"/>
            <w:vAlign w:val="bottom"/>
          </w:tcPr>
          <w:p w14:paraId="698F321E" w14:textId="0C789D2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58289A2" w14:textId="0A3230D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BE6D26F" w14:textId="4289A1F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B699EDA" w14:textId="77777777" w:rsidTr="008B38E8">
        <w:tc>
          <w:tcPr>
            <w:tcW w:w="2547" w:type="dxa"/>
            <w:vAlign w:val="bottom"/>
          </w:tcPr>
          <w:p w14:paraId="25114406" w14:textId="3517817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Mahmoudi Nezhad et al, 2019</w:t>
            </w:r>
          </w:p>
        </w:tc>
        <w:tc>
          <w:tcPr>
            <w:tcW w:w="1417" w:type="dxa"/>
            <w:vAlign w:val="bottom"/>
          </w:tcPr>
          <w:p w14:paraId="226B5BD2" w14:textId="61CE419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BAE3F44" w14:textId="40B720C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Iran</w:t>
            </w:r>
          </w:p>
        </w:tc>
        <w:tc>
          <w:tcPr>
            <w:tcW w:w="1276" w:type="dxa"/>
            <w:vAlign w:val="bottom"/>
          </w:tcPr>
          <w:p w14:paraId="36BDBB1E" w14:textId="4C70A9B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7C03635" w14:textId="192A9E6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3EC4D99" w14:textId="130BAA9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0D6169B" w14:textId="77777777" w:rsidTr="008B38E8">
        <w:tc>
          <w:tcPr>
            <w:tcW w:w="2547" w:type="dxa"/>
            <w:vAlign w:val="bottom"/>
          </w:tcPr>
          <w:p w14:paraId="4DFFFAD8" w14:textId="419D10A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Maibach, 2024</w:t>
            </w:r>
          </w:p>
        </w:tc>
        <w:tc>
          <w:tcPr>
            <w:tcW w:w="1417" w:type="dxa"/>
            <w:vAlign w:val="bottom"/>
          </w:tcPr>
          <w:p w14:paraId="70470EA7" w14:textId="41953C7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Viewpoint</w:t>
            </w:r>
          </w:p>
        </w:tc>
        <w:tc>
          <w:tcPr>
            <w:tcW w:w="1418" w:type="dxa"/>
            <w:vAlign w:val="bottom"/>
          </w:tcPr>
          <w:p w14:paraId="710A02DE" w14:textId="153DCB5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281CF590" w14:textId="7EADC8B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A0552FA" w14:textId="6BF978E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94D2D78" w14:textId="5CA03C1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323D9DC" w14:textId="77777777" w:rsidTr="008B38E8">
        <w:tc>
          <w:tcPr>
            <w:tcW w:w="2547" w:type="dxa"/>
            <w:vAlign w:val="bottom"/>
          </w:tcPr>
          <w:p w14:paraId="102E1320" w14:textId="0A2F0AA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McLaren, 2025</w:t>
            </w:r>
          </w:p>
        </w:tc>
        <w:tc>
          <w:tcPr>
            <w:tcW w:w="1417" w:type="dxa"/>
            <w:vAlign w:val="bottom"/>
          </w:tcPr>
          <w:p w14:paraId="52A06BCB" w14:textId="49B8E5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Letter</w:t>
            </w:r>
          </w:p>
        </w:tc>
        <w:tc>
          <w:tcPr>
            <w:tcW w:w="1418" w:type="dxa"/>
            <w:vAlign w:val="bottom"/>
          </w:tcPr>
          <w:p w14:paraId="6F543B49" w14:textId="5542FC5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0D7358FB" w14:textId="05D694B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D295998" w14:textId="1414939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565EEFD6" w14:textId="746ED08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5578AAA3" w14:textId="77777777" w:rsidTr="008B38E8">
        <w:tc>
          <w:tcPr>
            <w:tcW w:w="2547" w:type="dxa"/>
            <w:vAlign w:val="bottom"/>
          </w:tcPr>
          <w:p w14:paraId="61697CB9" w14:textId="315FDAF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w:t>
            </w:r>
            <w:r w:rsidR="001F3EE2">
              <w:rPr>
                <w:rFonts w:ascii="Times New Roman" w:hAnsi="Times New Roman" w:cs="Times New Roman"/>
                <w:color w:val="000000"/>
                <w:sz w:val="16"/>
                <w:szCs w:val="16"/>
              </w:rPr>
              <w:t>a</w:t>
            </w:r>
            <w:r w:rsidRPr="00FB4BF2">
              <w:rPr>
                <w:rFonts w:ascii="Times New Roman" w:hAnsi="Times New Roman" w:cs="Times New Roman"/>
                <w:color w:val="000000"/>
                <w:sz w:val="16"/>
                <w:szCs w:val="16"/>
              </w:rPr>
              <w:t>loney et al, 1991</w:t>
            </w:r>
          </w:p>
        </w:tc>
        <w:tc>
          <w:tcPr>
            <w:tcW w:w="1417" w:type="dxa"/>
            <w:vAlign w:val="bottom"/>
          </w:tcPr>
          <w:p w14:paraId="26E2C111" w14:textId="565572B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4156651" w14:textId="271FD5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240313A9" w14:textId="0B4EF16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515F2E4" w14:textId="6E90156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613ED05" w14:textId="2892A6A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786B6669" w14:textId="77777777" w:rsidTr="008B38E8">
        <w:tc>
          <w:tcPr>
            <w:tcW w:w="2547" w:type="dxa"/>
            <w:vAlign w:val="bottom"/>
          </w:tcPr>
          <w:p w14:paraId="1137168B" w14:textId="1D0F329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Morou-Bermudez et al, 2015</w:t>
            </w:r>
          </w:p>
        </w:tc>
        <w:tc>
          <w:tcPr>
            <w:tcW w:w="1417" w:type="dxa"/>
            <w:vAlign w:val="bottom"/>
          </w:tcPr>
          <w:p w14:paraId="0968987C" w14:textId="6B14F5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CAE7330" w14:textId="1E22668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Puerto Rico</w:t>
            </w:r>
          </w:p>
        </w:tc>
        <w:tc>
          <w:tcPr>
            <w:tcW w:w="1276" w:type="dxa"/>
            <w:vAlign w:val="bottom"/>
          </w:tcPr>
          <w:p w14:paraId="1B85BD60" w14:textId="28C46A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4BEC38B" w14:textId="12370E2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560AA20" w14:textId="652639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F51EE3F" w14:textId="77777777" w:rsidTr="008B38E8">
        <w:tc>
          <w:tcPr>
            <w:tcW w:w="2547" w:type="dxa"/>
            <w:vAlign w:val="bottom"/>
          </w:tcPr>
          <w:p w14:paraId="4B44D3B6" w14:textId="0683FBD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lastRenderedPageBreak/>
              <w:t>Moutinho et al, 2022</w:t>
            </w:r>
          </w:p>
        </w:tc>
        <w:tc>
          <w:tcPr>
            <w:tcW w:w="1417" w:type="dxa"/>
            <w:vAlign w:val="bottom"/>
          </w:tcPr>
          <w:p w14:paraId="2A7AD9D7" w14:textId="1061FBF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603D616" w14:textId="1A0C12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Puerto Rico</w:t>
            </w:r>
          </w:p>
        </w:tc>
        <w:tc>
          <w:tcPr>
            <w:tcW w:w="1276" w:type="dxa"/>
            <w:vAlign w:val="bottom"/>
          </w:tcPr>
          <w:p w14:paraId="1C38E0B0" w14:textId="5C39A3F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D10797B" w14:textId="2A548A6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C1150B5" w14:textId="084F8B4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0B4A31D1" w14:textId="77777777" w:rsidTr="008B38E8">
        <w:tc>
          <w:tcPr>
            <w:tcW w:w="2547" w:type="dxa"/>
            <w:vAlign w:val="bottom"/>
          </w:tcPr>
          <w:p w14:paraId="552DAD18" w14:textId="4AE8B4D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Muntaner </w:t>
            </w:r>
            <w:r w:rsidR="001F3EE2">
              <w:rPr>
                <w:rFonts w:ascii="Times New Roman" w:hAnsi="Times New Roman" w:cs="Times New Roman"/>
                <w:color w:val="000000"/>
                <w:sz w:val="16"/>
                <w:szCs w:val="16"/>
              </w:rPr>
              <w:t>and Benach</w:t>
            </w:r>
            <w:r w:rsidRPr="00FB4BF2">
              <w:rPr>
                <w:rFonts w:ascii="Times New Roman" w:hAnsi="Times New Roman" w:cs="Times New Roman"/>
                <w:color w:val="000000"/>
                <w:sz w:val="16"/>
                <w:szCs w:val="16"/>
              </w:rPr>
              <w:t>, 2023</w:t>
            </w:r>
          </w:p>
        </w:tc>
        <w:tc>
          <w:tcPr>
            <w:tcW w:w="1417" w:type="dxa"/>
            <w:vAlign w:val="bottom"/>
          </w:tcPr>
          <w:p w14:paraId="54565320" w14:textId="6A22816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Essay</w:t>
            </w:r>
          </w:p>
        </w:tc>
        <w:tc>
          <w:tcPr>
            <w:tcW w:w="1418" w:type="dxa"/>
            <w:vAlign w:val="bottom"/>
          </w:tcPr>
          <w:p w14:paraId="0EBFD190" w14:textId="48CB2F6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FD73A1B" w14:textId="35E633D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EDD11E0" w14:textId="5B60C75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72037FC9" w14:textId="2ACCC3A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A461123" w14:textId="77777777" w:rsidTr="008B38E8">
        <w:tc>
          <w:tcPr>
            <w:tcW w:w="2547" w:type="dxa"/>
            <w:vAlign w:val="bottom"/>
          </w:tcPr>
          <w:p w14:paraId="3865D2B4" w14:textId="0C79BB9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Neira et al, 2023</w:t>
            </w:r>
          </w:p>
        </w:tc>
        <w:tc>
          <w:tcPr>
            <w:tcW w:w="1417" w:type="dxa"/>
            <w:vAlign w:val="bottom"/>
          </w:tcPr>
          <w:p w14:paraId="35510A93" w14:textId="351EBA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10F7250" w14:textId="76ECF78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Cyprus</w:t>
            </w:r>
          </w:p>
        </w:tc>
        <w:tc>
          <w:tcPr>
            <w:tcW w:w="1276" w:type="dxa"/>
            <w:vAlign w:val="bottom"/>
          </w:tcPr>
          <w:p w14:paraId="48A1106C" w14:textId="7BE1176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5FFE343" w14:textId="054D074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4BE7974" w14:textId="771CA4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5E4992AD" w14:textId="77777777" w:rsidTr="008B38E8">
        <w:tc>
          <w:tcPr>
            <w:tcW w:w="2547" w:type="dxa"/>
            <w:vAlign w:val="bottom"/>
          </w:tcPr>
          <w:p w14:paraId="2D0C35D2" w14:textId="20F1EC8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Nunes et al, 2021</w:t>
            </w:r>
          </w:p>
        </w:tc>
        <w:tc>
          <w:tcPr>
            <w:tcW w:w="1417" w:type="dxa"/>
            <w:vAlign w:val="bottom"/>
          </w:tcPr>
          <w:p w14:paraId="4879856B" w14:textId="7C0BCB7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9002253" w14:textId="6B8A491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Brazil</w:t>
            </w:r>
          </w:p>
        </w:tc>
        <w:tc>
          <w:tcPr>
            <w:tcW w:w="1276" w:type="dxa"/>
            <w:vAlign w:val="bottom"/>
          </w:tcPr>
          <w:p w14:paraId="1531BCCC" w14:textId="3322A03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0248E24" w14:textId="5268517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56DBF1E" w14:textId="070B128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34F30652" w14:textId="77777777" w:rsidTr="008B38E8">
        <w:tc>
          <w:tcPr>
            <w:tcW w:w="2547" w:type="dxa"/>
            <w:vAlign w:val="bottom"/>
          </w:tcPr>
          <w:p w14:paraId="478CDA34" w14:textId="3553057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Oswald </w:t>
            </w:r>
            <w:r w:rsidR="001F3EE2">
              <w:rPr>
                <w:rFonts w:ascii="Times New Roman" w:hAnsi="Times New Roman" w:cs="Times New Roman"/>
                <w:color w:val="000000"/>
                <w:sz w:val="16"/>
                <w:szCs w:val="16"/>
              </w:rPr>
              <w:t>and Langmaid</w:t>
            </w:r>
            <w:r w:rsidRPr="00FB4BF2">
              <w:rPr>
                <w:rFonts w:ascii="Times New Roman" w:hAnsi="Times New Roman" w:cs="Times New Roman"/>
                <w:color w:val="000000"/>
                <w:sz w:val="16"/>
                <w:szCs w:val="16"/>
              </w:rPr>
              <w:t>, 2022</w:t>
            </w:r>
          </w:p>
        </w:tc>
        <w:tc>
          <w:tcPr>
            <w:tcW w:w="1417" w:type="dxa"/>
            <w:vAlign w:val="bottom"/>
          </w:tcPr>
          <w:p w14:paraId="019BD130" w14:textId="6592536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Commentary</w:t>
            </w:r>
          </w:p>
        </w:tc>
        <w:tc>
          <w:tcPr>
            <w:tcW w:w="1418" w:type="dxa"/>
            <w:vAlign w:val="bottom"/>
          </w:tcPr>
          <w:p w14:paraId="51B4DF2D" w14:textId="399642D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22E298CB" w14:textId="548F740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6A0C61B6" w14:textId="1E62C0F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80D6545" w14:textId="4D91220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C6A5638" w14:textId="77777777" w:rsidTr="008B38E8">
        <w:tc>
          <w:tcPr>
            <w:tcW w:w="2547" w:type="dxa"/>
            <w:vAlign w:val="bottom"/>
          </w:tcPr>
          <w:p w14:paraId="6A46542C" w14:textId="53D2B0F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Parkes et al, 2020</w:t>
            </w:r>
          </w:p>
        </w:tc>
        <w:tc>
          <w:tcPr>
            <w:tcW w:w="1417" w:type="dxa"/>
            <w:vAlign w:val="bottom"/>
          </w:tcPr>
          <w:p w14:paraId="27181AC4" w14:textId="54DBF8C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Commentary</w:t>
            </w:r>
          </w:p>
        </w:tc>
        <w:tc>
          <w:tcPr>
            <w:tcW w:w="1418" w:type="dxa"/>
            <w:vAlign w:val="bottom"/>
          </w:tcPr>
          <w:p w14:paraId="62C79191" w14:textId="15E4C1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1D2842A4" w14:textId="03D0696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C9154B0" w14:textId="2FCE120D" w:rsidR="00FB4BF2" w:rsidRPr="001165D4" w:rsidRDefault="001165D4" w:rsidP="00FB4BF2">
            <w:pPr>
              <w:rPr>
                <w:rFonts w:ascii="Times New Roman" w:hAnsi="Times New Roman" w:cs="Times New Roman"/>
                <w:sz w:val="16"/>
                <w:szCs w:val="16"/>
              </w:rPr>
            </w:pPr>
            <w:r w:rsidRPr="001165D4">
              <w:rPr>
                <w:rFonts w:ascii="Times New Roman" w:hAnsi="Times New Roman" w:cs="Times New Roman"/>
                <w:sz w:val="16"/>
                <w:szCs w:val="16"/>
              </w:rPr>
              <w:t>YES</w:t>
            </w:r>
          </w:p>
        </w:tc>
        <w:tc>
          <w:tcPr>
            <w:tcW w:w="1224" w:type="dxa"/>
            <w:vAlign w:val="bottom"/>
          </w:tcPr>
          <w:p w14:paraId="5E6AA5DF" w14:textId="73424CC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16B8AD26" w14:textId="77777777" w:rsidTr="008B38E8">
        <w:tc>
          <w:tcPr>
            <w:tcW w:w="2547" w:type="dxa"/>
            <w:vAlign w:val="bottom"/>
          </w:tcPr>
          <w:p w14:paraId="567A85FF" w14:textId="2288AC0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Pasek</w:t>
            </w:r>
            <w:r w:rsidR="001F3EE2">
              <w:rPr>
                <w:rFonts w:ascii="Times New Roman" w:hAnsi="Times New Roman" w:cs="Times New Roman"/>
                <w:color w:val="000000"/>
                <w:sz w:val="16"/>
                <w:szCs w:val="16"/>
              </w:rPr>
              <w:t xml:space="preserve"> and Saklak</w:t>
            </w:r>
            <w:r w:rsidRPr="00FB4BF2">
              <w:rPr>
                <w:rFonts w:ascii="Times New Roman" w:hAnsi="Times New Roman" w:cs="Times New Roman"/>
                <w:color w:val="000000"/>
                <w:sz w:val="16"/>
                <w:szCs w:val="16"/>
              </w:rPr>
              <w:t>, 2017</w:t>
            </w:r>
          </w:p>
        </w:tc>
        <w:tc>
          <w:tcPr>
            <w:tcW w:w="1417" w:type="dxa"/>
            <w:vAlign w:val="bottom"/>
          </w:tcPr>
          <w:p w14:paraId="357377CE" w14:textId="1AEFD4B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29C7F074" w14:textId="7DBFB8E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Poland</w:t>
            </w:r>
          </w:p>
        </w:tc>
        <w:tc>
          <w:tcPr>
            <w:tcW w:w="1276" w:type="dxa"/>
            <w:vAlign w:val="bottom"/>
          </w:tcPr>
          <w:p w14:paraId="76606B14" w14:textId="3F24987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BF8CF68" w14:textId="79FA938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339AD43" w14:textId="1CFB858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DA4C086" w14:textId="77777777" w:rsidTr="008B38E8">
        <w:tc>
          <w:tcPr>
            <w:tcW w:w="2547" w:type="dxa"/>
            <w:vAlign w:val="bottom"/>
          </w:tcPr>
          <w:p w14:paraId="45D73B0F" w14:textId="703B5B4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Patrick et al, 202</w:t>
            </w:r>
            <w:r w:rsidR="001F3EE2">
              <w:rPr>
                <w:rFonts w:ascii="Times New Roman" w:hAnsi="Times New Roman" w:cs="Times New Roman"/>
                <w:color w:val="000000"/>
                <w:sz w:val="16"/>
                <w:szCs w:val="16"/>
              </w:rPr>
              <w:t>1</w:t>
            </w:r>
          </w:p>
        </w:tc>
        <w:tc>
          <w:tcPr>
            <w:tcW w:w="1417" w:type="dxa"/>
            <w:vAlign w:val="bottom"/>
          </w:tcPr>
          <w:p w14:paraId="6D018763" w14:textId="68A401B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Chapter</w:t>
            </w:r>
          </w:p>
        </w:tc>
        <w:tc>
          <w:tcPr>
            <w:tcW w:w="1418" w:type="dxa"/>
            <w:vAlign w:val="bottom"/>
          </w:tcPr>
          <w:p w14:paraId="6EB3D21B" w14:textId="76E2D5D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03903A4B" w14:textId="7731BB4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F18F2B0" w14:textId="49EB1C9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B23208F" w14:textId="5BB3A4F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6E89346" w14:textId="77777777" w:rsidTr="008B38E8">
        <w:tc>
          <w:tcPr>
            <w:tcW w:w="2547" w:type="dxa"/>
            <w:vAlign w:val="bottom"/>
          </w:tcPr>
          <w:p w14:paraId="147AC5D3" w14:textId="639BBCE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Patrick</w:t>
            </w:r>
            <w:r w:rsidR="001F3EE2">
              <w:rPr>
                <w:rFonts w:ascii="Times New Roman" w:hAnsi="Times New Roman" w:cs="Times New Roman"/>
                <w:color w:val="000000"/>
                <w:sz w:val="16"/>
                <w:szCs w:val="16"/>
              </w:rPr>
              <w:t xml:space="preserve"> et al</w:t>
            </w:r>
            <w:r w:rsidRPr="00FB4BF2">
              <w:rPr>
                <w:rFonts w:ascii="Times New Roman" w:hAnsi="Times New Roman" w:cs="Times New Roman"/>
                <w:color w:val="000000"/>
                <w:sz w:val="16"/>
                <w:szCs w:val="16"/>
              </w:rPr>
              <w:t>, 2022</w:t>
            </w:r>
          </w:p>
        </w:tc>
        <w:tc>
          <w:tcPr>
            <w:tcW w:w="1417" w:type="dxa"/>
            <w:vAlign w:val="bottom"/>
          </w:tcPr>
          <w:p w14:paraId="4503EDC5" w14:textId="3C5BF0C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Research article </w:t>
            </w:r>
          </w:p>
        </w:tc>
        <w:tc>
          <w:tcPr>
            <w:tcW w:w="1418" w:type="dxa"/>
            <w:vAlign w:val="bottom"/>
          </w:tcPr>
          <w:p w14:paraId="42C5684C" w14:textId="2E2FD39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2A3EFB43" w14:textId="7BD3FEA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D39F009" w14:textId="0EDDF1A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2BA7A09" w14:textId="738BDC4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20A9672C" w14:textId="77777777" w:rsidTr="008B38E8">
        <w:tc>
          <w:tcPr>
            <w:tcW w:w="2547" w:type="dxa"/>
            <w:vAlign w:val="bottom"/>
          </w:tcPr>
          <w:p w14:paraId="23669C67" w14:textId="578F208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Portinga et al, 2024</w:t>
            </w:r>
          </w:p>
        </w:tc>
        <w:tc>
          <w:tcPr>
            <w:tcW w:w="1417" w:type="dxa"/>
            <w:vAlign w:val="bottom"/>
          </w:tcPr>
          <w:p w14:paraId="328AE932" w14:textId="28DFE1D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620EB79" w14:textId="2FE7C62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07F63F4D" w14:textId="69AA9AB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0CE7253F" w14:textId="3A0A0DE5" w:rsidR="00FB4BF2" w:rsidRPr="000E3B0D" w:rsidRDefault="000E3B0D" w:rsidP="00FB4BF2">
            <w:pPr>
              <w:rPr>
                <w:rFonts w:ascii="Times New Roman" w:hAnsi="Times New Roman" w:cs="Times New Roman"/>
                <w:sz w:val="16"/>
                <w:szCs w:val="16"/>
              </w:rPr>
            </w:pPr>
            <w:r w:rsidRPr="000E3B0D">
              <w:rPr>
                <w:rFonts w:ascii="Times New Roman" w:hAnsi="Times New Roman" w:cs="Times New Roman"/>
                <w:sz w:val="16"/>
                <w:szCs w:val="16"/>
              </w:rPr>
              <w:t>YES</w:t>
            </w:r>
          </w:p>
        </w:tc>
        <w:tc>
          <w:tcPr>
            <w:tcW w:w="1224" w:type="dxa"/>
            <w:vAlign w:val="bottom"/>
          </w:tcPr>
          <w:p w14:paraId="1A8CA52D" w14:textId="46F6AE9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3619342" w14:textId="77777777" w:rsidTr="008B38E8">
        <w:tc>
          <w:tcPr>
            <w:tcW w:w="2547" w:type="dxa"/>
            <w:vAlign w:val="bottom"/>
          </w:tcPr>
          <w:p w14:paraId="1DE7C2D3" w14:textId="0095321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Qiu et al, 2014</w:t>
            </w:r>
          </w:p>
        </w:tc>
        <w:tc>
          <w:tcPr>
            <w:tcW w:w="1417" w:type="dxa"/>
            <w:vAlign w:val="bottom"/>
          </w:tcPr>
          <w:p w14:paraId="5F29E933" w14:textId="76AFAEF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5E42D7B" w14:textId="4CD90BC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China</w:t>
            </w:r>
          </w:p>
        </w:tc>
        <w:tc>
          <w:tcPr>
            <w:tcW w:w="1276" w:type="dxa"/>
            <w:vAlign w:val="bottom"/>
          </w:tcPr>
          <w:p w14:paraId="7DB1AD5C" w14:textId="3DA6D8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4548EEC" w14:textId="44D7C05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5AFBA7CF" w14:textId="23FB506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A11ABC4" w14:textId="77777777" w:rsidTr="008B38E8">
        <w:tc>
          <w:tcPr>
            <w:tcW w:w="2547" w:type="dxa"/>
            <w:vAlign w:val="bottom"/>
          </w:tcPr>
          <w:p w14:paraId="515B0366" w14:textId="353597C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Rahman</w:t>
            </w:r>
            <w:r w:rsidR="001F3EE2">
              <w:rPr>
                <w:rFonts w:ascii="Times New Roman" w:hAnsi="Times New Roman" w:cs="Times New Roman"/>
                <w:color w:val="000000"/>
                <w:sz w:val="16"/>
                <w:szCs w:val="16"/>
              </w:rPr>
              <w:t xml:space="preserve"> and Willott</w:t>
            </w:r>
            <w:r w:rsidRPr="00FB4BF2">
              <w:rPr>
                <w:rFonts w:ascii="Times New Roman" w:hAnsi="Times New Roman" w:cs="Times New Roman"/>
                <w:color w:val="000000"/>
                <w:sz w:val="16"/>
                <w:szCs w:val="16"/>
              </w:rPr>
              <w:t>, 2025</w:t>
            </w:r>
          </w:p>
        </w:tc>
        <w:tc>
          <w:tcPr>
            <w:tcW w:w="1417" w:type="dxa"/>
            <w:vAlign w:val="bottom"/>
          </w:tcPr>
          <w:p w14:paraId="2B9E3147" w14:textId="7F2AB70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ED546BC" w14:textId="24BC90E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07078141" w14:textId="710F2C5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5F63DC1" w14:textId="6E257B5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2ABF639" w14:textId="2EFABCF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17D0FE45" w14:textId="77777777" w:rsidTr="008B38E8">
        <w:tc>
          <w:tcPr>
            <w:tcW w:w="2547" w:type="dxa"/>
            <w:vAlign w:val="bottom"/>
          </w:tcPr>
          <w:p w14:paraId="42F76DD9" w14:textId="642FEDE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Reboucas Santos et al, 2019</w:t>
            </w:r>
          </w:p>
        </w:tc>
        <w:tc>
          <w:tcPr>
            <w:tcW w:w="1417" w:type="dxa"/>
            <w:vAlign w:val="bottom"/>
          </w:tcPr>
          <w:p w14:paraId="293DEA09" w14:textId="1DC77EA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7482AB2" w14:textId="0952B98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Brazil</w:t>
            </w:r>
          </w:p>
        </w:tc>
        <w:tc>
          <w:tcPr>
            <w:tcW w:w="1276" w:type="dxa"/>
            <w:vAlign w:val="bottom"/>
          </w:tcPr>
          <w:p w14:paraId="369AB6D2" w14:textId="45A4BA0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8646D0E" w14:textId="5B82532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FB898F6" w14:textId="31BD9FA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EB3ED4C" w14:textId="77777777" w:rsidTr="008B38E8">
        <w:tc>
          <w:tcPr>
            <w:tcW w:w="2547" w:type="dxa"/>
            <w:vAlign w:val="bottom"/>
          </w:tcPr>
          <w:p w14:paraId="47B75BEE" w14:textId="52A23C8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Rossi et al, 2024</w:t>
            </w:r>
          </w:p>
        </w:tc>
        <w:tc>
          <w:tcPr>
            <w:tcW w:w="1417" w:type="dxa"/>
            <w:vAlign w:val="bottom"/>
          </w:tcPr>
          <w:p w14:paraId="604EA282" w14:textId="34F9F59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3BD4864" w14:textId="744F922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Italy</w:t>
            </w:r>
          </w:p>
        </w:tc>
        <w:tc>
          <w:tcPr>
            <w:tcW w:w="1276" w:type="dxa"/>
            <w:vAlign w:val="bottom"/>
          </w:tcPr>
          <w:p w14:paraId="4F8F0523" w14:textId="2BA7868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CC4DD44" w14:textId="54E12CD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7695377" w14:textId="5D81B2E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3CF59F32" w14:textId="77777777" w:rsidTr="008B38E8">
        <w:tc>
          <w:tcPr>
            <w:tcW w:w="2547" w:type="dxa"/>
            <w:vAlign w:val="bottom"/>
          </w:tcPr>
          <w:p w14:paraId="67A35A1E" w14:textId="53B94BB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Safdar et al, 2024</w:t>
            </w:r>
          </w:p>
        </w:tc>
        <w:tc>
          <w:tcPr>
            <w:tcW w:w="1417" w:type="dxa"/>
            <w:vAlign w:val="bottom"/>
          </w:tcPr>
          <w:p w14:paraId="00C5251E" w14:textId="069A98B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262D98D0" w14:textId="73E1EAF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Pakistan</w:t>
            </w:r>
          </w:p>
        </w:tc>
        <w:tc>
          <w:tcPr>
            <w:tcW w:w="1276" w:type="dxa"/>
            <w:vAlign w:val="bottom"/>
          </w:tcPr>
          <w:p w14:paraId="3E4C1DC9" w14:textId="3CFFE5F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91F6C2C" w14:textId="40250AB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5857C13" w14:textId="6819093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C2E145E" w14:textId="77777777" w:rsidTr="008B38E8">
        <w:tc>
          <w:tcPr>
            <w:tcW w:w="2547" w:type="dxa"/>
            <w:vAlign w:val="bottom"/>
          </w:tcPr>
          <w:p w14:paraId="35E92724" w14:textId="6571EF5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Sawchuk, 1993</w:t>
            </w:r>
          </w:p>
        </w:tc>
        <w:tc>
          <w:tcPr>
            <w:tcW w:w="1417" w:type="dxa"/>
            <w:vAlign w:val="bottom"/>
          </w:tcPr>
          <w:p w14:paraId="4C8F7215" w14:textId="7ED5154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36187FF3" w14:textId="4F9D5E3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64F14B77" w14:textId="63344AB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7E90B4B" w14:textId="6822DCB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626307C6" w14:textId="1C7A45F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354C4F4" w14:textId="77777777" w:rsidTr="008B38E8">
        <w:tc>
          <w:tcPr>
            <w:tcW w:w="2547" w:type="dxa"/>
            <w:vAlign w:val="bottom"/>
          </w:tcPr>
          <w:p w14:paraId="5ED02107" w14:textId="19DA639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Schultz, 2019</w:t>
            </w:r>
          </w:p>
        </w:tc>
        <w:tc>
          <w:tcPr>
            <w:tcW w:w="1417" w:type="dxa"/>
            <w:vAlign w:val="bottom"/>
          </w:tcPr>
          <w:p w14:paraId="7190034C" w14:textId="6A2AF89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Conference paper</w:t>
            </w:r>
          </w:p>
        </w:tc>
        <w:tc>
          <w:tcPr>
            <w:tcW w:w="1418" w:type="dxa"/>
            <w:vAlign w:val="bottom"/>
          </w:tcPr>
          <w:p w14:paraId="3CDB812E" w14:textId="0D905C5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4BF7A43E" w14:textId="7632CC5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7664B2E4" w14:textId="15D53C6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02FC2E7" w14:textId="307B3AB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2E4F04E" w14:textId="77777777" w:rsidTr="008B38E8">
        <w:tc>
          <w:tcPr>
            <w:tcW w:w="2547" w:type="dxa"/>
            <w:vAlign w:val="bottom"/>
          </w:tcPr>
          <w:p w14:paraId="36147E7C" w14:textId="2DE2B28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Serrezuela</w:t>
            </w:r>
            <w:r w:rsidR="001F3EE2">
              <w:rPr>
                <w:rFonts w:ascii="Times New Roman" w:hAnsi="Times New Roman" w:cs="Times New Roman"/>
                <w:color w:val="000000"/>
                <w:sz w:val="16"/>
                <w:szCs w:val="16"/>
              </w:rPr>
              <w:t xml:space="preserve"> and Pinilla</w:t>
            </w:r>
            <w:r w:rsidRPr="00FB4BF2">
              <w:rPr>
                <w:rFonts w:ascii="Times New Roman" w:hAnsi="Times New Roman" w:cs="Times New Roman"/>
                <w:color w:val="000000"/>
                <w:sz w:val="16"/>
                <w:szCs w:val="16"/>
              </w:rPr>
              <w:t>, 2015</w:t>
            </w:r>
          </w:p>
        </w:tc>
        <w:tc>
          <w:tcPr>
            <w:tcW w:w="1417" w:type="dxa"/>
            <w:vAlign w:val="bottom"/>
          </w:tcPr>
          <w:p w14:paraId="4B453D94" w14:textId="50C63AF5" w:rsidR="00FB4BF2" w:rsidRPr="00B8224A" w:rsidRDefault="00B8224A" w:rsidP="00FB4BF2">
            <w:pPr>
              <w:rPr>
                <w:rFonts w:ascii="Times New Roman" w:hAnsi="Times New Roman" w:cs="Times New Roman"/>
                <w:sz w:val="16"/>
                <w:szCs w:val="16"/>
              </w:rPr>
            </w:pPr>
            <w:r w:rsidRPr="00B8224A">
              <w:rPr>
                <w:rFonts w:ascii="Times New Roman" w:hAnsi="Times New Roman" w:cs="Times New Roman"/>
                <w:sz w:val="16"/>
                <w:szCs w:val="16"/>
              </w:rPr>
              <w:t>Research article</w:t>
            </w:r>
          </w:p>
        </w:tc>
        <w:tc>
          <w:tcPr>
            <w:tcW w:w="1418" w:type="dxa"/>
            <w:vAlign w:val="bottom"/>
          </w:tcPr>
          <w:p w14:paraId="3A582B23" w14:textId="4CEEC90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Colombia</w:t>
            </w:r>
          </w:p>
        </w:tc>
        <w:tc>
          <w:tcPr>
            <w:tcW w:w="1276" w:type="dxa"/>
            <w:vAlign w:val="bottom"/>
          </w:tcPr>
          <w:p w14:paraId="637BA56B" w14:textId="7FA2DB4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985F38F" w14:textId="25C2F31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2DD67D3" w14:textId="42F440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9633A99" w14:textId="77777777" w:rsidTr="008B38E8">
        <w:tc>
          <w:tcPr>
            <w:tcW w:w="2547" w:type="dxa"/>
            <w:vAlign w:val="bottom"/>
          </w:tcPr>
          <w:p w14:paraId="63E3B454" w14:textId="0E5233B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Sharma </w:t>
            </w:r>
            <w:r w:rsidR="001F3EE2">
              <w:rPr>
                <w:rFonts w:ascii="Times New Roman" w:hAnsi="Times New Roman" w:cs="Times New Roman"/>
                <w:color w:val="000000"/>
                <w:sz w:val="16"/>
                <w:szCs w:val="16"/>
              </w:rPr>
              <w:t>and Dev</w:t>
            </w:r>
            <w:r w:rsidRPr="00FB4BF2">
              <w:rPr>
                <w:rFonts w:ascii="Times New Roman" w:hAnsi="Times New Roman" w:cs="Times New Roman"/>
                <w:color w:val="000000"/>
                <w:sz w:val="16"/>
                <w:szCs w:val="16"/>
              </w:rPr>
              <w:t>, 2015</w:t>
            </w:r>
          </w:p>
        </w:tc>
        <w:tc>
          <w:tcPr>
            <w:tcW w:w="1417" w:type="dxa"/>
            <w:vAlign w:val="bottom"/>
          </w:tcPr>
          <w:p w14:paraId="3189EC1C" w14:textId="11BA35A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1333AFBD" w14:textId="2FA7EC2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India</w:t>
            </w:r>
          </w:p>
        </w:tc>
        <w:tc>
          <w:tcPr>
            <w:tcW w:w="1276" w:type="dxa"/>
            <w:vAlign w:val="bottom"/>
          </w:tcPr>
          <w:p w14:paraId="40E996AA" w14:textId="581A7FE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5C45C9A7" w14:textId="0BA8EF6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C55F9F6" w14:textId="6AF4DDE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80D9A26" w14:textId="77777777" w:rsidTr="008B38E8">
        <w:tc>
          <w:tcPr>
            <w:tcW w:w="2547" w:type="dxa"/>
            <w:vAlign w:val="bottom"/>
          </w:tcPr>
          <w:p w14:paraId="3ECBA62C" w14:textId="4EF24D3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Shaw et al, 2017</w:t>
            </w:r>
          </w:p>
        </w:tc>
        <w:tc>
          <w:tcPr>
            <w:tcW w:w="1417" w:type="dxa"/>
            <w:vAlign w:val="bottom"/>
          </w:tcPr>
          <w:p w14:paraId="25B2AE5E" w14:textId="408A51A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2D81175" w14:textId="156BB03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46229004" w14:textId="5F52FB9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6FBD37A" w14:textId="0D8A23F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5ECC9FB" w14:textId="0791EA3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096393C" w14:textId="77777777" w:rsidTr="008B38E8">
        <w:tc>
          <w:tcPr>
            <w:tcW w:w="2547" w:type="dxa"/>
            <w:vAlign w:val="bottom"/>
          </w:tcPr>
          <w:p w14:paraId="5CDF4FF0" w14:textId="03D1DCC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sz w:val="16"/>
                <w:szCs w:val="16"/>
              </w:rPr>
              <w:t>Shek et al, 2023</w:t>
            </w:r>
          </w:p>
        </w:tc>
        <w:tc>
          <w:tcPr>
            <w:tcW w:w="1417" w:type="dxa"/>
            <w:vAlign w:val="bottom"/>
          </w:tcPr>
          <w:p w14:paraId="7E0A8380" w14:textId="2510622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7463B31E" w14:textId="0091C55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Hong Kong</w:t>
            </w:r>
          </w:p>
        </w:tc>
        <w:tc>
          <w:tcPr>
            <w:tcW w:w="1276" w:type="dxa"/>
            <w:vAlign w:val="bottom"/>
          </w:tcPr>
          <w:p w14:paraId="2FDB7C36" w14:textId="734D42C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238F644" w14:textId="760866E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2E4C4F98" w14:textId="3B6156C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0C9F82C" w14:textId="77777777" w:rsidTr="008B38E8">
        <w:tc>
          <w:tcPr>
            <w:tcW w:w="2547" w:type="dxa"/>
            <w:vAlign w:val="bottom"/>
          </w:tcPr>
          <w:p w14:paraId="5E1E836B" w14:textId="204C0C6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Simon-Kumar, 2023</w:t>
            </w:r>
          </w:p>
        </w:tc>
        <w:tc>
          <w:tcPr>
            <w:tcW w:w="1417" w:type="dxa"/>
            <w:vAlign w:val="bottom"/>
          </w:tcPr>
          <w:p w14:paraId="53A48ACB" w14:textId="2084B70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6A6D6F4D" w14:textId="1E6DE80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New Zealand</w:t>
            </w:r>
          </w:p>
        </w:tc>
        <w:tc>
          <w:tcPr>
            <w:tcW w:w="1276" w:type="dxa"/>
            <w:vAlign w:val="bottom"/>
          </w:tcPr>
          <w:p w14:paraId="0353C9D9" w14:textId="796A0F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134" w:type="dxa"/>
            <w:vAlign w:val="bottom"/>
          </w:tcPr>
          <w:p w14:paraId="40733A63" w14:textId="74EC45F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F93B66B" w14:textId="27442A1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4AE01C8F" w14:textId="77777777" w:rsidTr="008B38E8">
        <w:tc>
          <w:tcPr>
            <w:tcW w:w="2547" w:type="dxa"/>
            <w:vAlign w:val="bottom"/>
          </w:tcPr>
          <w:p w14:paraId="5F426688" w14:textId="7D103BE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Sisler, 2014</w:t>
            </w:r>
          </w:p>
        </w:tc>
        <w:tc>
          <w:tcPr>
            <w:tcW w:w="1417" w:type="dxa"/>
            <w:vAlign w:val="bottom"/>
          </w:tcPr>
          <w:p w14:paraId="1164523E" w14:textId="72D5FA0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50B3C381" w14:textId="15E6EA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Germany</w:t>
            </w:r>
          </w:p>
        </w:tc>
        <w:tc>
          <w:tcPr>
            <w:tcW w:w="1276" w:type="dxa"/>
            <w:vAlign w:val="bottom"/>
          </w:tcPr>
          <w:p w14:paraId="1B60016F" w14:textId="56C648A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4D23C36F" w14:textId="0FDE7CB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00D576E" w14:textId="65638C5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BF56C79" w14:textId="77777777" w:rsidTr="008B38E8">
        <w:tc>
          <w:tcPr>
            <w:tcW w:w="2547" w:type="dxa"/>
            <w:vAlign w:val="bottom"/>
          </w:tcPr>
          <w:p w14:paraId="12B46EB2" w14:textId="1D7940A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Sripa </w:t>
            </w:r>
            <w:r w:rsidR="001F3EE2">
              <w:rPr>
                <w:rFonts w:ascii="Times New Roman" w:hAnsi="Times New Roman" w:cs="Times New Roman"/>
                <w:color w:val="000000"/>
                <w:sz w:val="16"/>
                <w:szCs w:val="16"/>
              </w:rPr>
              <w:t>and Echaubard</w:t>
            </w:r>
            <w:r w:rsidRPr="00FB4BF2">
              <w:rPr>
                <w:rFonts w:ascii="Times New Roman" w:hAnsi="Times New Roman" w:cs="Times New Roman"/>
                <w:color w:val="000000"/>
                <w:sz w:val="16"/>
                <w:szCs w:val="16"/>
              </w:rPr>
              <w:t>, 2017</w:t>
            </w:r>
          </w:p>
        </w:tc>
        <w:tc>
          <w:tcPr>
            <w:tcW w:w="1417" w:type="dxa"/>
            <w:vAlign w:val="bottom"/>
          </w:tcPr>
          <w:p w14:paraId="2F0766DA" w14:textId="32A8E0A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4A0177E9" w14:textId="13BE64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Thailand</w:t>
            </w:r>
          </w:p>
        </w:tc>
        <w:tc>
          <w:tcPr>
            <w:tcW w:w="1276" w:type="dxa"/>
            <w:vAlign w:val="bottom"/>
          </w:tcPr>
          <w:p w14:paraId="356200C2" w14:textId="0A14A94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BC3E786" w14:textId="55ADAC8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595B95F" w14:textId="02BFA9C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327571F5" w14:textId="77777777" w:rsidTr="008B38E8">
        <w:tc>
          <w:tcPr>
            <w:tcW w:w="2547" w:type="dxa"/>
            <w:vAlign w:val="bottom"/>
          </w:tcPr>
          <w:p w14:paraId="614F1447" w14:textId="0DE20E9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Stephen, 2023</w:t>
            </w:r>
          </w:p>
        </w:tc>
        <w:tc>
          <w:tcPr>
            <w:tcW w:w="1417" w:type="dxa"/>
            <w:vAlign w:val="bottom"/>
          </w:tcPr>
          <w:p w14:paraId="31C9DC15" w14:textId="345781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280CE7E0" w14:textId="1C1085B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1228327A" w14:textId="40E5778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B252B58" w14:textId="3E27073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224" w:type="dxa"/>
            <w:vAlign w:val="bottom"/>
          </w:tcPr>
          <w:p w14:paraId="4BFC8B36" w14:textId="7A4C203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11B7D0AF" w14:textId="77777777" w:rsidTr="008B38E8">
        <w:tc>
          <w:tcPr>
            <w:tcW w:w="2547" w:type="dxa"/>
            <w:vAlign w:val="bottom"/>
          </w:tcPr>
          <w:p w14:paraId="5EA18796" w14:textId="557CE56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Tajvar et al, 2022</w:t>
            </w:r>
          </w:p>
        </w:tc>
        <w:tc>
          <w:tcPr>
            <w:tcW w:w="1417" w:type="dxa"/>
            <w:vAlign w:val="bottom"/>
          </w:tcPr>
          <w:p w14:paraId="75DB7F8C" w14:textId="3378766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00B919F2" w14:textId="2F63482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Iran</w:t>
            </w:r>
          </w:p>
        </w:tc>
        <w:tc>
          <w:tcPr>
            <w:tcW w:w="1276" w:type="dxa"/>
            <w:vAlign w:val="bottom"/>
          </w:tcPr>
          <w:p w14:paraId="58250499" w14:textId="0ED3C7E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F2E3774" w14:textId="6DA7AFB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B122239" w14:textId="550C18E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6E7EFAD" w14:textId="77777777" w:rsidTr="008B38E8">
        <w:tc>
          <w:tcPr>
            <w:tcW w:w="2547" w:type="dxa"/>
            <w:vAlign w:val="bottom"/>
          </w:tcPr>
          <w:p w14:paraId="53CD733C" w14:textId="5F20C9C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Takahashi</w:t>
            </w:r>
            <w:r w:rsidR="003D18F5">
              <w:rPr>
                <w:rFonts w:ascii="Times New Roman" w:hAnsi="Times New Roman" w:cs="Times New Roman"/>
                <w:color w:val="000000"/>
                <w:sz w:val="16"/>
                <w:szCs w:val="16"/>
              </w:rPr>
              <w:t xml:space="preserve"> and Nyvad</w:t>
            </w:r>
            <w:r w:rsidRPr="00FB4BF2">
              <w:rPr>
                <w:rFonts w:ascii="Times New Roman" w:hAnsi="Times New Roman" w:cs="Times New Roman"/>
                <w:color w:val="000000"/>
                <w:sz w:val="16"/>
                <w:szCs w:val="16"/>
              </w:rPr>
              <w:t>, 2016</w:t>
            </w:r>
          </w:p>
        </w:tc>
        <w:tc>
          <w:tcPr>
            <w:tcW w:w="1417" w:type="dxa"/>
            <w:vAlign w:val="bottom"/>
          </w:tcPr>
          <w:p w14:paraId="0BCA9E57" w14:textId="253760E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77292567" w14:textId="588D6B6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Japan</w:t>
            </w:r>
          </w:p>
        </w:tc>
        <w:tc>
          <w:tcPr>
            <w:tcW w:w="1276" w:type="dxa"/>
            <w:vAlign w:val="bottom"/>
          </w:tcPr>
          <w:p w14:paraId="008CCA4C" w14:textId="445D9D4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4396C0C" w14:textId="56670D8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19F2E92C" w14:textId="4A7F978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1E572514" w14:textId="77777777" w:rsidTr="008B38E8">
        <w:tc>
          <w:tcPr>
            <w:tcW w:w="2547" w:type="dxa"/>
            <w:vAlign w:val="bottom"/>
          </w:tcPr>
          <w:p w14:paraId="5AE281E5" w14:textId="1BE46CC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Talla et al, 2014</w:t>
            </w:r>
          </w:p>
        </w:tc>
        <w:tc>
          <w:tcPr>
            <w:tcW w:w="1417" w:type="dxa"/>
            <w:vAlign w:val="bottom"/>
          </w:tcPr>
          <w:p w14:paraId="3E9E1FAC" w14:textId="252D251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331D3D0" w14:textId="4FF4E2A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Senegal</w:t>
            </w:r>
          </w:p>
        </w:tc>
        <w:tc>
          <w:tcPr>
            <w:tcW w:w="1276" w:type="dxa"/>
            <w:vAlign w:val="bottom"/>
          </w:tcPr>
          <w:p w14:paraId="3997B398" w14:textId="00A8382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0BD1B0AE" w14:textId="507FD47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673AA41" w14:textId="5306A2F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25E826AD" w14:textId="77777777" w:rsidTr="008B38E8">
        <w:tc>
          <w:tcPr>
            <w:tcW w:w="2547" w:type="dxa"/>
            <w:vAlign w:val="bottom"/>
          </w:tcPr>
          <w:p w14:paraId="10364337" w14:textId="40A6927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van Nieuwenhuizen et al, 2021</w:t>
            </w:r>
          </w:p>
        </w:tc>
        <w:tc>
          <w:tcPr>
            <w:tcW w:w="1417" w:type="dxa"/>
            <w:vAlign w:val="bottom"/>
          </w:tcPr>
          <w:p w14:paraId="0CBD4B62" w14:textId="514E4D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5019D22" w14:textId="4408B8A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USA</w:t>
            </w:r>
          </w:p>
        </w:tc>
        <w:tc>
          <w:tcPr>
            <w:tcW w:w="1276" w:type="dxa"/>
            <w:vAlign w:val="bottom"/>
          </w:tcPr>
          <w:p w14:paraId="39F5F379" w14:textId="1D9FCD1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B8A45CB" w14:textId="168B7B3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2A4589B" w14:textId="0003C07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17AC576" w14:textId="77777777" w:rsidTr="008B38E8">
        <w:tc>
          <w:tcPr>
            <w:tcW w:w="2547" w:type="dxa"/>
            <w:vAlign w:val="bottom"/>
          </w:tcPr>
          <w:p w14:paraId="562071C5" w14:textId="2AFC090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Vold et al, 2022</w:t>
            </w:r>
          </w:p>
        </w:tc>
        <w:tc>
          <w:tcPr>
            <w:tcW w:w="1417" w:type="dxa"/>
            <w:vAlign w:val="bottom"/>
          </w:tcPr>
          <w:p w14:paraId="35B971E0" w14:textId="21F3ED7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Perspective</w:t>
            </w:r>
          </w:p>
        </w:tc>
        <w:tc>
          <w:tcPr>
            <w:tcW w:w="1418" w:type="dxa"/>
            <w:vAlign w:val="bottom"/>
          </w:tcPr>
          <w:p w14:paraId="26527A04" w14:textId="25E91F25"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Canada</w:t>
            </w:r>
          </w:p>
        </w:tc>
        <w:tc>
          <w:tcPr>
            <w:tcW w:w="1276" w:type="dxa"/>
            <w:vAlign w:val="bottom"/>
          </w:tcPr>
          <w:p w14:paraId="451FA48C" w14:textId="7B5C9FC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69F8786E" w14:textId="2B6A6282"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C31118A" w14:textId="2B51E2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r>
      <w:tr w:rsidR="00FB4BF2" w14:paraId="2707EF87" w14:textId="77777777" w:rsidTr="008B38E8">
        <w:tc>
          <w:tcPr>
            <w:tcW w:w="2547" w:type="dxa"/>
            <w:vAlign w:val="bottom"/>
          </w:tcPr>
          <w:p w14:paraId="5DF5E9C0" w14:textId="7F75C60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Wang et al, 2022</w:t>
            </w:r>
          </w:p>
        </w:tc>
        <w:tc>
          <w:tcPr>
            <w:tcW w:w="1417" w:type="dxa"/>
            <w:vAlign w:val="bottom"/>
          </w:tcPr>
          <w:p w14:paraId="3E155932" w14:textId="643BF82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540BAE6D" w14:textId="6BABCDC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China</w:t>
            </w:r>
          </w:p>
        </w:tc>
        <w:tc>
          <w:tcPr>
            <w:tcW w:w="1276" w:type="dxa"/>
            <w:vAlign w:val="bottom"/>
          </w:tcPr>
          <w:p w14:paraId="5F2F6E94" w14:textId="390139EF"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9B1FB95" w14:textId="7F1850F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7C0D5878" w14:textId="62E767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5D55A086" w14:textId="77777777" w:rsidTr="008B38E8">
        <w:tc>
          <w:tcPr>
            <w:tcW w:w="2547" w:type="dxa"/>
            <w:vAlign w:val="bottom"/>
          </w:tcPr>
          <w:p w14:paraId="767CD226" w14:textId="628518C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Wei et al, 2020</w:t>
            </w:r>
          </w:p>
        </w:tc>
        <w:tc>
          <w:tcPr>
            <w:tcW w:w="1417" w:type="dxa"/>
            <w:vAlign w:val="bottom"/>
          </w:tcPr>
          <w:p w14:paraId="2D970048" w14:textId="2714822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14F28308" w14:textId="58D2EA2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Taiwan</w:t>
            </w:r>
          </w:p>
        </w:tc>
        <w:tc>
          <w:tcPr>
            <w:tcW w:w="1276" w:type="dxa"/>
            <w:vAlign w:val="bottom"/>
          </w:tcPr>
          <w:p w14:paraId="36997836" w14:textId="2E6E23BA"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8A59333" w14:textId="525D619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430CCE5D" w14:textId="6375176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62F4C09B" w14:textId="77777777" w:rsidTr="008B38E8">
        <w:tc>
          <w:tcPr>
            <w:tcW w:w="2547" w:type="dxa"/>
            <w:vAlign w:val="bottom"/>
          </w:tcPr>
          <w:p w14:paraId="38FC0D3F" w14:textId="1E106DF7"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Weiss, 2012</w:t>
            </w:r>
          </w:p>
        </w:tc>
        <w:tc>
          <w:tcPr>
            <w:tcW w:w="1417" w:type="dxa"/>
            <w:vAlign w:val="bottom"/>
          </w:tcPr>
          <w:p w14:paraId="3894F830" w14:textId="77576D8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Correspondence</w:t>
            </w:r>
          </w:p>
        </w:tc>
        <w:tc>
          <w:tcPr>
            <w:tcW w:w="1418" w:type="dxa"/>
            <w:vAlign w:val="bottom"/>
          </w:tcPr>
          <w:p w14:paraId="46021C29" w14:textId="7010C05B"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New Zealand</w:t>
            </w:r>
          </w:p>
        </w:tc>
        <w:tc>
          <w:tcPr>
            <w:tcW w:w="1276" w:type="dxa"/>
            <w:vAlign w:val="bottom"/>
          </w:tcPr>
          <w:p w14:paraId="59FF18C0" w14:textId="4DB062D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2A655F02" w14:textId="02CB93D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DFAA0BA" w14:textId="56F45801"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02A524AE" w14:textId="77777777" w:rsidTr="008B38E8">
        <w:tc>
          <w:tcPr>
            <w:tcW w:w="2547" w:type="dxa"/>
            <w:vAlign w:val="bottom"/>
          </w:tcPr>
          <w:p w14:paraId="628DED9F" w14:textId="7F98404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Whitmee</w:t>
            </w:r>
            <w:r w:rsidR="003D18F5">
              <w:rPr>
                <w:rFonts w:ascii="Times New Roman" w:hAnsi="Times New Roman" w:cs="Times New Roman"/>
                <w:color w:val="000000"/>
                <w:sz w:val="16"/>
                <w:szCs w:val="16"/>
              </w:rPr>
              <w:t xml:space="preserve"> et al</w:t>
            </w:r>
            <w:r w:rsidRPr="00FB4BF2">
              <w:rPr>
                <w:rFonts w:ascii="Times New Roman" w:hAnsi="Times New Roman" w:cs="Times New Roman"/>
                <w:color w:val="000000"/>
                <w:sz w:val="16"/>
                <w:szCs w:val="16"/>
              </w:rPr>
              <w:t>, 2015</w:t>
            </w:r>
          </w:p>
        </w:tc>
        <w:tc>
          <w:tcPr>
            <w:tcW w:w="1417" w:type="dxa"/>
            <w:vAlign w:val="bottom"/>
          </w:tcPr>
          <w:p w14:paraId="79E1DB81" w14:textId="32ACA864"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Review article</w:t>
            </w:r>
          </w:p>
        </w:tc>
        <w:tc>
          <w:tcPr>
            <w:tcW w:w="1418" w:type="dxa"/>
            <w:vAlign w:val="bottom"/>
          </w:tcPr>
          <w:p w14:paraId="68AECF88" w14:textId="24C4CC56"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UK</w:t>
            </w:r>
          </w:p>
        </w:tc>
        <w:tc>
          <w:tcPr>
            <w:tcW w:w="1276" w:type="dxa"/>
            <w:vAlign w:val="bottom"/>
          </w:tcPr>
          <w:p w14:paraId="155C955C" w14:textId="2CDFC81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1BDAB50E" w14:textId="200B49A9"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30608A44" w14:textId="6C159A2E"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r w:rsidR="00FB4BF2" w14:paraId="3C30132A" w14:textId="77777777" w:rsidTr="008B38E8">
        <w:tc>
          <w:tcPr>
            <w:tcW w:w="2547" w:type="dxa"/>
            <w:vAlign w:val="bottom"/>
          </w:tcPr>
          <w:p w14:paraId="147CCFC0" w14:textId="4134A0F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 xml:space="preserve">Wood </w:t>
            </w:r>
            <w:r w:rsidR="003D18F5">
              <w:rPr>
                <w:rFonts w:ascii="Times New Roman" w:hAnsi="Times New Roman" w:cs="Times New Roman"/>
                <w:color w:val="000000"/>
                <w:sz w:val="16"/>
                <w:szCs w:val="16"/>
              </w:rPr>
              <w:t>and Sacks,</w:t>
            </w:r>
            <w:r w:rsidRPr="00FB4BF2">
              <w:rPr>
                <w:rFonts w:ascii="Times New Roman" w:hAnsi="Times New Roman" w:cs="Times New Roman"/>
                <w:color w:val="000000"/>
                <w:sz w:val="16"/>
                <w:szCs w:val="16"/>
              </w:rPr>
              <w:t xml:space="preserve"> 2023</w:t>
            </w:r>
          </w:p>
        </w:tc>
        <w:tc>
          <w:tcPr>
            <w:tcW w:w="1417" w:type="dxa"/>
            <w:vAlign w:val="bottom"/>
          </w:tcPr>
          <w:p w14:paraId="133AB67F" w14:textId="17ED0328"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Research article</w:t>
            </w:r>
          </w:p>
        </w:tc>
        <w:tc>
          <w:tcPr>
            <w:tcW w:w="1418" w:type="dxa"/>
            <w:vAlign w:val="bottom"/>
          </w:tcPr>
          <w:p w14:paraId="4E77E407" w14:textId="7A9EE58D"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Australia</w:t>
            </w:r>
          </w:p>
        </w:tc>
        <w:tc>
          <w:tcPr>
            <w:tcW w:w="1276" w:type="dxa"/>
            <w:vAlign w:val="bottom"/>
          </w:tcPr>
          <w:p w14:paraId="6873BBBB" w14:textId="3CD95220"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c>
          <w:tcPr>
            <w:tcW w:w="1134" w:type="dxa"/>
            <w:vAlign w:val="bottom"/>
          </w:tcPr>
          <w:p w14:paraId="3AF5D0F2" w14:textId="783071DC"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YES</w:t>
            </w:r>
          </w:p>
        </w:tc>
        <w:tc>
          <w:tcPr>
            <w:tcW w:w="1224" w:type="dxa"/>
            <w:vAlign w:val="bottom"/>
          </w:tcPr>
          <w:p w14:paraId="035DAFDB" w14:textId="758CF5C3" w:rsidR="00FB4BF2" w:rsidRPr="00FB4BF2" w:rsidRDefault="00FB4BF2" w:rsidP="00FB4BF2">
            <w:pPr>
              <w:rPr>
                <w:rFonts w:ascii="Times New Roman" w:hAnsi="Times New Roman" w:cs="Times New Roman"/>
                <w:b/>
                <w:bCs/>
                <w:sz w:val="16"/>
                <w:szCs w:val="16"/>
              </w:rPr>
            </w:pPr>
            <w:r w:rsidRPr="00FB4BF2">
              <w:rPr>
                <w:rFonts w:ascii="Times New Roman" w:hAnsi="Times New Roman" w:cs="Times New Roman"/>
                <w:color w:val="000000"/>
                <w:sz w:val="16"/>
                <w:szCs w:val="16"/>
              </w:rPr>
              <w:t>NO</w:t>
            </w:r>
          </w:p>
        </w:tc>
      </w:tr>
    </w:tbl>
    <w:p w14:paraId="13A4D819" w14:textId="05534B1B" w:rsidR="003A5E14" w:rsidRPr="00225F0B" w:rsidRDefault="00225F0B" w:rsidP="006F382B">
      <w:pPr>
        <w:spacing w:line="240" w:lineRule="auto"/>
        <w:rPr>
          <w:rFonts w:ascii="Times New Roman" w:hAnsi="Times New Roman" w:cs="Times New Roman"/>
          <w:sz w:val="16"/>
          <w:szCs w:val="16"/>
        </w:rPr>
      </w:pPr>
      <w:r>
        <w:rPr>
          <w:rFonts w:ascii="Times New Roman" w:hAnsi="Times New Roman" w:cs="Times New Roman"/>
          <w:color w:val="000000"/>
          <w:sz w:val="16"/>
          <w:szCs w:val="16"/>
        </w:rPr>
        <w:t>*</w:t>
      </w:r>
      <w:r w:rsidRPr="00225F0B">
        <w:rPr>
          <w:rFonts w:ascii="Times New Roman" w:hAnsi="Times New Roman" w:cs="Times New Roman"/>
          <w:color w:val="000000"/>
          <w:sz w:val="16"/>
          <w:szCs w:val="16"/>
        </w:rPr>
        <w:t>Original research articles were defined as those that included a methodology section or, in exceptional cases, presented a detailed methodology in other sections. Analytical articles, case studies, and other articles without a detailed methodology were classified as reviews.</w:t>
      </w:r>
    </w:p>
    <w:p w14:paraId="2854E87A" w14:textId="77777777" w:rsidR="003A5E14" w:rsidRPr="006F382B" w:rsidRDefault="003A5E14" w:rsidP="006F382B">
      <w:pPr>
        <w:spacing w:line="240" w:lineRule="auto"/>
        <w:rPr>
          <w:rFonts w:ascii="Times New Roman" w:hAnsi="Times New Roman" w:cs="Times New Roman"/>
          <w:sz w:val="16"/>
          <w:szCs w:val="16"/>
        </w:rPr>
      </w:pPr>
    </w:p>
    <w:p w14:paraId="048BEDA7" w14:textId="77777777" w:rsidR="003A5E14" w:rsidRPr="006F382B" w:rsidRDefault="003A5E14" w:rsidP="006F382B">
      <w:pPr>
        <w:spacing w:line="240" w:lineRule="auto"/>
        <w:rPr>
          <w:rFonts w:ascii="Times New Roman" w:hAnsi="Times New Roman" w:cs="Times New Roman"/>
          <w:sz w:val="16"/>
          <w:szCs w:val="16"/>
        </w:rPr>
      </w:pPr>
    </w:p>
    <w:p w14:paraId="4156455A" w14:textId="77777777" w:rsidR="003A5E14" w:rsidRPr="006F382B" w:rsidRDefault="003A5E14" w:rsidP="006F382B">
      <w:pPr>
        <w:spacing w:line="240" w:lineRule="auto"/>
        <w:rPr>
          <w:rFonts w:ascii="Times New Roman" w:hAnsi="Times New Roman" w:cs="Times New Roman"/>
          <w:sz w:val="16"/>
          <w:szCs w:val="16"/>
        </w:rPr>
      </w:pPr>
    </w:p>
    <w:p w14:paraId="52D0BF36" w14:textId="77777777" w:rsidR="003A5E14" w:rsidRPr="006F382B" w:rsidRDefault="003A5E14" w:rsidP="006F382B">
      <w:pPr>
        <w:spacing w:line="240" w:lineRule="auto"/>
        <w:rPr>
          <w:rFonts w:ascii="Times New Roman" w:hAnsi="Times New Roman" w:cs="Times New Roman"/>
          <w:sz w:val="16"/>
          <w:szCs w:val="16"/>
        </w:rPr>
      </w:pPr>
    </w:p>
    <w:p w14:paraId="32B36F4E" w14:textId="77777777" w:rsidR="003A5E14" w:rsidRDefault="003A5E14" w:rsidP="006F382B">
      <w:pPr>
        <w:spacing w:line="240" w:lineRule="auto"/>
        <w:rPr>
          <w:rFonts w:ascii="Times New Roman" w:hAnsi="Times New Roman" w:cs="Times New Roman"/>
          <w:sz w:val="16"/>
          <w:szCs w:val="16"/>
        </w:rPr>
      </w:pPr>
    </w:p>
    <w:p w14:paraId="24C06183" w14:textId="77777777" w:rsidR="00960531" w:rsidRDefault="00960531" w:rsidP="006F382B">
      <w:pPr>
        <w:spacing w:line="240" w:lineRule="auto"/>
        <w:rPr>
          <w:rFonts w:ascii="Times New Roman" w:hAnsi="Times New Roman" w:cs="Times New Roman"/>
          <w:sz w:val="16"/>
          <w:szCs w:val="16"/>
        </w:rPr>
      </w:pPr>
    </w:p>
    <w:p w14:paraId="0626500E" w14:textId="77777777" w:rsidR="00960531" w:rsidRDefault="00960531" w:rsidP="006F382B">
      <w:pPr>
        <w:spacing w:line="240" w:lineRule="auto"/>
        <w:rPr>
          <w:rFonts w:ascii="Times New Roman" w:hAnsi="Times New Roman" w:cs="Times New Roman"/>
          <w:sz w:val="16"/>
          <w:szCs w:val="16"/>
        </w:rPr>
      </w:pPr>
    </w:p>
    <w:p w14:paraId="560FA086" w14:textId="77777777" w:rsidR="00960531" w:rsidRDefault="00960531" w:rsidP="006F382B">
      <w:pPr>
        <w:spacing w:line="240" w:lineRule="auto"/>
        <w:rPr>
          <w:rFonts w:ascii="Times New Roman" w:hAnsi="Times New Roman" w:cs="Times New Roman"/>
          <w:sz w:val="16"/>
          <w:szCs w:val="16"/>
        </w:rPr>
      </w:pPr>
    </w:p>
    <w:p w14:paraId="5D647160" w14:textId="77777777" w:rsidR="00DA3B5C" w:rsidRDefault="00DA3B5C" w:rsidP="006F382B">
      <w:pPr>
        <w:spacing w:line="240" w:lineRule="auto"/>
        <w:rPr>
          <w:rFonts w:ascii="Times New Roman" w:hAnsi="Times New Roman" w:cs="Times New Roman"/>
          <w:sz w:val="16"/>
          <w:szCs w:val="16"/>
        </w:rPr>
      </w:pPr>
    </w:p>
    <w:p w14:paraId="4A35F808" w14:textId="77777777" w:rsidR="00DA3B5C" w:rsidRDefault="00DA3B5C" w:rsidP="006F382B">
      <w:pPr>
        <w:spacing w:line="240" w:lineRule="auto"/>
        <w:rPr>
          <w:rFonts w:ascii="Times New Roman" w:hAnsi="Times New Roman" w:cs="Times New Roman"/>
          <w:sz w:val="16"/>
          <w:szCs w:val="16"/>
        </w:rPr>
      </w:pPr>
    </w:p>
    <w:p w14:paraId="2813959D" w14:textId="77777777" w:rsidR="00DA3B5C" w:rsidRDefault="00DA3B5C" w:rsidP="006F382B">
      <w:pPr>
        <w:spacing w:line="240" w:lineRule="auto"/>
        <w:rPr>
          <w:rFonts w:ascii="Times New Roman" w:hAnsi="Times New Roman" w:cs="Times New Roman"/>
          <w:sz w:val="16"/>
          <w:szCs w:val="16"/>
        </w:rPr>
      </w:pPr>
    </w:p>
    <w:p w14:paraId="73851160" w14:textId="77777777" w:rsidR="00DA3B5C" w:rsidRDefault="00DA3B5C" w:rsidP="006F382B">
      <w:pPr>
        <w:spacing w:line="240" w:lineRule="auto"/>
        <w:rPr>
          <w:rFonts w:ascii="Times New Roman" w:hAnsi="Times New Roman" w:cs="Times New Roman"/>
          <w:sz w:val="16"/>
          <w:szCs w:val="16"/>
        </w:rPr>
      </w:pPr>
    </w:p>
    <w:p w14:paraId="212FC9E2" w14:textId="77777777" w:rsidR="00DA3B5C" w:rsidRDefault="00DA3B5C" w:rsidP="006F382B">
      <w:pPr>
        <w:spacing w:line="240" w:lineRule="auto"/>
        <w:rPr>
          <w:rFonts w:ascii="Times New Roman" w:hAnsi="Times New Roman" w:cs="Times New Roman"/>
          <w:sz w:val="16"/>
          <w:szCs w:val="16"/>
        </w:rPr>
      </w:pPr>
    </w:p>
    <w:p w14:paraId="322715CF" w14:textId="77777777" w:rsidR="00DA3B5C" w:rsidRDefault="00DA3B5C" w:rsidP="006F382B">
      <w:pPr>
        <w:spacing w:line="240" w:lineRule="auto"/>
        <w:rPr>
          <w:rFonts w:ascii="Times New Roman" w:hAnsi="Times New Roman" w:cs="Times New Roman"/>
          <w:sz w:val="16"/>
          <w:szCs w:val="16"/>
        </w:rPr>
      </w:pPr>
    </w:p>
    <w:p w14:paraId="607D1BBA" w14:textId="77777777" w:rsidR="00B8224A" w:rsidRDefault="00B8224A" w:rsidP="006F382B">
      <w:pPr>
        <w:spacing w:line="240" w:lineRule="auto"/>
        <w:rPr>
          <w:rFonts w:ascii="Times New Roman" w:hAnsi="Times New Roman" w:cs="Times New Roman"/>
          <w:sz w:val="16"/>
          <w:szCs w:val="16"/>
        </w:rPr>
      </w:pPr>
    </w:p>
    <w:p w14:paraId="4BF68E3E" w14:textId="77777777" w:rsidR="00B8224A" w:rsidRDefault="00B8224A" w:rsidP="006F382B">
      <w:pPr>
        <w:spacing w:line="240" w:lineRule="auto"/>
        <w:rPr>
          <w:rFonts w:ascii="Times New Roman" w:hAnsi="Times New Roman" w:cs="Times New Roman"/>
          <w:sz w:val="16"/>
          <w:szCs w:val="16"/>
        </w:rPr>
      </w:pPr>
    </w:p>
    <w:p w14:paraId="5995CBB2" w14:textId="77777777" w:rsidR="00B8224A" w:rsidRDefault="00B8224A" w:rsidP="006F382B">
      <w:pPr>
        <w:spacing w:line="240" w:lineRule="auto"/>
        <w:rPr>
          <w:rFonts w:ascii="Times New Roman" w:hAnsi="Times New Roman" w:cs="Times New Roman"/>
          <w:sz w:val="16"/>
          <w:szCs w:val="16"/>
        </w:rPr>
      </w:pPr>
    </w:p>
    <w:p w14:paraId="1F87BE34" w14:textId="77777777" w:rsidR="00302A86" w:rsidRDefault="00302A86" w:rsidP="006F382B">
      <w:pPr>
        <w:spacing w:line="240" w:lineRule="auto"/>
        <w:rPr>
          <w:rFonts w:ascii="Times New Roman" w:hAnsi="Times New Roman" w:cs="Times New Roman"/>
          <w:sz w:val="16"/>
          <w:szCs w:val="16"/>
        </w:rPr>
      </w:pPr>
    </w:p>
    <w:p w14:paraId="455D4BC6" w14:textId="77777777" w:rsidR="000E3B0D" w:rsidRDefault="000E3B0D" w:rsidP="006F382B">
      <w:pPr>
        <w:spacing w:line="240" w:lineRule="auto"/>
        <w:rPr>
          <w:rFonts w:ascii="Times New Roman" w:hAnsi="Times New Roman" w:cs="Times New Roman"/>
          <w:sz w:val="16"/>
          <w:szCs w:val="16"/>
        </w:rPr>
      </w:pPr>
    </w:p>
    <w:p w14:paraId="316749CA" w14:textId="2B170A2F" w:rsidR="00960531" w:rsidRDefault="00B8224A" w:rsidP="00960531">
      <w:pPr>
        <w:rPr>
          <w:rFonts w:ascii="Times New Roman" w:hAnsi="Times New Roman" w:cs="Times New Roman"/>
          <w:b/>
          <w:bCs/>
          <w:sz w:val="20"/>
          <w:szCs w:val="20"/>
        </w:rPr>
      </w:pPr>
      <w:r>
        <w:rPr>
          <w:rFonts w:ascii="Times New Roman" w:hAnsi="Times New Roman" w:cs="Times New Roman"/>
          <w:b/>
          <w:bCs/>
          <w:sz w:val="20"/>
          <w:szCs w:val="20"/>
        </w:rPr>
        <w:lastRenderedPageBreak/>
        <w:t>Supplement File</w:t>
      </w:r>
      <w:r w:rsidR="00960531" w:rsidRPr="002F64F1">
        <w:rPr>
          <w:rFonts w:ascii="Times New Roman" w:hAnsi="Times New Roman" w:cs="Times New Roman"/>
          <w:b/>
          <w:bCs/>
          <w:sz w:val="20"/>
          <w:szCs w:val="20"/>
        </w:rPr>
        <w:t xml:space="preserve"> </w:t>
      </w:r>
      <w:r w:rsidR="00960531">
        <w:rPr>
          <w:rFonts w:ascii="Times New Roman" w:hAnsi="Times New Roman" w:cs="Times New Roman"/>
          <w:b/>
          <w:bCs/>
          <w:sz w:val="20"/>
          <w:szCs w:val="20"/>
        </w:rPr>
        <w:t>F</w:t>
      </w:r>
      <w:r w:rsidR="00960531" w:rsidRPr="002F64F1">
        <w:rPr>
          <w:rFonts w:ascii="Times New Roman" w:hAnsi="Times New Roman" w:cs="Times New Roman"/>
          <w:b/>
          <w:bCs/>
          <w:sz w:val="20"/>
          <w:szCs w:val="20"/>
        </w:rPr>
        <w:t xml:space="preserve">: </w:t>
      </w:r>
      <w:r w:rsidR="00225F0B" w:rsidRPr="00225F0B">
        <w:rPr>
          <w:rFonts w:ascii="Times New Roman" w:hAnsi="Times New Roman" w:cs="Times New Roman"/>
          <w:b/>
          <w:bCs/>
          <w:sz w:val="20"/>
          <w:szCs w:val="20"/>
        </w:rPr>
        <w:t>Publication Year of the Included Publications</w:t>
      </w:r>
    </w:p>
    <w:p w14:paraId="541515BF" w14:textId="22110683" w:rsidR="0052632D" w:rsidRPr="002F64F1" w:rsidRDefault="000C537D" w:rsidP="00960531">
      <w:pPr>
        <w:rPr>
          <w:rFonts w:ascii="Times New Roman" w:hAnsi="Times New Roman" w:cs="Times New Roman"/>
          <w:b/>
          <w:bCs/>
          <w:sz w:val="20"/>
          <w:szCs w:val="20"/>
        </w:rPr>
      </w:pPr>
      <w:r>
        <w:rPr>
          <w:noProof/>
        </w:rPr>
        <w:drawing>
          <wp:inline distT="0" distB="0" distL="0" distR="0" wp14:anchorId="02338458" wp14:editId="4139DF6A">
            <wp:extent cx="5731510" cy="2879725"/>
            <wp:effectExtent l="0" t="0" r="8890" b="15875"/>
            <wp:docPr id="1645715209" name="Chart 1">
              <a:extLst xmlns:a="http://schemas.openxmlformats.org/drawingml/2006/main">
                <a:ext uri="{FF2B5EF4-FFF2-40B4-BE49-F238E27FC236}">
                  <a16:creationId xmlns:a16="http://schemas.microsoft.com/office/drawing/2014/main" id="{657F41DF-CBEA-9625-A38C-EB9215231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14:paraId="6286996E" w14:textId="354AFA47" w:rsidR="00960531" w:rsidRDefault="00960531" w:rsidP="00960531"/>
    <w:p w14:paraId="60B90300" w14:textId="77777777" w:rsidR="00960531" w:rsidRDefault="00960531" w:rsidP="00960531">
      <w:pPr>
        <w:rPr>
          <w:rFonts w:ascii="Times New Roman" w:hAnsi="Times New Roman" w:cs="Times New Roman"/>
          <w:b/>
          <w:bCs/>
          <w:sz w:val="20"/>
          <w:szCs w:val="20"/>
        </w:rPr>
      </w:pPr>
    </w:p>
    <w:p w14:paraId="34B50260" w14:textId="77777777" w:rsidR="00960531" w:rsidRDefault="00960531" w:rsidP="00960531">
      <w:pPr>
        <w:rPr>
          <w:rFonts w:ascii="Times New Roman" w:hAnsi="Times New Roman" w:cs="Times New Roman"/>
          <w:b/>
          <w:bCs/>
          <w:sz w:val="20"/>
          <w:szCs w:val="20"/>
        </w:rPr>
      </w:pPr>
    </w:p>
    <w:p w14:paraId="08C43237" w14:textId="77777777" w:rsidR="00960531" w:rsidRDefault="00960531" w:rsidP="00960531">
      <w:pPr>
        <w:rPr>
          <w:rFonts w:ascii="Times New Roman" w:hAnsi="Times New Roman" w:cs="Times New Roman"/>
          <w:b/>
          <w:bCs/>
          <w:sz w:val="20"/>
          <w:szCs w:val="20"/>
        </w:rPr>
      </w:pPr>
    </w:p>
    <w:p w14:paraId="6E85777F" w14:textId="77777777" w:rsidR="00DA3B5C" w:rsidRDefault="00DA3B5C" w:rsidP="00960531">
      <w:pPr>
        <w:rPr>
          <w:rFonts w:ascii="Times New Roman" w:hAnsi="Times New Roman" w:cs="Times New Roman"/>
          <w:b/>
          <w:bCs/>
          <w:sz w:val="20"/>
          <w:szCs w:val="20"/>
        </w:rPr>
      </w:pPr>
    </w:p>
    <w:p w14:paraId="4FF10E02" w14:textId="77777777" w:rsidR="00DA3B5C" w:rsidRDefault="00DA3B5C" w:rsidP="00960531">
      <w:pPr>
        <w:rPr>
          <w:rFonts w:ascii="Times New Roman" w:hAnsi="Times New Roman" w:cs="Times New Roman"/>
          <w:b/>
          <w:bCs/>
          <w:sz w:val="20"/>
          <w:szCs w:val="20"/>
        </w:rPr>
      </w:pPr>
    </w:p>
    <w:p w14:paraId="12B3DAFE" w14:textId="77777777" w:rsidR="00DA3B5C" w:rsidRDefault="00DA3B5C" w:rsidP="00960531">
      <w:pPr>
        <w:rPr>
          <w:rFonts w:ascii="Times New Roman" w:hAnsi="Times New Roman" w:cs="Times New Roman"/>
          <w:b/>
          <w:bCs/>
          <w:sz w:val="20"/>
          <w:szCs w:val="20"/>
        </w:rPr>
      </w:pPr>
    </w:p>
    <w:p w14:paraId="262FB055" w14:textId="77777777" w:rsidR="00DA3B5C" w:rsidRDefault="00DA3B5C" w:rsidP="00960531">
      <w:pPr>
        <w:rPr>
          <w:rFonts w:ascii="Times New Roman" w:hAnsi="Times New Roman" w:cs="Times New Roman"/>
          <w:b/>
          <w:bCs/>
          <w:sz w:val="20"/>
          <w:szCs w:val="20"/>
        </w:rPr>
      </w:pPr>
    </w:p>
    <w:p w14:paraId="3E4D2735" w14:textId="77777777" w:rsidR="00DA3B5C" w:rsidRDefault="00DA3B5C" w:rsidP="00960531">
      <w:pPr>
        <w:rPr>
          <w:rFonts w:ascii="Times New Roman" w:hAnsi="Times New Roman" w:cs="Times New Roman"/>
          <w:b/>
          <w:bCs/>
          <w:sz w:val="20"/>
          <w:szCs w:val="20"/>
        </w:rPr>
      </w:pPr>
    </w:p>
    <w:p w14:paraId="02217CC1" w14:textId="77777777" w:rsidR="00DA3B5C" w:rsidRDefault="00DA3B5C" w:rsidP="00960531">
      <w:pPr>
        <w:rPr>
          <w:rFonts w:ascii="Times New Roman" w:hAnsi="Times New Roman" w:cs="Times New Roman"/>
          <w:b/>
          <w:bCs/>
          <w:sz w:val="20"/>
          <w:szCs w:val="20"/>
        </w:rPr>
      </w:pPr>
    </w:p>
    <w:p w14:paraId="1189FC53" w14:textId="77777777" w:rsidR="00DA3B5C" w:rsidRDefault="00DA3B5C" w:rsidP="00960531">
      <w:pPr>
        <w:rPr>
          <w:rFonts w:ascii="Times New Roman" w:hAnsi="Times New Roman" w:cs="Times New Roman"/>
          <w:b/>
          <w:bCs/>
          <w:sz w:val="20"/>
          <w:szCs w:val="20"/>
        </w:rPr>
      </w:pPr>
    </w:p>
    <w:p w14:paraId="56B06719" w14:textId="77777777" w:rsidR="00DA3B5C" w:rsidRDefault="00DA3B5C" w:rsidP="00960531">
      <w:pPr>
        <w:rPr>
          <w:rFonts w:ascii="Times New Roman" w:hAnsi="Times New Roman" w:cs="Times New Roman"/>
          <w:b/>
          <w:bCs/>
          <w:sz w:val="20"/>
          <w:szCs w:val="20"/>
        </w:rPr>
      </w:pPr>
    </w:p>
    <w:p w14:paraId="0FC89E94" w14:textId="77777777" w:rsidR="00DA3B5C" w:rsidRDefault="00DA3B5C" w:rsidP="00960531">
      <w:pPr>
        <w:rPr>
          <w:rFonts w:ascii="Times New Roman" w:hAnsi="Times New Roman" w:cs="Times New Roman"/>
          <w:b/>
          <w:bCs/>
          <w:sz w:val="20"/>
          <w:szCs w:val="20"/>
        </w:rPr>
      </w:pPr>
    </w:p>
    <w:p w14:paraId="06C22DAA" w14:textId="77777777" w:rsidR="00DA3B5C" w:rsidRDefault="00DA3B5C" w:rsidP="00960531">
      <w:pPr>
        <w:rPr>
          <w:rFonts w:ascii="Times New Roman" w:hAnsi="Times New Roman" w:cs="Times New Roman"/>
          <w:b/>
          <w:bCs/>
          <w:sz w:val="20"/>
          <w:szCs w:val="20"/>
        </w:rPr>
      </w:pPr>
    </w:p>
    <w:p w14:paraId="616165AC" w14:textId="77777777" w:rsidR="00DA3B5C" w:rsidRDefault="00DA3B5C" w:rsidP="00960531">
      <w:pPr>
        <w:rPr>
          <w:rFonts w:ascii="Times New Roman" w:hAnsi="Times New Roman" w:cs="Times New Roman"/>
          <w:b/>
          <w:bCs/>
          <w:sz w:val="20"/>
          <w:szCs w:val="20"/>
        </w:rPr>
      </w:pPr>
    </w:p>
    <w:p w14:paraId="6D326014" w14:textId="77777777" w:rsidR="00DA3B5C" w:rsidRDefault="00DA3B5C" w:rsidP="00960531">
      <w:pPr>
        <w:rPr>
          <w:rFonts w:ascii="Times New Roman" w:hAnsi="Times New Roman" w:cs="Times New Roman"/>
          <w:b/>
          <w:bCs/>
          <w:sz w:val="20"/>
          <w:szCs w:val="20"/>
        </w:rPr>
      </w:pPr>
    </w:p>
    <w:p w14:paraId="5BBA6169" w14:textId="77777777" w:rsidR="00DA3B5C" w:rsidRDefault="00DA3B5C" w:rsidP="00960531">
      <w:pPr>
        <w:rPr>
          <w:rFonts w:ascii="Times New Roman" w:hAnsi="Times New Roman" w:cs="Times New Roman"/>
          <w:b/>
          <w:bCs/>
          <w:sz w:val="20"/>
          <w:szCs w:val="20"/>
        </w:rPr>
      </w:pPr>
    </w:p>
    <w:p w14:paraId="32A86812" w14:textId="77777777" w:rsidR="00DA3B5C" w:rsidRDefault="00DA3B5C" w:rsidP="00960531">
      <w:pPr>
        <w:rPr>
          <w:rFonts w:ascii="Times New Roman" w:hAnsi="Times New Roman" w:cs="Times New Roman"/>
          <w:b/>
          <w:bCs/>
          <w:sz w:val="20"/>
          <w:szCs w:val="20"/>
        </w:rPr>
      </w:pPr>
    </w:p>
    <w:p w14:paraId="70294ED1" w14:textId="77777777" w:rsidR="00DA3B5C" w:rsidRDefault="00DA3B5C" w:rsidP="00960531">
      <w:pPr>
        <w:rPr>
          <w:rFonts w:ascii="Times New Roman" w:hAnsi="Times New Roman" w:cs="Times New Roman"/>
          <w:b/>
          <w:bCs/>
          <w:sz w:val="20"/>
          <w:szCs w:val="20"/>
        </w:rPr>
      </w:pPr>
    </w:p>
    <w:p w14:paraId="4AC4377B" w14:textId="77777777" w:rsidR="00DA3B5C" w:rsidRDefault="00DA3B5C" w:rsidP="00960531">
      <w:pPr>
        <w:rPr>
          <w:rFonts w:ascii="Times New Roman" w:hAnsi="Times New Roman" w:cs="Times New Roman"/>
          <w:b/>
          <w:bCs/>
          <w:sz w:val="20"/>
          <w:szCs w:val="20"/>
        </w:rPr>
      </w:pPr>
    </w:p>
    <w:p w14:paraId="36C39BBA" w14:textId="77777777" w:rsidR="00DA3B5C" w:rsidRDefault="00DA3B5C" w:rsidP="00960531">
      <w:pPr>
        <w:rPr>
          <w:rFonts w:ascii="Times New Roman" w:hAnsi="Times New Roman" w:cs="Times New Roman"/>
          <w:b/>
          <w:bCs/>
          <w:sz w:val="20"/>
          <w:szCs w:val="20"/>
        </w:rPr>
      </w:pPr>
    </w:p>
    <w:p w14:paraId="69C72891" w14:textId="6FFA247C" w:rsidR="00960531" w:rsidRDefault="00B8224A" w:rsidP="00960531">
      <w:pPr>
        <w:rPr>
          <w:rFonts w:ascii="Times New Roman" w:hAnsi="Times New Roman" w:cs="Times New Roman"/>
          <w:b/>
          <w:bCs/>
          <w:sz w:val="20"/>
          <w:szCs w:val="20"/>
        </w:rPr>
      </w:pPr>
      <w:r>
        <w:rPr>
          <w:rFonts w:ascii="Times New Roman" w:hAnsi="Times New Roman" w:cs="Times New Roman"/>
          <w:b/>
          <w:bCs/>
          <w:sz w:val="20"/>
          <w:szCs w:val="20"/>
        </w:rPr>
        <w:lastRenderedPageBreak/>
        <w:t>Supplement File</w:t>
      </w:r>
      <w:r w:rsidR="00960531" w:rsidRPr="002F64F1">
        <w:rPr>
          <w:rFonts w:ascii="Times New Roman" w:hAnsi="Times New Roman" w:cs="Times New Roman"/>
          <w:b/>
          <w:bCs/>
          <w:sz w:val="20"/>
          <w:szCs w:val="20"/>
        </w:rPr>
        <w:t xml:space="preserve"> </w:t>
      </w:r>
      <w:r w:rsidR="00960531">
        <w:rPr>
          <w:rFonts w:ascii="Times New Roman" w:hAnsi="Times New Roman" w:cs="Times New Roman"/>
          <w:b/>
          <w:bCs/>
          <w:sz w:val="20"/>
          <w:szCs w:val="20"/>
        </w:rPr>
        <w:t>G</w:t>
      </w:r>
      <w:r w:rsidR="00960531" w:rsidRPr="002F64F1">
        <w:rPr>
          <w:rFonts w:ascii="Times New Roman" w:hAnsi="Times New Roman" w:cs="Times New Roman"/>
          <w:b/>
          <w:bCs/>
          <w:sz w:val="20"/>
          <w:szCs w:val="20"/>
        </w:rPr>
        <w:t xml:space="preserve">: Summary of </w:t>
      </w:r>
      <w:r w:rsidR="00492ED1">
        <w:rPr>
          <w:rFonts w:ascii="Times New Roman" w:hAnsi="Times New Roman" w:cs="Times New Roman"/>
          <w:b/>
          <w:bCs/>
          <w:sz w:val="20"/>
          <w:szCs w:val="20"/>
        </w:rPr>
        <w:t>C</w:t>
      </w:r>
      <w:r w:rsidR="00960531" w:rsidRPr="002F64F1">
        <w:rPr>
          <w:rFonts w:ascii="Times New Roman" w:hAnsi="Times New Roman" w:cs="Times New Roman"/>
          <w:b/>
          <w:bCs/>
          <w:sz w:val="20"/>
          <w:szCs w:val="20"/>
        </w:rPr>
        <w:t>haracteristic</w:t>
      </w:r>
      <w:r w:rsidR="00960531">
        <w:rPr>
          <w:rFonts w:ascii="Times New Roman" w:hAnsi="Times New Roman" w:cs="Times New Roman"/>
          <w:b/>
          <w:bCs/>
          <w:sz w:val="20"/>
          <w:szCs w:val="20"/>
        </w:rPr>
        <w:t>s</w:t>
      </w:r>
      <w:r w:rsidR="00960531" w:rsidRPr="002F64F1">
        <w:rPr>
          <w:rFonts w:ascii="Times New Roman" w:hAnsi="Times New Roman" w:cs="Times New Roman"/>
          <w:b/>
          <w:bCs/>
          <w:sz w:val="20"/>
          <w:szCs w:val="20"/>
        </w:rPr>
        <w:t xml:space="preserve"> of the </w:t>
      </w:r>
      <w:r w:rsidR="00492ED1">
        <w:rPr>
          <w:rFonts w:ascii="Times New Roman" w:hAnsi="Times New Roman" w:cs="Times New Roman"/>
          <w:b/>
          <w:bCs/>
          <w:sz w:val="20"/>
          <w:szCs w:val="20"/>
        </w:rPr>
        <w:t>I</w:t>
      </w:r>
      <w:r w:rsidR="00960531" w:rsidRPr="002F64F1">
        <w:rPr>
          <w:rFonts w:ascii="Times New Roman" w:hAnsi="Times New Roman" w:cs="Times New Roman"/>
          <w:b/>
          <w:bCs/>
          <w:sz w:val="20"/>
          <w:szCs w:val="20"/>
        </w:rPr>
        <w:t xml:space="preserve">ncluded </w:t>
      </w:r>
      <w:r w:rsidR="00492ED1">
        <w:rPr>
          <w:rFonts w:ascii="Times New Roman" w:hAnsi="Times New Roman" w:cs="Times New Roman"/>
          <w:b/>
          <w:bCs/>
          <w:sz w:val="20"/>
          <w:szCs w:val="20"/>
        </w:rPr>
        <w:t>P</w:t>
      </w:r>
      <w:r w:rsidR="00960531" w:rsidRPr="002F64F1">
        <w:rPr>
          <w:rFonts w:ascii="Times New Roman" w:hAnsi="Times New Roman" w:cs="Times New Roman"/>
          <w:b/>
          <w:bCs/>
          <w:sz w:val="20"/>
          <w:szCs w:val="20"/>
        </w:rPr>
        <w:t>ublications</w:t>
      </w:r>
    </w:p>
    <w:p w14:paraId="1B99E150" w14:textId="77777777" w:rsidR="00225F0B" w:rsidRPr="002F64F1" w:rsidRDefault="00225F0B" w:rsidP="00960531">
      <w:pPr>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7508"/>
        <w:gridCol w:w="1508"/>
      </w:tblGrid>
      <w:tr w:rsidR="00960531" w:rsidRPr="00CF7BE1" w14:paraId="531E005E" w14:textId="77777777" w:rsidTr="006C1573">
        <w:tc>
          <w:tcPr>
            <w:tcW w:w="7508" w:type="dxa"/>
          </w:tcPr>
          <w:p w14:paraId="186C328C" w14:textId="77777777" w:rsidR="00960531" w:rsidRPr="00CF7BE1" w:rsidRDefault="00960531" w:rsidP="006C1573">
            <w:pPr>
              <w:rPr>
                <w:rFonts w:ascii="Times New Roman" w:hAnsi="Times New Roman" w:cs="Times New Roman"/>
                <w:b/>
                <w:bCs/>
                <w:sz w:val="16"/>
                <w:szCs w:val="16"/>
              </w:rPr>
            </w:pPr>
            <w:r w:rsidRPr="00CF7BE1">
              <w:rPr>
                <w:rFonts w:ascii="Times New Roman" w:hAnsi="Times New Roman" w:cs="Times New Roman"/>
                <w:b/>
                <w:bCs/>
                <w:sz w:val="16"/>
                <w:szCs w:val="16"/>
              </w:rPr>
              <w:t>Country</w:t>
            </w:r>
            <w:r>
              <w:rPr>
                <w:rFonts w:ascii="Times New Roman" w:hAnsi="Times New Roman" w:cs="Times New Roman"/>
                <w:b/>
                <w:bCs/>
                <w:sz w:val="16"/>
                <w:szCs w:val="16"/>
              </w:rPr>
              <w:t>*</w:t>
            </w:r>
          </w:p>
        </w:tc>
        <w:tc>
          <w:tcPr>
            <w:tcW w:w="1508" w:type="dxa"/>
          </w:tcPr>
          <w:p w14:paraId="09DBDF9B" w14:textId="1EC05B0C" w:rsidR="00960531" w:rsidRPr="00CF7BE1" w:rsidRDefault="00960531" w:rsidP="006C1573">
            <w:pPr>
              <w:rPr>
                <w:rFonts w:ascii="Times New Roman" w:hAnsi="Times New Roman" w:cs="Times New Roman"/>
                <w:b/>
                <w:bCs/>
                <w:sz w:val="16"/>
                <w:szCs w:val="16"/>
              </w:rPr>
            </w:pPr>
            <w:r w:rsidRPr="00CF7BE1">
              <w:rPr>
                <w:rFonts w:ascii="Times New Roman" w:hAnsi="Times New Roman" w:cs="Times New Roman"/>
                <w:b/>
                <w:bCs/>
                <w:sz w:val="16"/>
                <w:szCs w:val="16"/>
              </w:rPr>
              <w:t>Publications (n=10</w:t>
            </w:r>
            <w:r w:rsidR="000C537D">
              <w:rPr>
                <w:rFonts w:ascii="Times New Roman" w:hAnsi="Times New Roman" w:cs="Times New Roman"/>
                <w:b/>
                <w:bCs/>
                <w:sz w:val="16"/>
                <w:szCs w:val="16"/>
              </w:rPr>
              <w:t>0</w:t>
            </w:r>
            <w:r w:rsidRPr="00CF7BE1">
              <w:rPr>
                <w:rFonts w:ascii="Times New Roman" w:hAnsi="Times New Roman" w:cs="Times New Roman"/>
                <w:b/>
                <w:bCs/>
                <w:sz w:val="16"/>
                <w:szCs w:val="16"/>
              </w:rPr>
              <w:t>)</w:t>
            </w:r>
          </w:p>
        </w:tc>
      </w:tr>
      <w:tr w:rsidR="000C537D" w:rsidRPr="00CF7BE1" w14:paraId="698C21B3" w14:textId="77777777" w:rsidTr="00BF34DE">
        <w:tc>
          <w:tcPr>
            <w:tcW w:w="7508" w:type="dxa"/>
            <w:vAlign w:val="bottom"/>
          </w:tcPr>
          <w:p w14:paraId="410105CB" w14:textId="5C5ADF0E"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Canada</w:t>
            </w:r>
          </w:p>
        </w:tc>
        <w:tc>
          <w:tcPr>
            <w:tcW w:w="1508" w:type="dxa"/>
            <w:vAlign w:val="bottom"/>
          </w:tcPr>
          <w:p w14:paraId="5F4808F2" w14:textId="252BFA46"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24</w:t>
            </w:r>
          </w:p>
        </w:tc>
      </w:tr>
      <w:tr w:rsidR="000C537D" w:rsidRPr="00CF7BE1" w14:paraId="622CA9E9" w14:textId="77777777" w:rsidTr="00BF34DE">
        <w:tc>
          <w:tcPr>
            <w:tcW w:w="7508" w:type="dxa"/>
            <w:vAlign w:val="bottom"/>
          </w:tcPr>
          <w:p w14:paraId="20BD91A5" w14:textId="232D0F45"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USA</w:t>
            </w:r>
          </w:p>
        </w:tc>
        <w:tc>
          <w:tcPr>
            <w:tcW w:w="1508" w:type="dxa"/>
            <w:vAlign w:val="bottom"/>
          </w:tcPr>
          <w:p w14:paraId="238937C1" w14:textId="12AF9A9E"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13</w:t>
            </w:r>
          </w:p>
        </w:tc>
      </w:tr>
      <w:tr w:rsidR="000C537D" w:rsidRPr="00CF7BE1" w14:paraId="03269145" w14:textId="77777777" w:rsidTr="00BF34DE">
        <w:tc>
          <w:tcPr>
            <w:tcW w:w="7508" w:type="dxa"/>
            <w:vAlign w:val="bottom"/>
          </w:tcPr>
          <w:p w14:paraId="7ABEB9F2" w14:textId="75CB5CFD"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Australia</w:t>
            </w:r>
          </w:p>
        </w:tc>
        <w:tc>
          <w:tcPr>
            <w:tcW w:w="1508" w:type="dxa"/>
            <w:vAlign w:val="bottom"/>
          </w:tcPr>
          <w:p w14:paraId="01F084E2" w14:textId="15BB3B97"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12</w:t>
            </w:r>
          </w:p>
        </w:tc>
      </w:tr>
      <w:tr w:rsidR="000C537D" w:rsidRPr="00CF7BE1" w14:paraId="06A95777" w14:textId="77777777" w:rsidTr="00BF34DE">
        <w:tc>
          <w:tcPr>
            <w:tcW w:w="7508" w:type="dxa"/>
            <w:vAlign w:val="bottom"/>
          </w:tcPr>
          <w:p w14:paraId="0D38A16B" w14:textId="4AE9D610"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UK</w:t>
            </w:r>
          </w:p>
        </w:tc>
        <w:tc>
          <w:tcPr>
            <w:tcW w:w="1508" w:type="dxa"/>
            <w:vAlign w:val="bottom"/>
          </w:tcPr>
          <w:p w14:paraId="509531EE" w14:textId="07C60539"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8</w:t>
            </w:r>
          </w:p>
        </w:tc>
      </w:tr>
      <w:tr w:rsidR="000C537D" w:rsidRPr="00CF7BE1" w14:paraId="62ABFC00" w14:textId="77777777" w:rsidTr="00BF34DE">
        <w:tc>
          <w:tcPr>
            <w:tcW w:w="7508" w:type="dxa"/>
            <w:vAlign w:val="bottom"/>
          </w:tcPr>
          <w:p w14:paraId="3FF5BE8C" w14:textId="52C31447"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China</w:t>
            </w:r>
          </w:p>
        </w:tc>
        <w:tc>
          <w:tcPr>
            <w:tcW w:w="1508" w:type="dxa"/>
            <w:vAlign w:val="bottom"/>
          </w:tcPr>
          <w:p w14:paraId="519BD7A0" w14:textId="20EDC6F4"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5</w:t>
            </w:r>
          </w:p>
        </w:tc>
      </w:tr>
      <w:tr w:rsidR="000C537D" w:rsidRPr="00CF7BE1" w14:paraId="5DAD61C7" w14:textId="77777777" w:rsidTr="00BF34DE">
        <w:tc>
          <w:tcPr>
            <w:tcW w:w="7508" w:type="dxa"/>
            <w:vAlign w:val="bottom"/>
          </w:tcPr>
          <w:p w14:paraId="7AEF74E5" w14:textId="5CF64C57"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Brazil</w:t>
            </w:r>
          </w:p>
        </w:tc>
        <w:tc>
          <w:tcPr>
            <w:tcW w:w="1508" w:type="dxa"/>
            <w:vAlign w:val="bottom"/>
          </w:tcPr>
          <w:p w14:paraId="4F6480C8" w14:textId="6FDB8D4E"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3</w:t>
            </w:r>
          </w:p>
        </w:tc>
      </w:tr>
      <w:tr w:rsidR="000C537D" w:rsidRPr="00CF7BE1" w14:paraId="267FF972" w14:textId="77777777" w:rsidTr="00BF34DE">
        <w:tc>
          <w:tcPr>
            <w:tcW w:w="7508" w:type="dxa"/>
            <w:vAlign w:val="bottom"/>
          </w:tcPr>
          <w:p w14:paraId="5F8D096D" w14:textId="54C8D229"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India</w:t>
            </w:r>
          </w:p>
        </w:tc>
        <w:tc>
          <w:tcPr>
            <w:tcW w:w="1508" w:type="dxa"/>
            <w:vAlign w:val="bottom"/>
          </w:tcPr>
          <w:p w14:paraId="40AF7749" w14:textId="37334D3B"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3</w:t>
            </w:r>
          </w:p>
        </w:tc>
      </w:tr>
      <w:tr w:rsidR="000C537D" w:rsidRPr="00CF7BE1" w14:paraId="494B6628" w14:textId="77777777" w:rsidTr="00BF34DE">
        <w:tc>
          <w:tcPr>
            <w:tcW w:w="7508" w:type="dxa"/>
            <w:vAlign w:val="bottom"/>
          </w:tcPr>
          <w:p w14:paraId="169160A9" w14:textId="46269E36"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New Zealand</w:t>
            </w:r>
          </w:p>
        </w:tc>
        <w:tc>
          <w:tcPr>
            <w:tcW w:w="1508" w:type="dxa"/>
            <w:vAlign w:val="bottom"/>
          </w:tcPr>
          <w:p w14:paraId="6235E97E" w14:textId="529045EC"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3</w:t>
            </w:r>
          </w:p>
        </w:tc>
      </w:tr>
      <w:tr w:rsidR="000C537D" w:rsidRPr="00CF7BE1" w14:paraId="1996F5C0" w14:textId="77777777" w:rsidTr="00BF34DE">
        <w:tc>
          <w:tcPr>
            <w:tcW w:w="7508" w:type="dxa"/>
            <w:vAlign w:val="bottom"/>
          </w:tcPr>
          <w:p w14:paraId="6C9AEF22" w14:textId="03D75371"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Germany</w:t>
            </w:r>
          </w:p>
        </w:tc>
        <w:tc>
          <w:tcPr>
            <w:tcW w:w="1508" w:type="dxa"/>
            <w:vAlign w:val="bottom"/>
          </w:tcPr>
          <w:p w14:paraId="0ED4ED0E" w14:textId="76A8CE52"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w:t>
            </w:r>
          </w:p>
        </w:tc>
      </w:tr>
      <w:tr w:rsidR="000C537D" w:rsidRPr="00CF7BE1" w14:paraId="778BE335" w14:textId="77777777" w:rsidTr="00BF34DE">
        <w:tc>
          <w:tcPr>
            <w:tcW w:w="7508" w:type="dxa"/>
            <w:vAlign w:val="bottom"/>
          </w:tcPr>
          <w:p w14:paraId="4F5E7B0D" w14:textId="45000970"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Indonesia</w:t>
            </w:r>
          </w:p>
        </w:tc>
        <w:tc>
          <w:tcPr>
            <w:tcW w:w="1508" w:type="dxa"/>
            <w:vAlign w:val="bottom"/>
          </w:tcPr>
          <w:p w14:paraId="76A37351" w14:textId="2D76EBE0"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w:t>
            </w:r>
          </w:p>
        </w:tc>
      </w:tr>
      <w:tr w:rsidR="000C537D" w:rsidRPr="00CF7BE1" w14:paraId="2369748B" w14:textId="77777777" w:rsidTr="00BF34DE">
        <w:tc>
          <w:tcPr>
            <w:tcW w:w="7508" w:type="dxa"/>
            <w:vAlign w:val="bottom"/>
          </w:tcPr>
          <w:p w14:paraId="4C9860F7" w14:textId="4643B037"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Iran</w:t>
            </w:r>
          </w:p>
        </w:tc>
        <w:tc>
          <w:tcPr>
            <w:tcW w:w="1508" w:type="dxa"/>
            <w:vAlign w:val="bottom"/>
          </w:tcPr>
          <w:p w14:paraId="0CCCAF30" w14:textId="2DCBFE88"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w:t>
            </w:r>
          </w:p>
        </w:tc>
      </w:tr>
      <w:tr w:rsidR="000C537D" w:rsidRPr="00CF7BE1" w14:paraId="265F4A0C" w14:textId="77777777" w:rsidTr="00BF34DE">
        <w:tc>
          <w:tcPr>
            <w:tcW w:w="7508" w:type="dxa"/>
            <w:vAlign w:val="bottom"/>
          </w:tcPr>
          <w:p w14:paraId="1FA8C380" w14:textId="05F06500"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Pakistan</w:t>
            </w:r>
          </w:p>
        </w:tc>
        <w:tc>
          <w:tcPr>
            <w:tcW w:w="1508" w:type="dxa"/>
            <w:vAlign w:val="bottom"/>
          </w:tcPr>
          <w:p w14:paraId="2860D886" w14:textId="725F7050"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w:t>
            </w:r>
          </w:p>
        </w:tc>
      </w:tr>
      <w:tr w:rsidR="000C537D" w:rsidRPr="00CF7BE1" w14:paraId="747A1725" w14:textId="77777777" w:rsidTr="00BF34DE">
        <w:tc>
          <w:tcPr>
            <w:tcW w:w="7508" w:type="dxa"/>
            <w:vAlign w:val="bottom"/>
          </w:tcPr>
          <w:p w14:paraId="30A87F22" w14:textId="5264998F"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Puerto Rico</w:t>
            </w:r>
          </w:p>
        </w:tc>
        <w:tc>
          <w:tcPr>
            <w:tcW w:w="1508" w:type="dxa"/>
            <w:vAlign w:val="bottom"/>
          </w:tcPr>
          <w:p w14:paraId="4B220DD9" w14:textId="7863DD62"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2</w:t>
            </w:r>
          </w:p>
        </w:tc>
      </w:tr>
      <w:tr w:rsidR="000C537D" w:rsidRPr="00CF7BE1" w14:paraId="7ABEC068" w14:textId="77777777" w:rsidTr="00BF34DE">
        <w:tc>
          <w:tcPr>
            <w:tcW w:w="7508" w:type="dxa"/>
            <w:vAlign w:val="bottom"/>
          </w:tcPr>
          <w:p w14:paraId="0AD6D411" w14:textId="2A310206"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Argentina</w:t>
            </w:r>
          </w:p>
        </w:tc>
        <w:tc>
          <w:tcPr>
            <w:tcW w:w="1508" w:type="dxa"/>
            <w:vAlign w:val="bottom"/>
          </w:tcPr>
          <w:p w14:paraId="6E9239C2" w14:textId="3527589A"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20F661FD" w14:textId="77777777" w:rsidTr="00BF34DE">
        <w:tc>
          <w:tcPr>
            <w:tcW w:w="7508" w:type="dxa"/>
            <w:vAlign w:val="bottom"/>
          </w:tcPr>
          <w:p w14:paraId="02E85C95" w14:textId="417EDD2B"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Bangladesh</w:t>
            </w:r>
          </w:p>
        </w:tc>
        <w:tc>
          <w:tcPr>
            <w:tcW w:w="1508" w:type="dxa"/>
            <w:vAlign w:val="bottom"/>
          </w:tcPr>
          <w:p w14:paraId="27346AEA" w14:textId="3AF79091"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431972DF" w14:textId="77777777" w:rsidTr="00BF34DE">
        <w:tc>
          <w:tcPr>
            <w:tcW w:w="7508" w:type="dxa"/>
            <w:vAlign w:val="bottom"/>
          </w:tcPr>
          <w:p w14:paraId="2719DC43" w14:textId="4671CB44"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Belgium</w:t>
            </w:r>
          </w:p>
        </w:tc>
        <w:tc>
          <w:tcPr>
            <w:tcW w:w="1508" w:type="dxa"/>
            <w:vAlign w:val="bottom"/>
          </w:tcPr>
          <w:p w14:paraId="2623B668" w14:textId="168FB936"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30F25F52" w14:textId="77777777" w:rsidTr="00BF34DE">
        <w:tc>
          <w:tcPr>
            <w:tcW w:w="7508" w:type="dxa"/>
            <w:vAlign w:val="bottom"/>
          </w:tcPr>
          <w:p w14:paraId="4258AC9A" w14:textId="22C1075D"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Colombia</w:t>
            </w:r>
          </w:p>
        </w:tc>
        <w:tc>
          <w:tcPr>
            <w:tcW w:w="1508" w:type="dxa"/>
            <w:vAlign w:val="bottom"/>
          </w:tcPr>
          <w:p w14:paraId="5EE276BF" w14:textId="62443DD8"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200E15A2" w14:textId="77777777" w:rsidTr="00BF34DE">
        <w:tc>
          <w:tcPr>
            <w:tcW w:w="7508" w:type="dxa"/>
            <w:vAlign w:val="bottom"/>
          </w:tcPr>
          <w:p w14:paraId="5D3F8FC6" w14:textId="6F05771C"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Cyprus</w:t>
            </w:r>
          </w:p>
        </w:tc>
        <w:tc>
          <w:tcPr>
            <w:tcW w:w="1508" w:type="dxa"/>
            <w:vAlign w:val="bottom"/>
          </w:tcPr>
          <w:p w14:paraId="6A7B879A" w14:textId="3FB75FBD"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503FBD97" w14:textId="77777777" w:rsidTr="00BF34DE">
        <w:tc>
          <w:tcPr>
            <w:tcW w:w="7508" w:type="dxa"/>
            <w:vAlign w:val="bottom"/>
          </w:tcPr>
          <w:p w14:paraId="5760B6E6" w14:textId="78E0A528"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Egypt</w:t>
            </w:r>
          </w:p>
        </w:tc>
        <w:tc>
          <w:tcPr>
            <w:tcW w:w="1508" w:type="dxa"/>
            <w:vAlign w:val="bottom"/>
          </w:tcPr>
          <w:p w14:paraId="34558799" w14:textId="5D2CE504"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2DF59F58" w14:textId="77777777" w:rsidTr="00BF34DE">
        <w:tc>
          <w:tcPr>
            <w:tcW w:w="7508" w:type="dxa"/>
            <w:vAlign w:val="bottom"/>
          </w:tcPr>
          <w:p w14:paraId="38592EDC" w14:textId="1E5AC377"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Hong Kong</w:t>
            </w:r>
          </w:p>
        </w:tc>
        <w:tc>
          <w:tcPr>
            <w:tcW w:w="1508" w:type="dxa"/>
            <w:vAlign w:val="bottom"/>
          </w:tcPr>
          <w:p w14:paraId="50678211" w14:textId="1B096D1F"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1699A9DB" w14:textId="77777777" w:rsidTr="00BF34DE">
        <w:tc>
          <w:tcPr>
            <w:tcW w:w="7508" w:type="dxa"/>
            <w:vAlign w:val="bottom"/>
          </w:tcPr>
          <w:p w14:paraId="42EEAC4A" w14:textId="53ABFD47"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Ireland</w:t>
            </w:r>
          </w:p>
        </w:tc>
        <w:tc>
          <w:tcPr>
            <w:tcW w:w="1508" w:type="dxa"/>
            <w:vAlign w:val="bottom"/>
          </w:tcPr>
          <w:p w14:paraId="59546AFF" w14:textId="08205D6B"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392C273F" w14:textId="77777777" w:rsidTr="00BF34DE">
        <w:tc>
          <w:tcPr>
            <w:tcW w:w="7508" w:type="dxa"/>
            <w:vAlign w:val="bottom"/>
          </w:tcPr>
          <w:p w14:paraId="2015FBA5" w14:textId="5CAC966E"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Italy</w:t>
            </w:r>
          </w:p>
        </w:tc>
        <w:tc>
          <w:tcPr>
            <w:tcW w:w="1508" w:type="dxa"/>
            <w:vAlign w:val="bottom"/>
          </w:tcPr>
          <w:p w14:paraId="0663AE8E" w14:textId="6413DB84"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7A81A67F" w14:textId="77777777" w:rsidTr="00BF34DE">
        <w:tc>
          <w:tcPr>
            <w:tcW w:w="7508" w:type="dxa"/>
            <w:vAlign w:val="bottom"/>
          </w:tcPr>
          <w:p w14:paraId="6DEA756C" w14:textId="68D943D2"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Japan</w:t>
            </w:r>
          </w:p>
        </w:tc>
        <w:tc>
          <w:tcPr>
            <w:tcW w:w="1508" w:type="dxa"/>
            <w:vAlign w:val="bottom"/>
          </w:tcPr>
          <w:p w14:paraId="56A7B2C2" w14:textId="720BCC91"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7150DEB8" w14:textId="77777777" w:rsidTr="00BF34DE">
        <w:tc>
          <w:tcPr>
            <w:tcW w:w="7508" w:type="dxa"/>
            <w:vAlign w:val="bottom"/>
          </w:tcPr>
          <w:p w14:paraId="5ADD5729" w14:textId="49B3CB7D"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Malaysia</w:t>
            </w:r>
          </w:p>
        </w:tc>
        <w:tc>
          <w:tcPr>
            <w:tcW w:w="1508" w:type="dxa"/>
            <w:vAlign w:val="bottom"/>
          </w:tcPr>
          <w:p w14:paraId="7865B800" w14:textId="11925B25" w:rsidR="000C537D" w:rsidRPr="000C537D" w:rsidRDefault="000C537D" w:rsidP="000C537D">
            <w:pPr>
              <w:jc w:val="center"/>
              <w:rPr>
                <w:rFonts w:ascii="Times New Roman" w:hAnsi="Times New Roman" w:cs="Times New Roman"/>
                <w:sz w:val="16"/>
                <w:szCs w:val="16"/>
              </w:rPr>
            </w:pPr>
            <w:r w:rsidRPr="000C537D">
              <w:rPr>
                <w:rFonts w:ascii="Times New Roman" w:hAnsi="Times New Roman" w:cs="Times New Roman"/>
                <w:color w:val="000000"/>
                <w:sz w:val="16"/>
                <w:szCs w:val="16"/>
              </w:rPr>
              <w:t>1</w:t>
            </w:r>
          </w:p>
        </w:tc>
      </w:tr>
      <w:tr w:rsidR="000C537D" w:rsidRPr="00CF7BE1" w14:paraId="710208C2" w14:textId="77777777" w:rsidTr="00BF34DE">
        <w:tc>
          <w:tcPr>
            <w:tcW w:w="7508" w:type="dxa"/>
            <w:vAlign w:val="bottom"/>
          </w:tcPr>
          <w:p w14:paraId="49DF901B" w14:textId="36BF6106"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Poland</w:t>
            </w:r>
          </w:p>
        </w:tc>
        <w:tc>
          <w:tcPr>
            <w:tcW w:w="1508" w:type="dxa"/>
            <w:vAlign w:val="bottom"/>
          </w:tcPr>
          <w:p w14:paraId="20A83B92" w14:textId="66FA0110"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2CF04065" w14:textId="77777777" w:rsidTr="00BF34DE">
        <w:tc>
          <w:tcPr>
            <w:tcW w:w="7508" w:type="dxa"/>
            <w:vAlign w:val="bottom"/>
          </w:tcPr>
          <w:p w14:paraId="280AC20A" w14:textId="2007B382"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Saudi Arabia</w:t>
            </w:r>
          </w:p>
        </w:tc>
        <w:tc>
          <w:tcPr>
            <w:tcW w:w="1508" w:type="dxa"/>
            <w:vAlign w:val="bottom"/>
          </w:tcPr>
          <w:p w14:paraId="3FC2BD98" w14:textId="627E3CE5"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6516EAD3" w14:textId="77777777" w:rsidTr="00BF34DE">
        <w:tc>
          <w:tcPr>
            <w:tcW w:w="7508" w:type="dxa"/>
            <w:vAlign w:val="bottom"/>
          </w:tcPr>
          <w:p w14:paraId="65189B69" w14:textId="1FF2FFA6"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Senegal</w:t>
            </w:r>
          </w:p>
        </w:tc>
        <w:tc>
          <w:tcPr>
            <w:tcW w:w="1508" w:type="dxa"/>
            <w:vAlign w:val="bottom"/>
          </w:tcPr>
          <w:p w14:paraId="7C0EF697" w14:textId="484650B5"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5B79FD64" w14:textId="77777777" w:rsidTr="00BF34DE">
        <w:tc>
          <w:tcPr>
            <w:tcW w:w="7508" w:type="dxa"/>
            <w:vAlign w:val="bottom"/>
          </w:tcPr>
          <w:p w14:paraId="527B7FC0" w14:textId="4C92FB95"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Spain</w:t>
            </w:r>
          </w:p>
        </w:tc>
        <w:tc>
          <w:tcPr>
            <w:tcW w:w="1508" w:type="dxa"/>
            <w:vAlign w:val="bottom"/>
          </w:tcPr>
          <w:p w14:paraId="66E0DC8D" w14:textId="3DCA5613"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1A2F5321" w14:textId="77777777" w:rsidTr="00BF34DE">
        <w:tc>
          <w:tcPr>
            <w:tcW w:w="7508" w:type="dxa"/>
            <w:vAlign w:val="bottom"/>
          </w:tcPr>
          <w:p w14:paraId="21431141" w14:textId="1654F3AB"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Taiwan</w:t>
            </w:r>
          </w:p>
        </w:tc>
        <w:tc>
          <w:tcPr>
            <w:tcW w:w="1508" w:type="dxa"/>
            <w:vAlign w:val="bottom"/>
          </w:tcPr>
          <w:p w14:paraId="24F9B206" w14:textId="541495A7"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70598E80" w14:textId="77777777" w:rsidTr="00BF34DE">
        <w:tc>
          <w:tcPr>
            <w:tcW w:w="7508" w:type="dxa"/>
            <w:vAlign w:val="bottom"/>
          </w:tcPr>
          <w:p w14:paraId="712A244E" w14:textId="34BDF9CA"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Tanzania</w:t>
            </w:r>
          </w:p>
        </w:tc>
        <w:tc>
          <w:tcPr>
            <w:tcW w:w="1508" w:type="dxa"/>
            <w:vAlign w:val="bottom"/>
          </w:tcPr>
          <w:p w14:paraId="78BFC79B" w14:textId="77249737"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569DBB6D" w14:textId="77777777" w:rsidTr="00BF34DE">
        <w:tc>
          <w:tcPr>
            <w:tcW w:w="7508" w:type="dxa"/>
            <w:vAlign w:val="bottom"/>
          </w:tcPr>
          <w:p w14:paraId="10DFB346" w14:textId="51CA1B34" w:rsidR="000C537D" w:rsidRPr="000C537D" w:rsidRDefault="000C537D" w:rsidP="000C537D">
            <w:pPr>
              <w:rPr>
                <w:rFonts w:ascii="Times New Roman" w:hAnsi="Times New Roman" w:cs="Times New Roman"/>
                <w:sz w:val="16"/>
                <w:szCs w:val="16"/>
              </w:rPr>
            </w:pPr>
            <w:r w:rsidRPr="000C537D">
              <w:rPr>
                <w:rFonts w:ascii="Times New Roman" w:hAnsi="Times New Roman" w:cs="Times New Roman"/>
                <w:color w:val="000000"/>
                <w:sz w:val="16"/>
                <w:szCs w:val="16"/>
              </w:rPr>
              <w:t>Thailand</w:t>
            </w:r>
          </w:p>
        </w:tc>
        <w:tc>
          <w:tcPr>
            <w:tcW w:w="1508" w:type="dxa"/>
            <w:vAlign w:val="bottom"/>
          </w:tcPr>
          <w:p w14:paraId="70ED31D5" w14:textId="51828E41" w:rsidR="000C537D" w:rsidRPr="000C537D" w:rsidRDefault="000C537D" w:rsidP="000C537D">
            <w:pPr>
              <w:jc w:val="center"/>
              <w:rPr>
                <w:rFonts w:ascii="Times New Roman" w:hAnsi="Times New Roman" w:cs="Times New Roman"/>
                <w:color w:val="000000"/>
                <w:sz w:val="16"/>
                <w:szCs w:val="16"/>
              </w:rPr>
            </w:pPr>
            <w:r w:rsidRPr="000C537D">
              <w:rPr>
                <w:rFonts w:ascii="Times New Roman" w:hAnsi="Times New Roman" w:cs="Times New Roman"/>
                <w:color w:val="000000"/>
                <w:sz w:val="16"/>
                <w:szCs w:val="16"/>
              </w:rPr>
              <w:t>1</w:t>
            </w:r>
          </w:p>
        </w:tc>
      </w:tr>
      <w:tr w:rsidR="000C537D" w:rsidRPr="00CF7BE1" w14:paraId="7A62E9BF" w14:textId="77777777" w:rsidTr="006C1573">
        <w:tc>
          <w:tcPr>
            <w:tcW w:w="7508" w:type="dxa"/>
          </w:tcPr>
          <w:p w14:paraId="1E7009AA" w14:textId="64536908" w:rsidR="000C537D" w:rsidRPr="00CF7BE1" w:rsidRDefault="000C537D" w:rsidP="006C1573">
            <w:pPr>
              <w:rPr>
                <w:rFonts w:ascii="Times New Roman" w:hAnsi="Times New Roman" w:cs="Times New Roman"/>
                <w:sz w:val="16"/>
                <w:szCs w:val="16"/>
              </w:rPr>
            </w:pPr>
            <w:r>
              <w:rPr>
                <w:rFonts w:ascii="Times New Roman" w:hAnsi="Times New Roman" w:cs="Times New Roman"/>
                <w:sz w:val="16"/>
                <w:szCs w:val="16"/>
              </w:rPr>
              <w:t>The Netherlands</w:t>
            </w:r>
          </w:p>
        </w:tc>
        <w:tc>
          <w:tcPr>
            <w:tcW w:w="1508" w:type="dxa"/>
            <w:vAlign w:val="bottom"/>
          </w:tcPr>
          <w:p w14:paraId="4B2F8DE2" w14:textId="6EF14719" w:rsidR="000C537D"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r>
      <w:tr w:rsidR="00960531" w:rsidRPr="00CF7BE1" w14:paraId="540509E8" w14:textId="77777777" w:rsidTr="006C1573">
        <w:tc>
          <w:tcPr>
            <w:tcW w:w="7508" w:type="dxa"/>
          </w:tcPr>
          <w:p w14:paraId="467D2976" w14:textId="77777777" w:rsidR="00960531" w:rsidRPr="00CF7BE1" w:rsidRDefault="00960531" w:rsidP="006C1573">
            <w:pPr>
              <w:rPr>
                <w:rFonts w:ascii="Times New Roman" w:hAnsi="Times New Roman" w:cs="Times New Roman"/>
                <w:sz w:val="16"/>
                <w:szCs w:val="16"/>
              </w:rPr>
            </w:pPr>
          </w:p>
        </w:tc>
        <w:tc>
          <w:tcPr>
            <w:tcW w:w="1508" w:type="dxa"/>
            <w:vAlign w:val="bottom"/>
          </w:tcPr>
          <w:p w14:paraId="4AAC6E01" w14:textId="77777777" w:rsidR="00960531" w:rsidRPr="00CF7BE1" w:rsidRDefault="00960531" w:rsidP="006C1573">
            <w:pPr>
              <w:jc w:val="center"/>
              <w:rPr>
                <w:rFonts w:ascii="Times New Roman" w:hAnsi="Times New Roman" w:cs="Times New Roman"/>
                <w:color w:val="000000"/>
                <w:sz w:val="16"/>
                <w:szCs w:val="16"/>
              </w:rPr>
            </w:pPr>
          </w:p>
        </w:tc>
      </w:tr>
      <w:tr w:rsidR="00960531" w:rsidRPr="00CF7BE1" w14:paraId="76A108F1" w14:textId="77777777" w:rsidTr="006C1573">
        <w:tc>
          <w:tcPr>
            <w:tcW w:w="9016" w:type="dxa"/>
            <w:gridSpan w:val="2"/>
          </w:tcPr>
          <w:p w14:paraId="6059F88C" w14:textId="77777777" w:rsidR="00960531" w:rsidRPr="00CF7BE1" w:rsidRDefault="00960531" w:rsidP="006C1573">
            <w:pPr>
              <w:rPr>
                <w:rFonts w:ascii="Times New Roman" w:hAnsi="Times New Roman" w:cs="Times New Roman"/>
                <w:b/>
                <w:bCs/>
                <w:color w:val="000000"/>
                <w:sz w:val="16"/>
                <w:szCs w:val="16"/>
              </w:rPr>
            </w:pPr>
            <w:r w:rsidRPr="00CF7BE1">
              <w:rPr>
                <w:rFonts w:ascii="Times New Roman" w:hAnsi="Times New Roman" w:cs="Times New Roman"/>
                <w:b/>
                <w:bCs/>
                <w:sz w:val="16"/>
                <w:szCs w:val="16"/>
              </w:rPr>
              <w:t>Publication type</w:t>
            </w:r>
          </w:p>
        </w:tc>
      </w:tr>
      <w:tr w:rsidR="00960531" w:rsidRPr="00CF7BE1" w14:paraId="372BAF69" w14:textId="77777777" w:rsidTr="006C1573">
        <w:tc>
          <w:tcPr>
            <w:tcW w:w="7508" w:type="dxa"/>
          </w:tcPr>
          <w:p w14:paraId="1AE10FF2" w14:textId="174D66D2" w:rsidR="00960531" w:rsidRPr="00CF7BE1" w:rsidRDefault="00F12C45" w:rsidP="006C1573">
            <w:pPr>
              <w:rPr>
                <w:rFonts w:ascii="Times New Roman" w:hAnsi="Times New Roman" w:cs="Times New Roman"/>
                <w:sz w:val="16"/>
                <w:szCs w:val="16"/>
              </w:rPr>
            </w:pPr>
            <w:r>
              <w:rPr>
                <w:rFonts w:ascii="Times New Roman" w:hAnsi="Times New Roman" w:cs="Times New Roman"/>
                <w:sz w:val="16"/>
                <w:szCs w:val="16"/>
              </w:rPr>
              <w:t>R</w:t>
            </w:r>
            <w:r w:rsidR="00960531" w:rsidRPr="00CF7BE1">
              <w:rPr>
                <w:rFonts w:ascii="Times New Roman" w:hAnsi="Times New Roman" w:cs="Times New Roman"/>
                <w:sz w:val="16"/>
                <w:szCs w:val="16"/>
              </w:rPr>
              <w:t>esearch article</w:t>
            </w:r>
            <w:r w:rsidR="00492ED1">
              <w:rPr>
                <w:rFonts w:ascii="Times New Roman" w:hAnsi="Times New Roman" w:cs="Times New Roman"/>
                <w:sz w:val="16"/>
                <w:szCs w:val="16"/>
              </w:rPr>
              <w:t>s</w:t>
            </w:r>
          </w:p>
        </w:tc>
        <w:tc>
          <w:tcPr>
            <w:tcW w:w="1508" w:type="dxa"/>
            <w:vAlign w:val="bottom"/>
          </w:tcPr>
          <w:p w14:paraId="472D7D46" w14:textId="13296030" w:rsidR="00960531"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r w:rsidR="00F12C45">
              <w:rPr>
                <w:rFonts w:ascii="Times New Roman" w:hAnsi="Times New Roman" w:cs="Times New Roman"/>
                <w:color w:val="000000"/>
                <w:sz w:val="16"/>
                <w:szCs w:val="16"/>
              </w:rPr>
              <w:t>3</w:t>
            </w:r>
          </w:p>
        </w:tc>
      </w:tr>
      <w:tr w:rsidR="00960531" w:rsidRPr="00CF7BE1" w14:paraId="670A6753" w14:textId="77777777" w:rsidTr="006C1573">
        <w:tc>
          <w:tcPr>
            <w:tcW w:w="7508" w:type="dxa"/>
          </w:tcPr>
          <w:p w14:paraId="21F525D7" w14:textId="158320A4" w:rsidR="00960531" w:rsidRPr="00CF7BE1" w:rsidRDefault="00960531" w:rsidP="006C1573">
            <w:pPr>
              <w:rPr>
                <w:rFonts w:ascii="Times New Roman" w:hAnsi="Times New Roman" w:cs="Times New Roman"/>
                <w:sz w:val="16"/>
                <w:szCs w:val="16"/>
              </w:rPr>
            </w:pPr>
            <w:r w:rsidRPr="00CF7BE1">
              <w:rPr>
                <w:rFonts w:ascii="Times New Roman" w:hAnsi="Times New Roman" w:cs="Times New Roman"/>
                <w:sz w:val="16"/>
                <w:szCs w:val="16"/>
              </w:rPr>
              <w:t>Review</w:t>
            </w:r>
            <w:r w:rsidR="00492ED1">
              <w:rPr>
                <w:rFonts w:ascii="Times New Roman" w:hAnsi="Times New Roman" w:cs="Times New Roman"/>
                <w:sz w:val="16"/>
                <w:szCs w:val="16"/>
              </w:rPr>
              <w:t>s</w:t>
            </w:r>
            <w:r w:rsidRPr="00CF7BE1">
              <w:rPr>
                <w:rFonts w:ascii="Times New Roman" w:hAnsi="Times New Roman" w:cs="Times New Roman"/>
                <w:sz w:val="16"/>
                <w:szCs w:val="16"/>
              </w:rPr>
              <w:t>/commentar</w:t>
            </w:r>
            <w:r w:rsidR="00492ED1">
              <w:rPr>
                <w:rFonts w:ascii="Times New Roman" w:hAnsi="Times New Roman" w:cs="Times New Roman"/>
                <w:sz w:val="16"/>
                <w:szCs w:val="16"/>
              </w:rPr>
              <w:t>ies</w:t>
            </w:r>
            <w:r w:rsidRPr="00CF7BE1">
              <w:rPr>
                <w:rFonts w:ascii="Times New Roman" w:hAnsi="Times New Roman" w:cs="Times New Roman"/>
                <w:sz w:val="16"/>
                <w:szCs w:val="16"/>
              </w:rPr>
              <w:t>/perspective</w:t>
            </w:r>
            <w:r w:rsidR="00492ED1">
              <w:rPr>
                <w:rFonts w:ascii="Times New Roman" w:hAnsi="Times New Roman" w:cs="Times New Roman"/>
                <w:sz w:val="16"/>
                <w:szCs w:val="16"/>
              </w:rPr>
              <w:t>s</w:t>
            </w:r>
            <w:r w:rsidRPr="00CF7BE1">
              <w:rPr>
                <w:rFonts w:ascii="Times New Roman" w:hAnsi="Times New Roman" w:cs="Times New Roman"/>
                <w:sz w:val="16"/>
                <w:szCs w:val="16"/>
              </w:rPr>
              <w:t>/editorial</w:t>
            </w:r>
            <w:r w:rsidR="00492ED1">
              <w:rPr>
                <w:rFonts w:ascii="Times New Roman" w:hAnsi="Times New Roman" w:cs="Times New Roman"/>
                <w:sz w:val="16"/>
                <w:szCs w:val="16"/>
              </w:rPr>
              <w:t>s</w:t>
            </w:r>
            <w:r w:rsidR="000C537D">
              <w:rPr>
                <w:rFonts w:ascii="Times New Roman" w:hAnsi="Times New Roman" w:cs="Times New Roman"/>
                <w:sz w:val="16"/>
                <w:szCs w:val="16"/>
              </w:rPr>
              <w:t>/letter</w:t>
            </w:r>
            <w:r w:rsidR="00492ED1">
              <w:rPr>
                <w:rFonts w:ascii="Times New Roman" w:hAnsi="Times New Roman" w:cs="Times New Roman"/>
                <w:sz w:val="16"/>
                <w:szCs w:val="16"/>
              </w:rPr>
              <w:t>s</w:t>
            </w:r>
            <w:r w:rsidR="000C537D">
              <w:rPr>
                <w:rFonts w:ascii="Times New Roman" w:hAnsi="Times New Roman" w:cs="Times New Roman"/>
                <w:sz w:val="16"/>
                <w:szCs w:val="16"/>
              </w:rPr>
              <w:t>/essay</w:t>
            </w:r>
            <w:r w:rsidR="00492ED1">
              <w:rPr>
                <w:rFonts w:ascii="Times New Roman" w:hAnsi="Times New Roman" w:cs="Times New Roman"/>
                <w:sz w:val="16"/>
                <w:szCs w:val="16"/>
              </w:rPr>
              <w:t>s</w:t>
            </w:r>
            <w:r w:rsidR="000C537D">
              <w:rPr>
                <w:rFonts w:ascii="Times New Roman" w:hAnsi="Times New Roman" w:cs="Times New Roman"/>
                <w:sz w:val="16"/>
                <w:szCs w:val="16"/>
              </w:rPr>
              <w:t>/short communication</w:t>
            </w:r>
            <w:r w:rsidR="00F12C45">
              <w:rPr>
                <w:rFonts w:ascii="Times New Roman" w:hAnsi="Times New Roman" w:cs="Times New Roman"/>
                <w:sz w:val="16"/>
                <w:szCs w:val="16"/>
              </w:rPr>
              <w:t>/frameworks</w:t>
            </w:r>
          </w:p>
        </w:tc>
        <w:tc>
          <w:tcPr>
            <w:tcW w:w="1508" w:type="dxa"/>
            <w:vAlign w:val="bottom"/>
          </w:tcPr>
          <w:p w14:paraId="54B962A6" w14:textId="675B8C17" w:rsidR="00960531" w:rsidRPr="00CF7BE1" w:rsidRDefault="00F12C45"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40</w:t>
            </w:r>
          </w:p>
        </w:tc>
      </w:tr>
      <w:tr w:rsidR="00960531" w:rsidRPr="00CF7BE1" w14:paraId="4DECFC3B" w14:textId="77777777" w:rsidTr="006C1573">
        <w:tc>
          <w:tcPr>
            <w:tcW w:w="7508" w:type="dxa"/>
          </w:tcPr>
          <w:p w14:paraId="152AC002" w14:textId="4DBAB669" w:rsidR="00960531" w:rsidRPr="00CF7BE1" w:rsidRDefault="00960531" w:rsidP="006C1573">
            <w:pPr>
              <w:rPr>
                <w:rFonts w:ascii="Times New Roman" w:hAnsi="Times New Roman" w:cs="Times New Roman"/>
                <w:sz w:val="16"/>
                <w:szCs w:val="16"/>
              </w:rPr>
            </w:pPr>
            <w:r w:rsidRPr="00CF7BE1">
              <w:rPr>
                <w:rFonts w:ascii="Times New Roman" w:hAnsi="Times New Roman" w:cs="Times New Roman"/>
                <w:sz w:val="16"/>
                <w:szCs w:val="16"/>
              </w:rPr>
              <w:t>Book chapter</w:t>
            </w:r>
            <w:r w:rsidR="00492ED1">
              <w:rPr>
                <w:rFonts w:ascii="Times New Roman" w:hAnsi="Times New Roman" w:cs="Times New Roman"/>
                <w:sz w:val="16"/>
                <w:szCs w:val="16"/>
              </w:rPr>
              <w:t>s</w:t>
            </w:r>
          </w:p>
        </w:tc>
        <w:tc>
          <w:tcPr>
            <w:tcW w:w="1508" w:type="dxa"/>
            <w:vAlign w:val="bottom"/>
          </w:tcPr>
          <w:p w14:paraId="2414D2F0" w14:textId="15D5B4BB" w:rsidR="00960531"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r>
      <w:tr w:rsidR="00960531" w:rsidRPr="00CF7BE1" w14:paraId="682C7766" w14:textId="77777777" w:rsidTr="006C1573">
        <w:tc>
          <w:tcPr>
            <w:tcW w:w="7508" w:type="dxa"/>
          </w:tcPr>
          <w:p w14:paraId="1795425F" w14:textId="0EF4CB5D" w:rsidR="00960531" w:rsidRPr="00CF7BE1" w:rsidRDefault="00960531" w:rsidP="006C1573">
            <w:pPr>
              <w:rPr>
                <w:rFonts w:ascii="Times New Roman" w:hAnsi="Times New Roman" w:cs="Times New Roman"/>
                <w:sz w:val="16"/>
                <w:szCs w:val="16"/>
              </w:rPr>
            </w:pPr>
            <w:r w:rsidRPr="00CF7BE1">
              <w:rPr>
                <w:rFonts w:ascii="Times New Roman" w:hAnsi="Times New Roman" w:cs="Times New Roman"/>
                <w:sz w:val="16"/>
                <w:szCs w:val="16"/>
              </w:rPr>
              <w:t>Conference paper</w:t>
            </w:r>
            <w:r w:rsidR="00492ED1">
              <w:rPr>
                <w:rFonts w:ascii="Times New Roman" w:hAnsi="Times New Roman" w:cs="Times New Roman"/>
                <w:sz w:val="16"/>
                <w:szCs w:val="16"/>
              </w:rPr>
              <w:t>s</w:t>
            </w:r>
          </w:p>
        </w:tc>
        <w:tc>
          <w:tcPr>
            <w:tcW w:w="1508" w:type="dxa"/>
            <w:vAlign w:val="bottom"/>
          </w:tcPr>
          <w:p w14:paraId="541FEF4E" w14:textId="119EDF58" w:rsidR="00960531" w:rsidRPr="00CF7BE1" w:rsidRDefault="00F12C45"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960531" w:rsidRPr="00CF7BE1" w14:paraId="7242DC72" w14:textId="77777777" w:rsidTr="006C1573">
        <w:tc>
          <w:tcPr>
            <w:tcW w:w="7508" w:type="dxa"/>
          </w:tcPr>
          <w:p w14:paraId="0CED6BC2" w14:textId="77777777" w:rsidR="00960531" w:rsidRPr="00CF7BE1" w:rsidRDefault="00960531" w:rsidP="006C1573">
            <w:pPr>
              <w:rPr>
                <w:rFonts w:ascii="Times New Roman" w:hAnsi="Times New Roman" w:cs="Times New Roman"/>
                <w:sz w:val="16"/>
                <w:szCs w:val="16"/>
              </w:rPr>
            </w:pPr>
          </w:p>
        </w:tc>
        <w:tc>
          <w:tcPr>
            <w:tcW w:w="1508" w:type="dxa"/>
            <w:vAlign w:val="bottom"/>
          </w:tcPr>
          <w:p w14:paraId="0B4BB3F1" w14:textId="77777777" w:rsidR="00960531" w:rsidRPr="00CF7BE1" w:rsidRDefault="00960531" w:rsidP="006C1573">
            <w:pPr>
              <w:jc w:val="center"/>
              <w:rPr>
                <w:rFonts w:ascii="Times New Roman" w:hAnsi="Times New Roman" w:cs="Times New Roman"/>
                <w:color w:val="000000"/>
                <w:sz w:val="16"/>
                <w:szCs w:val="16"/>
              </w:rPr>
            </w:pPr>
          </w:p>
        </w:tc>
      </w:tr>
      <w:tr w:rsidR="00960531" w:rsidRPr="00CF7BE1" w14:paraId="2040BCFF" w14:textId="77777777" w:rsidTr="006C1573">
        <w:tc>
          <w:tcPr>
            <w:tcW w:w="9016" w:type="dxa"/>
            <w:gridSpan w:val="2"/>
          </w:tcPr>
          <w:p w14:paraId="0A0FEE97" w14:textId="77777777" w:rsidR="00960531" w:rsidRPr="00CF7BE1" w:rsidRDefault="00960531" w:rsidP="006C1573">
            <w:pPr>
              <w:rPr>
                <w:rFonts w:ascii="Times New Roman" w:hAnsi="Times New Roman" w:cs="Times New Roman"/>
                <w:color w:val="000000"/>
                <w:sz w:val="16"/>
                <w:szCs w:val="16"/>
              </w:rPr>
            </w:pPr>
            <w:r w:rsidRPr="00CF7BE1">
              <w:rPr>
                <w:rFonts w:ascii="Times New Roman" w:hAnsi="Times New Roman" w:cs="Times New Roman"/>
                <w:b/>
                <w:bCs/>
                <w:sz w:val="16"/>
                <w:szCs w:val="16"/>
              </w:rPr>
              <w:t>Inclusion criteria met</w:t>
            </w:r>
          </w:p>
        </w:tc>
      </w:tr>
      <w:tr w:rsidR="00960531" w:rsidRPr="00CF7BE1" w14:paraId="0A82D33F" w14:textId="77777777" w:rsidTr="006C1573">
        <w:tc>
          <w:tcPr>
            <w:tcW w:w="7508" w:type="dxa"/>
          </w:tcPr>
          <w:p w14:paraId="6E9F4791" w14:textId="05DC9B81" w:rsidR="00960531" w:rsidRPr="00CF7BE1" w:rsidRDefault="000C537D" w:rsidP="006C1573">
            <w:pPr>
              <w:rPr>
                <w:rFonts w:ascii="Times New Roman" w:hAnsi="Times New Roman" w:cs="Times New Roman"/>
                <w:sz w:val="16"/>
                <w:szCs w:val="16"/>
              </w:rPr>
            </w:pPr>
            <w:r>
              <w:rPr>
                <w:rFonts w:ascii="Times New Roman" w:hAnsi="Times New Roman" w:cs="Times New Roman"/>
                <w:sz w:val="16"/>
                <w:szCs w:val="16"/>
              </w:rPr>
              <w:t>Ecl</w:t>
            </w:r>
            <w:r w:rsidR="00960531" w:rsidRPr="00CF7BE1">
              <w:rPr>
                <w:rFonts w:ascii="Times New Roman" w:hAnsi="Times New Roman" w:cs="Times New Roman"/>
                <w:sz w:val="16"/>
                <w:szCs w:val="16"/>
              </w:rPr>
              <w:t>DoH definition</w:t>
            </w:r>
          </w:p>
        </w:tc>
        <w:tc>
          <w:tcPr>
            <w:tcW w:w="1508" w:type="dxa"/>
            <w:vAlign w:val="bottom"/>
          </w:tcPr>
          <w:p w14:paraId="6F898A12" w14:textId="0AF1BDB0" w:rsidR="00960531"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r>
      <w:tr w:rsidR="00960531" w:rsidRPr="00CF7BE1" w14:paraId="2DD9F926" w14:textId="77777777" w:rsidTr="006C1573">
        <w:tc>
          <w:tcPr>
            <w:tcW w:w="7508" w:type="dxa"/>
          </w:tcPr>
          <w:p w14:paraId="57EED15B" w14:textId="29E9B71F" w:rsidR="00960531" w:rsidRPr="00CF7BE1" w:rsidRDefault="000C537D" w:rsidP="006C1573">
            <w:pPr>
              <w:rPr>
                <w:rFonts w:ascii="Times New Roman" w:hAnsi="Times New Roman" w:cs="Times New Roman"/>
                <w:sz w:val="16"/>
                <w:szCs w:val="16"/>
              </w:rPr>
            </w:pPr>
            <w:r>
              <w:rPr>
                <w:rFonts w:ascii="Times New Roman" w:hAnsi="Times New Roman" w:cs="Times New Roman"/>
                <w:sz w:val="16"/>
                <w:szCs w:val="16"/>
              </w:rPr>
              <w:t>Ecl</w:t>
            </w:r>
            <w:r w:rsidR="00960531" w:rsidRPr="00CF7BE1">
              <w:rPr>
                <w:rFonts w:ascii="Times New Roman" w:hAnsi="Times New Roman" w:cs="Times New Roman"/>
                <w:sz w:val="16"/>
                <w:szCs w:val="16"/>
              </w:rPr>
              <w:t>DoH facets</w:t>
            </w:r>
          </w:p>
        </w:tc>
        <w:tc>
          <w:tcPr>
            <w:tcW w:w="1508" w:type="dxa"/>
            <w:vAlign w:val="bottom"/>
          </w:tcPr>
          <w:p w14:paraId="7FE2761B" w14:textId="26FAC5CF" w:rsidR="00960531"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r w:rsidR="00075E7D">
              <w:rPr>
                <w:rFonts w:ascii="Times New Roman" w:hAnsi="Times New Roman" w:cs="Times New Roman"/>
                <w:color w:val="000000"/>
                <w:sz w:val="16"/>
                <w:szCs w:val="16"/>
              </w:rPr>
              <w:t>4</w:t>
            </w:r>
          </w:p>
        </w:tc>
      </w:tr>
      <w:tr w:rsidR="00960531" w:rsidRPr="00CF7BE1" w14:paraId="0737D883" w14:textId="77777777" w:rsidTr="006C1573">
        <w:tc>
          <w:tcPr>
            <w:tcW w:w="7508" w:type="dxa"/>
          </w:tcPr>
          <w:p w14:paraId="1E37ECB7" w14:textId="439458FC" w:rsidR="00960531" w:rsidRPr="00CF7BE1" w:rsidRDefault="00960531" w:rsidP="006C1573">
            <w:pPr>
              <w:rPr>
                <w:rFonts w:ascii="Times New Roman" w:hAnsi="Times New Roman" w:cs="Times New Roman"/>
                <w:sz w:val="16"/>
                <w:szCs w:val="16"/>
              </w:rPr>
            </w:pPr>
            <w:r w:rsidRPr="00CF7BE1">
              <w:rPr>
                <w:rFonts w:ascii="Times New Roman" w:hAnsi="Times New Roman" w:cs="Times New Roman"/>
                <w:sz w:val="16"/>
                <w:szCs w:val="16"/>
              </w:rPr>
              <w:t xml:space="preserve">Relationship between </w:t>
            </w:r>
            <w:r w:rsidR="000C537D">
              <w:rPr>
                <w:rFonts w:ascii="Times New Roman" w:hAnsi="Times New Roman" w:cs="Times New Roman"/>
                <w:sz w:val="16"/>
                <w:szCs w:val="16"/>
              </w:rPr>
              <w:t>Ecl</w:t>
            </w:r>
            <w:r w:rsidRPr="00CF7BE1">
              <w:rPr>
                <w:rFonts w:ascii="Times New Roman" w:hAnsi="Times New Roman" w:cs="Times New Roman"/>
                <w:sz w:val="16"/>
                <w:szCs w:val="16"/>
              </w:rPr>
              <w:t>DoH and other determinants of health</w:t>
            </w:r>
          </w:p>
        </w:tc>
        <w:tc>
          <w:tcPr>
            <w:tcW w:w="1508" w:type="dxa"/>
            <w:vAlign w:val="bottom"/>
          </w:tcPr>
          <w:p w14:paraId="6280EE03" w14:textId="330148C0" w:rsidR="00960531" w:rsidRPr="00CF7BE1" w:rsidRDefault="000C537D" w:rsidP="006C1573">
            <w:pPr>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r w:rsidR="00075E7D">
              <w:rPr>
                <w:rFonts w:ascii="Times New Roman" w:hAnsi="Times New Roman" w:cs="Times New Roman"/>
                <w:color w:val="000000"/>
                <w:sz w:val="16"/>
                <w:szCs w:val="16"/>
              </w:rPr>
              <w:t>1</w:t>
            </w:r>
          </w:p>
        </w:tc>
      </w:tr>
    </w:tbl>
    <w:p w14:paraId="0479D0E4" w14:textId="4B9C3227" w:rsidR="00960531" w:rsidRPr="000F2D85" w:rsidRDefault="00960531" w:rsidP="00960531">
      <w:pPr>
        <w:rPr>
          <w:rFonts w:ascii="Times New Roman" w:hAnsi="Times New Roman" w:cs="Times New Roman"/>
          <w:sz w:val="16"/>
          <w:szCs w:val="16"/>
        </w:rPr>
      </w:pPr>
      <w:r w:rsidRPr="000F2D85">
        <w:rPr>
          <w:rFonts w:ascii="Times New Roman" w:hAnsi="Times New Roman" w:cs="Times New Roman"/>
          <w:sz w:val="16"/>
          <w:szCs w:val="16"/>
        </w:rPr>
        <w:t xml:space="preserve">* </w:t>
      </w:r>
      <w:r w:rsidR="00225F0B" w:rsidRPr="00225F0B">
        <w:rPr>
          <w:rFonts w:ascii="Times New Roman" w:hAnsi="Times New Roman" w:cs="Times New Roman"/>
          <w:sz w:val="16"/>
          <w:szCs w:val="16"/>
        </w:rPr>
        <w:t>When the corresponding author was not identified, the country where the first author was based was used. In cases of multiple affiliations, the country associated with the author’s email address was used.</w:t>
      </w:r>
    </w:p>
    <w:p w14:paraId="504F7040" w14:textId="77777777" w:rsidR="00960531" w:rsidRPr="00CF7BE1" w:rsidRDefault="00960531" w:rsidP="00960531">
      <w:pPr>
        <w:rPr>
          <w:rFonts w:ascii="Times New Roman" w:hAnsi="Times New Roman" w:cs="Times New Roman"/>
          <w:sz w:val="16"/>
          <w:szCs w:val="16"/>
        </w:rPr>
      </w:pPr>
    </w:p>
    <w:p w14:paraId="129234A6" w14:textId="77777777" w:rsidR="00960531" w:rsidRPr="00CF7BE1" w:rsidRDefault="00960531" w:rsidP="00960531">
      <w:pPr>
        <w:rPr>
          <w:rFonts w:ascii="Times New Roman" w:hAnsi="Times New Roman" w:cs="Times New Roman"/>
          <w:sz w:val="16"/>
          <w:szCs w:val="16"/>
        </w:rPr>
      </w:pPr>
    </w:p>
    <w:p w14:paraId="0DFA7F47" w14:textId="77777777" w:rsidR="00960531" w:rsidRDefault="00960531" w:rsidP="00960531">
      <w:pPr>
        <w:spacing w:line="240" w:lineRule="auto"/>
        <w:rPr>
          <w:rFonts w:ascii="Times New Roman" w:hAnsi="Times New Roman" w:cs="Times New Roman"/>
          <w:b/>
          <w:bCs/>
          <w:sz w:val="20"/>
          <w:szCs w:val="20"/>
        </w:rPr>
      </w:pPr>
    </w:p>
    <w:p w14:paraId="5DF17865" w14:textId="77777777" w:rsidR="00960531" w:rsidRDefault="00960531" w:rsidP="00960531">
      <w:pPr>
        <w:spacing w:line="240" w:lineRule="auto"/>
        <w:rPr>
          <w:rFonts w:ascii="Times New Roman" w:hAnsi="Times New Roman" w:cs="Times New Roman"/>
          <w:b/>
          <w:bCs/>
          <w:sz w:val="20"/>
          <w:szCs w:val="20"/>
        </w:rPr>
      </w:pPr>
    </w:p>
    <w:p w14:paraId="13A49DF9" w14:textId="77777777" w:rsidR="00960531" w:rsidRDefault="00960531" w:rsidP="00960531">
      <w:pPr>
        <w:spacing w:line="240" w:lineRule="auto"/>
        <w:rPr>
          <w:rFonts w:ascii="Times New Roman" w:hAnsi="Times New Roman" w:cs="Times New Roman"/>
          <w:b/>
          <w:bCs/>
          <w:sz w:val="20"/>
          <w:szCs w:val="20"/>
        </w:rPr>
      </w:pPr>
    </w:p>
    <w:p w14:paraId="2D4D26C9" w14:textId="77777777" w:rsidR="00960531" w:rsidRDefault="00960531" w:rsidP="00960531">
      <w:pPr>
        <w:spacing w:line="240" w:lineRule="auto"/>
        <w:rPr>
          <w:rFonts w:ascii="Times New Roman" w:hAnsi="Times New Roman" w:cs="Times New Roman"/>
          <w:b/>
          <w:bCs/>
          <w:sz w:val="20"/>
          <w:szCs w:val="20"/>
        </w:rPr>
      </w:pPr>
    </w:p>
    <w:p w14:paraId="03D5B1E2" w14:textId="77777777" w:rsidR="00960531" w:rsidRDefault="00960531" w:rsidP="00960531">
      <w:pPr>
        <w:spacing w:line="240" w:lineRule="auto"/>
        <w:rPr>
          <w:rFonts w:ascii="Times New Roman" w:hAnsi="Times New Roman" w:cs="Times New Roman"/>
          <w:b/>
          <w:bCs/>
          <w:sz w:val="20"/>
          <w:szCs w:val="20"/>
        </w:rPr>
      </w:pPr>
    </w:p>
    <w:p w14:paraId="3815DBCE" w14:textId="77777777" w:rsidR="00960531" w:rsidRDefault="00960531" w:rsidP="00960531">
      <w:pPr>
        <w:spacing w:line="240" w:lineRule="auto"/>
        <w:rPr>
          <w:rFonts w:ascii="Times New Roman" w:hAnsi="Times New Roman" w:cs="Times New Roman"/>
          <w:b/>
          <w:bCs/>
          <w:sz w:val="20"/>
          <w:szCs w:val="20"/>
        </w:rPr>
      </w:pPr>
    </w:p>
    <w:p w14:paraId="399E4A39" w14:textId="77777777" w:rsidR="00960531" w:rsidRDefault="00960531" w:rsidP="00960531">
      <w:pPr>
        <w:spacing w:line="240" w:lineRule="auto"/>
        <w:rPr>
          <w:rFonts w:ascii="Times New Roman" w:hAnsi="Times New Roman" w:cs="Times New Roman"/>
          <w:b/>
          <w:bCs/>
          <w:sz w:val="20"/>
          <w:szCs w:val="20"/>
        </w:rPr>
      </w:pPr>
    </w:p>
    <w:p w14:paraId="724E3067" w14:textId="77777777" w:rsidR="00DE6C16" w:rsidRDefault="00DE6C16" w:rsidP="001A1116">
      <w:pPr>
        <w:spacing w:line="240" w:lineRule="auto"/>
        <w:rPr>
          <w:rFonts w:ascii="Times New Roman" w:hAnsi="Times New Roman" w:cs="Times New Roman"/>
          <w:b/>
          <w:bCs/>
          <w:sz w:val="20"/>
          <w:szCs w:val="20"/>
        </w:rPr>
      </w:pPr>
    </w:p>
    <w:p w14:paraId="20C3C97E" w14:textId="203AB9FC" w:rsidR="00492ED1" w:rsidRPr="000E3B0D" w:rsidRDefault="00B8224A" w:rsidP="006F382B">
      <w:pPr>
        <w:spacing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Supplement File</w:t>
      </w:r>
      <w:r w:rsidR="00492ED1" w:rsidRPr="00492ED1">
        <w:rPr>
          <w:rFonts w:ascii="Times New Roman" w:hAnsi="Times New Roman" w:cs="Times New Roman"/>
          <w:b/>
          <w:bCs/>
          <w:sz w:val="20"/>
          <w:szCs w:val="20"/>
        </w:rPr>
        <w:t xml:space="preserve"> H: </w:t>
      </w:r>
      <w:r w:rsidR="000E3B0D">
        <w:rPr>
          <w:rFonts w:ascii="Times New Roman" w:hAnsi="Times New Roman" w:cs="Times New Roman"/>
          <w:b/>
          <w:bCs/>
          <w:sz w:val="20"/>
          <w:szCs w:val="20"/>
        </w:rPr>
        <w:t>Components</w:t>
      </w:r>
      <w:r w:rsidR="00492ED1" w:rsidRPr="00492ED1">
        <w:rPr>
          <w:rFonts w:ascii="Times New Roman" w:hAnsi="Times New Roman" w:cs="Times New Roman"/>
          <w:b/>
          <w:bCs/>
          <w:sz w:val="20"/>
          <w:szCs w:val="20"/>
        </w:rPr>
        <w:t xml:space="preserve"> of EclDoH Identified in the Definitions of the Reviewed Publications (n = 90)</w:t>
      </w:r>
    </w:p>
    <w:tbl>
      <w:tblPr>
        <w:tblStyle w:val="TableGrid"/>
        <w:tblW w:w="0" w:type="auto"/>
        <w:tblLook w:val="04A0" w:firstRow="1" w:lastRow="0" w:firstColumn="1" w:lastColumn="0" w:noHBand="0" w:noVBand="1"/>
      </w:tblPr>
      <w:tblGrid>
        <w:gridCol w:w="2263"/>
        <w:gridCol w:w="6753"/>
      </w:tblGrid>
      <w:tr w:rsidR="00CE3A08" w:rsidRPr="00CE3A08" w14:paraId="1A18DC7F" w14:textId="77777777" w:rsidTr="00B8701B">
        <w:trPr>
          <w:trHeight w:val="397"/>
        </w:trPr>
        <w:tc>
          <w:tcPr>
            <w:tcW w:w="2263" w:type="dxa"/>
            <w:noWrap/>
            <w:hideMark/>
          </w:tcPr>
          <w:p w14:paraId="789D7A2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Acheson et al, 2018</w:t>
            </w:r>
          </w:p>
        </w:tc>
        <w:tc>
          <w:tcPr>
            <w:tcW w:w="6753" w:type="dxa"/>
            <w:hideMark/>
          </w:tcPr>
          <w:p w14:paraId="4C63574C" w14:textId="3CD8825D"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Abiotic factors (temperature, water, air, soil)</w:t>
            </w:r>
            <w:r w:rsidR="00964AE7">
              <w:rPr>
                <w:rFonts w:ascii="Times New Roman" w:hAnsi="Times New Roman" w:cs="Times New Roman"/>
                <w:sz w:val="16"/>
                <w:szCs w:val="16"/>
              </w:rPr>
              <w:t>;</w:t>
            </w:r>
            <w:r w:rsidRPr="00CE3A08">
              <w:rPr>
                <w:rFonts w:ascii="Times New Roman" w:hAnsi="Times New Roman" w:cs="Times New Roman"/>
                <w:sz w:val="16"/>
                <w:szCs w:val="16"/>
              </w:rPr>
              <w:t xml:space="preserve"> biotic interactions (biotic interactions, trees and eucalypt associations, potential vectors), changing environments (climate changes, land use change)</w:t>
            </w:r>
          </w:p>
        </w:tc>
      </w:tr>
      <w:tr w:rsidR="00CE3A08" w:rsidRPr="00CE3A08" w14:paraId="3EA538CC" w14:textId="77777777" w:rsidTr="00B8701B">
        <w:trPr>
          <w:trHeight w:val="546"/>
        </w:trPr>
        <w:tc>
          <w:tcPr>
            <w:tcW w:w="2263" w:type="dxa"/>
            <w:noWrap/>
            <w:hideMark/>
          </w:tcPr>
          <w:p w14:paraId="46CFBE7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Akter et al, 2017</w:t>
            </w:r>
          </w:p>
        </w:tc>
        <w:tc>
          <w:tcPr>
            <w:tcW w:w="6753" w:type="dxa"/>
            <w:hideMark/>
          </w:tcPr>
          <w:p w14:paraId="2ACABC4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Land use types (conservation and natural environment, intensive uses, production from dryland agriculture and plantations, production from irrigated agriculture and plantations, production from natural environments)</w:t>
            </w:r>
          </w:p>
        </w:tc>
      </w:tr>
      <w:tr w:rsidR="00CE3A08" w:rsidRPr="00CE3A08" w14:paraId="763D23D0" w14:textId="77777777" w:rsidTr="00B8701B">
        <w:trPr>
          <w:trHeight w:val="413"/>
        </w:trPr>
        <w:tc>
          <w:tcPr>
            <w:tcW w:w="2263" w:type="dxa"/>
            <w:noWrap/>
            <w:hideMark/>
          </w:tcPr>
          <w:p w14:paraId="6380B78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Almaki et al, 2024</w:t>
            </w:r>
          </w:p>
        </w:tc>
        <w:tc>
          <w:tcPr>
            <w:tcW w:w="6753" w:type="dxa"/>
            <w:hideMark/>
          </w:tcPr>
          <w:p w14:paraId="5C0CE86A" w14:textId="07E4D75D"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Mosquito breeding sites, rapid urbani</w:t>
            </w:r>
            <w:r w:rsidR="00964AE7">
              <w:rPr>
                <w:rFonts w:ascii="Times New Roman" w:hAnsi="Times New Roman" w:cs="Times New Roman"/>
                <w:sz w:val="16"/>
                <w:szCs w:val="16"/>
              </w:rPr>
              <w:t>s</w:t>
            </w:r>
            <w:r w:rsidRPr="00CE3A08">
              <w:rPr>
                <w:rFonts w:ascii="Times New Roman" w:hAnsi="Times New Roman" w:cs="Times New Roman"/>
                <w:sz w:val="16"/>
                <w:szCs w:val="16"/>
              </w:rPr>
              <w:t xml:space="preserve">ation and </w:t>
            </w:r>
            <w:r>
              <w:rPr>
                <w:rFonts w:ascii="Times New Roman" w:hAnsi="Times New Roman" w:cs="Times New Roman"/>
                <w:sz w:val="16"/>
                <w:szCs w:val="16"/>
              </w:rPr>
              <w:t>n</w:t>
            </w:r>
            <w:r w:rsidRPr="00CE3A08">
              <w:rPr>
                <w:rFonts w:ascii="Times New Roman" w:hAnsi="Times New Roman" w:cs="Times New Roman"/>
                <w:sz w:val="16"/>
                <w:szCs w:val="16"/>
              </w:rPr>
              <w:t>ew agroecosystem, rainfall and altitude, temperature and relative humidity</w:t>
            </w:r>
          </w:p>
        </w:tc>
      </w:tr>
      <w:tr w:rsidR="00CE3A08" w:rsidRPr="00CE3A08" w14:paraId="7B526E7F" w14:textId="77777777" w:rsidTr="00B8701B">
        <w:trPr>
          <w:trHeight w:val="419"/>
        </w:trPr>
        <w:tc>
          <w:tcPr>
            <w:tcW w:w="2263" w:type="dxa"/>
            <w:noWrap/>
            <w:hideMark/>
          </w:tcPr>
          <w:p w14:paraId="2293E5B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Basir et al, 2024</w:t>
            </w:r>
          </w:p>
        </w:tc>
        <w:tc>
          <w:tcPr>
            <w:tcW w:w="6753" w:type="dxa"/>
            <w:hideMark/>
          </w:tcPr>
          <w:p w14:paraId="1EDF65D5" w14:textId="208DA566"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External conditions (weather and seasonality) and contexts in which people live, work, and interact, such as educational institutions</w:t>
            </w:r>
          </w:p>
        </w:tc>
      </w:tr>
      <w:tr w:rsidR="00CE3A08" w:rsidRPr="00CE3A08" w14:paraId="679BE5AD" w14:textId="77777777" w:rsidTr="00B8701B">
        <w:trPr>
          <w:trHeight w:val="425"/>
        </w:trPr>
        <w:tc>
          <w:tcPr>
            <w:tcW w:w="2263" w:type="dxa"/>
            <w:noWrap/>
            <w:hideMark/>
          </w:tcPr>
          <w:p w14:paraId="2466015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Bennett et al, 2024</w:t>
            </w:r>
          </w:p>
        </w:tc>
        <w:tc>
          <w:tcPr>
            <w:tcW w:w="6753" w:type="dxa"/>
            <w:hideMark/>
          </w:tcPr>
          <w:p w14:paraId="784E1C2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Farming practices,  consumption of farm products, water sanitation and hygiene (WASH), pollution, food safety, water analysis, and wastewater treatment.</w:t>
            </w:r>
          </w:p>
        </w:tc>
      </w:tr>
      <w:tr w:rsidR="00CE3A08" w:rsidRPr="00CE3A08" w14:paraId="434D9B2D" w14:textId="77777777" w:rsidTr="00B8701B">
        <w:trPr>
          <w:trHeight w:val="1408"/>
        </w:trPr>
        <w:tc>
          <w:tcPr>
            <w:tcW w:w="2263" w:type="dxa"/>
            <w:noWrap/>
            <w:hideMark/>
          </w:tcPr>
          <w:p w14:paraId="62C71D4D" w14:textId="40600DAC"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Blakely </w:t>
            </w:r>
            <w:r w:rsidR="008B38E8">
              <w:rPr>
                <w:rFonts w:ascii="Times New Roman" w:hAnsi="Times New Roman" w:cs="Times New Roman"/>
                <w:sz w:val="16"/>
                <w:szCs w:val="16"/>
              </w:rPr>
              <w:t>and Woodward</w:t>
            </w:r>
            <w:r w:rsidRPr="00CE3A08">
              <w:rPr>
                <w:rFonts w:ascii="Times New Roman" w:hAnsi="Times New Roman" w:cs="Times New Roman"/>
                <w:sz w:val="16"/>
                <w:szCs w:val="16"/>
              </w:rPr>
              <w:t>, 2000</w:t>
            </w:r>
          </w:p>
        </w:tc>
        <w:tc>
          <w:tcPr>
            <w:tcW w:w="6753" w:type="dxa"/>
            <w:hideMark/>
          </w:tcPr>
          <w:p w14:paraId="0BBBEBB1" w14:textId="7DF9126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Living in deprived community,  aggregate (median social class, proportion smoking, Income inequality), contagion (prevalence of infectious disease, suicid</w:t>
            </w:r>
            <w:r>
              <w:rPr>
                <w:rFonts w:ascii="Times New Roman" w:hAnsi="Times New Roman" w:cs="Times New Roman"/>
                <w:sz w:val="16"/>
                <w:szCs w:val="16"/>
              </w:rPr>
              <w:t>e</w:t>
            </w:r>
            <w:r w:rsidRPr="00CE3A08">
              <w:rPr>
                <w:rFonts w:ascii="Times New Roman" w:hAnsi="Times New Roman" w:cs="Times New Roman"/>
                <w:sz w:val="16"/>
                <w:szCs w:val="16"/>
              </w:rPr>
              <w:t xml:space="preserve"> rate), environmental (physical characteristics of a place, with an individual level analogue that usually varies between individuals, e.g.  hours of sunlight, environmental pollutant, latitude and longitude; weather), Structural (Measure the pattern of relationships and interactions between individuals belonging to the group, e.g. social networks, weather); Global/Integral measure attributes of groups, organisations or places (social (dis)organisation), social capital, legislation or regulation).</w:t>
            </w:r>
          </w:p>
        </w:tc>
      </w:tr>
      <w:tr w:rsidR="00CE3A08" w:rsidRPr="00CE3A08" w14:paraId="6F9BB5F9" w14:textId="77777777" w:rsidTr="00B8701B">
        <w:trPr>
          <w:trHeight w:val="267"/>
        </w:trPr>
        <w:tc>
          <w:tcPr>
            <w:tcW w:w="2263" w:type="dxa"/>
            <w:noWrap/>
            <w:hideMark/>
          </w:tcPr>
          <w:p w14:paraId="1346D7D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Bogart et al, 2019</w:t>
            </w:r>
          </w:p>
        </w:tc>
        <w:tc>
          <w:tcPr>
            <w:tcW w:w="6753" w:type="dxa"/>
            <w:hideMark/>
          </w:tcPr>
          <w:p w14:paraId="1FD2A8A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Area-level socioeconomic position, HIV prevalence</w:t>
            </w:r>
          </w:p>
        </w:tc>
      </w:tr>
      <w:tr w:rsidR="00CE3A08" w:rsidRPr="00CE3A08" w14:paraId="2086887F" w14:textId="77777777" w:rsidTr="00B8701B">
        <w:trPr>
          <w:trHeight w:val="269"/>
        </w:trPr>
        <w:tc>
          <w:tcPr>
            <w:tcW w:w="2263" w:type="dxa"/>
            <w:noWrap/>
            <w:hideMark/>
          </w:tcPr>
          <w:p w14:paraId="43A105F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Bohra et al, 2025</w:t>
            </w:r>
          </w:p>
        </w:tc>
        <w:tc>
          <w:tcPr>
            <w:tcW w:w="6753" w:type="dxa"/>
            <w:hideMark/>
          </w:tcPr>
          <w:p w14:paraId="136EE65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Deforestation, anthropogenic intrusion into forest habitats, and changes in vector and host dynamics</w:t>
            </w:r>
          </w:p>
        </w:tc>
      </w:tr>
      <w:tr w:rsidR="00CE3A08" w:rsidRPr="00CE3A08" w14:paraId="149F7C6E" w14:textId="77777777" w:rsidTr="00B8701B">
        <w:trPr>
          <w:trHeight w:val="273"/>
        </w:trPr>
        <w:tc>
          <w:tcPr>
            <w:tcW w:w="2263" w:type="dxa"/>
            <w:noWrap/>
            <w:hideMark/>
          </w:tcPr>
          <w:p w14:paraId="642F262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Buse et al, 2023</w:t>
            </w:r>
          </w:p>
        </w:tc>
        <w:tc>
          <w:tcPr>
            <w:tcW w:w="6753" w:type="dxa"/>
            <w:hideMark/>
          </w:tcPr>
          <w:p w14:paraId="7FD7CB4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biodiversity loss, ocean acidification, and resource depletion</w:t>
            </w:r>
          </w:p>
        </w:tc>
      </w:tr>
      <w:tr w:rsidR="00CE3A08" w:rsidRPr="00CE3A08" w14:paraId="45F270CD" w14:textId="77777777" w:rsidTr="00B8701B">
        <w:trPr>
          <w:trHeight w:val="135"/>
        </w:trPr>
        <w:tc>
          <w:tcPr>
            <w:tcW w:w="2263" w:type="dxa"/>
            <w:noWrap/>
            <w:hideMark/>
          </w:tcPr>
          <w:p w14:paraId="2D88E14F" w14:textId="77777777" w:rsidR="00CE3A08" w:rsidRPr="00CE3A08" w:rsidRDefault="00CE3A08" w:rsidP="00C22AE1">
            <w:pPr>
              <w:rPr>
                <w:rFonts w:ascii="Times New Roman" w:hAnsi="Times New Roman" w:cs="Times New Roman"/>
                <w:sz w:val="16"/>
                <w:szCs w:val="16"/>
              </w:rPr>
            </w:pPr>
            <w:r w:rsidRPr="00CE3A08">
              <w:rPr>
                <w:rFonts w:ascii="Times New Roman" w:hAnsi="Times New Roman" w:cs="Times New Roman"/>
                <w:sz w:val="16"/>
                <w:szCs w:val="16"/>
              </w:rPr>
              <w:t>Capps et al, 2023</w:t>
            </w:r>
          </w:p>
        </w:tc>
        <w:tc>
          <w:tcPr>
            <w:tcW w:w="6753" w:type="dxa"/>
            <w:hideMark/>
          </w:tcPr>
          <w:p w14:paraId="77384D17" w14:textId="77777777" w:rsidR="00CE3A08" w:rsidRPr="00CE3A08" w:rsidRDefault="00CE3A08" w:rsidP="00C22AE1">
            <w:pPr>
              <w:rPr>
                <w:rFonts w:ascii="Times New Roman" w:hAnsi="Times New Roman" w:cs="Times New Roman"/>
                <w:sz w:val="16"/>
                <w:szCs w:val="16"/>
              </w:rPr>
            </w:pPr>
            <w:r w:rsidRPr="00CE3A08">
              <w:rPr>
                <w:rFonts w:ascii="Times New Roman" w:hAnsi="Times New Roman" w:cs="Times New Roman"/>
                <w:sz w:val="16"/>
                <w:szCs w:val="16"/>
              </w:rPr>
              <w:t>Pollution and natural disasters</w:t>
            </w:r>
          </w:p>
        </w:tc>
      </w:tr>
      <w:tr w:rsidR="00CE3A08" w:rsidRPr="00CE3A08" w14:paraId="58B88610" w14:textId="77777777" w:rsidTr="00B8701B">
        <w:trPr>
          <w:trHeight w:val="211"/>
        </w:trPr>
        <w:tc>
          <w:tcPr>
            <w:tcW w:w="2263" w:type="dxa"/>
            <w:noWrap/>
            <w:hideMark/>
          </w:tcPr>
          <w:p w14:paraId="45753CA3" w14:textId="3DD8A98D"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Capps, 2024</w:t>
            </w:r>
          </w:p>
        </w:tc>
        <w:tc>
          <w:tcPr>
            <w:tcW w:w="6753" w:type="dxa"/>
            <w:hideMark/>
          </w:tcPr>
          <w:p w14:paraId="3DA4074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Pollution, natural disasters, employment, food insecurity, quality of housing, poverty</w:t>
            </w:r>
          </w:p>
        </w:tc>
      </w:tr>
      <w:tr w:rsidR="00CE3A08" w:rsidRPr="00CE3A08" w14:paraId="46AA02A1" w14:textId="77777777" w:rsidTr="00B8701B">
        <w:trPr>
          <w:trHeight w:val="271"/>
        </w:trPr>
        <w:tc>
          <w:tcPr>
            <w:tcW w:w="2263" w:type="dxa"/>
            <w:noWrap/>
            <w:hideMark/>
          </w:tcPr>
          <w:p w14:paraId="070CD8A8" w14:textId="1B12475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Carrier </w:t>
            </w:r>
            <w:r w:rsidR="008B38E8">
              <w:rPr>
                <w:rFonts w:ascii="Times New Roman" w:hAnsi="Times New Roman" w:cs="Times New Roman"/>
                <w:sz w:val="16"/>
                <w:szCs w:val="16"/>
              </w:rPr>
              <w:t>and Padilla</w:t>
            </w:r>
            <w:r w:rsidRPr="00CE3A08">
              <w:rPr>
                <w:rFonts w:ascii="Times New Roman" w:hAnsi="Times New Roman" w:cs="Times New Roman"/>
                <w:sz w:val="16"/>
                <w:szCs w:val="16"/>
              </w:rPr>
              <w:t>, 2025</w:t>
            </w:r>
          </w:p>
        </w:tc>
        <w:tc>
          <w:tcPr>
            <w:tcW w:w="6753" w:type="dxa"/>
            <w:hideMark/>
          </w:tcPr>
          <w:p w14:paraId="12E06C5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Heat stress, air pollution, heavy metals, toxic chemicals, microplastics </w:t>
            </w:r>
          </w:p>
        </w:tc>
      </w:tr>
      <w:tr w:rsidR="00CE3A08" w:rsidRPr="00CE3A08" w14:paraId="2AD7CF9E" w14:textId="77777777" w:rsidTr="00B8701B">
        <w:trPr>
          <w:trHeight w:val="145"/>
        </w:trPr>
        <w:tc>
          <w:tcPr>
            <w:tcW w:w="2263" w:type="dxa"/>
            <w:noWrap/>
            <w:hideMark/>
          </w:tcPr>
          <w:p w14:paraId="0333A1F9" w14:textId="0F9B6519"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Colombo</w:t>
            </w:r>
            <w:r w:rsidR="008B38E8">
              <w:rPr>
                <w:rFonts w:ascii="Times New Roman" w:hAnsi="Times New Roman" w:cs="Times New Roman"/>
                <w:sz w:val="16"/>
                <w:szCs w:val="16"/>
              </w:rPr>
              <w:t xml:space="preserve"> and Tanner</w:t>
            </w:r>
            <w:r w:rsidRPr="00CE3A08">
              <w:rPr>
                <w:rFonts w:ascii="Times New Roman" w:hAnsi="Times New Roman" w:cs="Times New Roman"/>
                <w:sz w:val="16"/>
                <w:szCs w:val="16"/>
              </w:rPr>
              <w:t>, 2019</w:t>
            </w:r>
          </w:p>
        </w:tc>
        <w:tc>
          <w:tcPr>
            <w:tcW w:w="6753" w:type="dxa"/>
            <w:hideMark/>
          </w:tcPr>
          <w:p w14:paraId="6ED98BD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Diet, inflammation, saliva flow, composition</w:t>
            </w:r>
          </w:p>
        </w:tc>
      </w:tr>
      <w:tr w:rsidR="00CE3A08" w:rsidRPr="00CE3A08" w14:paraId="380C213C" w14:textId="77777777" w:rsidTr="00B8701B">
        <w:trPr>
          <w:trHeight w:val="233"/>
        </w:trPr>
        <w:tc>
          <w:tcPr>
            <w:tcW w:w="2263" w:type="dxa"/>
            <w:noWrap/>
            <w:hideMark/>
          </w:tcPr>
          <w:p w14:paraId="3444B67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Courtois, 2021</w:t>
            </w:r>
          </w:p>
        </w:tc>
        <w:tc>
          <w:tcPr>
            <w:tcW w:w="6753" w:type="dxa"/>
            <w:hideMark/>
          </w:tcPr>
          <w:p w14:paraId="4B19CE4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Oxidants generated by oral peroxidases</w:t>
            </w:r>
          </w:p>
        </w:tc>
      </w:tr>
      <w:tr w:rsidR="00CE3A08" w:rsidRPr="00CE3A08" w14:paraId="283E1A28" w14:textId="77777777" w:rsidTr="00B8701B">
        <w:trPr>
          <w:trHeight w:val="846"/>
        </w:trPr>
        <w:tc>
          <w:tcPr>
            <w:tcW w:w="2263" w:type="dxa"/>
            <w:noWrap/>
            <w:hideMark/>
          </w:tcPr>
          <w:p w14:paraId="4463DCA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Crosse et al, 2021</w:t>
            </w:r>
          </w:p>
        </w:tc>
        <w:tc>
          <w:tcPr>
            <w:tcW w:w="6753" w:type="dxa"/>
            <w:hideMark/>
          </w:tcPr>
          <w:p w14:paraId="4614D50C" w14:textId="554EA88C"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Regulating services (clean water, regulation of floods, soil erosion, pollination services, and disease outbreaks), cultural services (recreational and spiritual benefits, reflection,</w:t>
            </w:r>
            <w:r>
              <w:rPr>
                <w:rFonts w:ascii="Times New Roman" w:hAnsi="Times New Roman" w:cs="Times New Roman"/>
                <w:sz w:val="16"/>
                <w:szCs w:val="16"/>
              </w:rPr>
              <w:t xml:space="preserve"> </w:t>
            </w:r>
            <w:r w:rsidRPr="00CE3A08">
              <w:rPr>
                <w:rFonts w:ascii="Times New Roman" w:hAnsi="Times New Roman" w:cs="Times New Roman"/>
                <w:sz w:val="16"/>
                <w:szCs w:val="16"/>
              </w:rPr>
              <w:t>creative and aesthetic experiences), climate change, ocean acidification, land degradation, water scarcity, overexploitation of fisheries,  biodiversity loss</w:t>
            </w:r>
          </w:p>
        </w:tc>
      </w:tr>
      <w:tr w:rsidR="000E3B0D" w:rsidRPr="00CE3A08" w14:paraId="4A881EB1" w14:textId="77777777" w:rsidTr="00B8701B">
        <w:trPr>
          <w:trHeight w:val="277"/>
        </w:trPr>
        <w:tc>
          <w:tcPr>
            <w:tcW w:w="2263" w:type="dxa"/>
            <w:noWrap/>
          </w:tcPr>
          <w:p w14:paraId="7578DBCC" w14:textId="03B0271B" w:rsidR="000E3B0D" w:rsidRPr="00CE3A08" w:rsidRDefault="000E3B0D" w:rsidP="00CE3A08">
            <w:pPr>
              <w:rPr>
                <w:rFonts w:ascii="Times New Roman" w:hAnsi="Times New Roman" w:cs="Times New Roman"/>
                <w:sz w:val="16"/>
                <w:szCs w:val="16"/>
              </w:rPr>
            </w:pPr>
            <w:r>
              <w:rPr>
                <w:rFonts w:ascii="Times New Roman" w:hAnsi="Times New Roman" w:cs="Times New Roman"/>
                <w:sz w:val="16"/>
                <w:szCs w:val="16"/>
              </w:rPr>
              <w:t>Dea et al., 2019</w:t>
            </w:r>
          </w:p>
        </w:tc>
        <w:tc>
          <w:tcPr>
            <w:tcW w:w="6753" w:type="dxa"/>
          </w:tcPr>
          <w:p w14:paraId="3895165F" w14:textId="2CDA5310" w:rsidR="000E3B0D" w:rsidRPr="00CE3A08" w:rsidRDefault="000E3B0D" w:rsidP="000E3B0D">
            <w:pPr>
              <w:rPr>
                <w:rFonts w:ascii="Times New Roman" w:hAnsi="Times New Roman" w:cs="Times New Roman"/>
                <w:sz w:val="16"/>
                <w:szCs w:val="16"/>
              </w:rPr>
            </w:pPr>
            <w:r w:rsidRPr="000E3B0D">
              <w:rPr>
                <w:rFonts w:ascii="Times New Roman" w:hAnsi="Times New Roman" w:cs="Times New Roman"/>
                <w:sz w:val="16"/>
                <w:szCs w:val="16"/>
              </w:rPr>
              <w:t>Environmental features</w:t>
            </w:r>
            <w:r>
              <w:rPr>
                <w:rFonts w:ascii="Times New Roman" w:hAnsi="Times New Roman" w:cs="Times New Roman"/>
                <w:sz w:val="16"/>
                <w:szCs w:val="16"/>
              </w:rPr>
              <w:t xml:space="preserve">, </w:t>
            </w:r>
            <w:r w:rsidRPr="000E3B0D">
              <w:rPr>
                <w:rFonts w:ascii="Times New Roman" w:hAnsi="Times New Roman" w:cs="Times New Roman"/>
                <w:sz w:val="16"/>
                <w:szCs w:val="16"/>
              </w:rPr>
              <w:t>public policies across sectors and jurisdictions</w:t>
            </w:r>
          </w:p>
        </w:tc>
      </w:tr>
      <w:tr w:rsidR="00CE3A08" w:rsidRPr="00CE3A08" w14:paraId="2A777AE6" w14:textId="77777777" w:rsidTr="00B8701B">
        <w:trPr>
          <w:trHeight w:val="277"/>
        </w:trPr>
        <w:tc>
          <w:tcPr>
            <w:tcW w:w="2263" w:type="dxa"/>
            <w:noWrap/>
            <w:hideMark/>
          </w:tcPr>
          <w:p w14:paraId="717E407A" w14:textId="5642F09C"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Degeling </w:t>
            </w:r>
            <w:r w:rsidR="008B38E8">
              <w:rPr>
                <w:rFonts w:ascii="Times New Roman" w:hAnsi="Times New Roman" w:cs="Times New Roman"/>
                <w:sz w:val="16"/>
                <w:szCs w:val="16"/>
              </w:rPr>
              <w:t>and Kerridge</w:t>
            </w:r>
            <w:r w:rsidRPr="00CE3A08">
              <w:rPr>
                <w:rFonts w:ascii="Times New Roman" w:hAnsi="Times New Roman" w:cs="Times New Roman"/>
                <w:sz w:val="16"/>
                <w:szCs w:val="16"/>
              </w:rPr>
              <w:t>, 2013</w:t>
            </w:r>
          </w:p>
        </w:tc>
        <w:tc>
          <w:tcPr>
            <w:tcW w:w="6753" w:type="dxa"/>
            <w:hideMark/>
          </w:tcPr>
          <w:p w14:paraId="137C814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Loss of natural habitat, land clearing</w:t>
            </w:r>
          </w:p>
        </w:tc>
      </w:tr>
      <w:tr w:rsidR="00CE3A08" w:rsidRPr="00CE3A08" w14:paraId="04BC134F" w14:textId="77777777" w:rsidTr="00B8701B">
        <w:trPr>
          <w:trHeight w:val="125"/>
        </w:trPr>
        <w:tc>
          <w:tcPr>
            <w:tcW w:w="2263" w:type="dxa"/>
            <w:noWrap/>
            <w:hideMark/>
          </w:tcPr>
          <w:p w14:paraId="44B28CB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Dennis et al, 2023</w:t>
            </w:r>
          </w:p>
        </w:tc>
        <w:tc>
          <w:tcPr>
            <w:tcW w:w="6753" w:type="dxa"/>
            <w:hideMark/>
          </w:tcPr>
          <w:p w14:paraId="10CC328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Urban/rural</w:t>
            </w:r>
          </w:p>
        </w:tc>
      </w:tr>
      <w:tr w:rsidR="00CE3A08" w:rsidRPr="00CE3A08" w14:paraId="295834DC" w14:textId="77777777" w:rsidTr="00B8701B">
        <w:trPr>
          <w:trHeight w:val="780"/>
        </w:trPr>
        <w:tc>
          <w:tcPr>
            <w:tcW w:w="2263" w:type="dxa"/>
            <w:noWrap/>
            <w:hideMark/>
          </w:tcPr>
          <w:p w14:paraId="3E3D6723"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DeWinter et al, 2024</w:t>
            </w:r>
          </w:p>
        </w:tc>
        <w:tc>
          <w:tcPr>
            <w:tcW w:w="6753" w:type="dxa"/>
            <w:hideMark/>
          </w:tcPr>
          <w:p w14:paraId="54AA6E59"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Climatic and habitat factors (presence of livestock and domestic animals, wood piles/rocks, vegetation, type, normalised differences vegetation index, altitudinal), geographic range (urban-suburban-rural, ecosystems/ecotypes, seasonality and temporality, and host abundance, seasonality, temperature and habitat features, climate factors (precipitation, relative humidity, temperature, wind speed)</w:t>
            </w:r>
          </w:p>
        </w:tc>
      </w:tr>
      <w:tr w:rsidR="00CE3A08" w:rsidRPr="00CE3A08" w14:paraId="0F69C234" w14:textId="77777777" w:rsidTr="00B8701B">
        <w:trPr>
          <w:trHeight w:val="564"/>
        </w:trPr>
        <w:tc>
          <w:tcPr>
            <w:tcW w:w="2263" w:type="dxa"/>
            <w:noWrap/>
            <w:hideMark/>
          </w:tcPr>
          <w:p w14:paraId="37F09E4F" w14:textId="643C712B"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Dickin </w:t>
            </w:r>
            <w:r w:rsidR="008B38E8">
              <w:rPr>
                <w:rFonts w:ascii="Times New Roman" w:hAnsi="Times New Roman" w:cs="Times New Roman"/>
                <w:sz w:val="16"/>
                <w:szCs w:val="16"/>
              </w:rPr>
              <w:t>and Schuster-Wallace</w:t>
            </w:r>
            <w:r w:rsidRPr="00CE3A08">
              <w:rPr>
                <w:rFonts w:ascii="Times New Roman" w:hAnsi="Times New Roman" w:cs="Times New Roman"/>
                <w:sz w:val="16"/>
                <w:szCs w:val="16"/>
              </w:rPr>
              <w:t>, 2014</w:t>
            </w:r>
          </w:p>
        </w:tc>
        <w:tc>
          <w:tcPr>
            <w:tcW w:w="6753" w:type="dxa"/>
            <w:hideMark/>
          </w:tcPr>
          <w:p w14:paraId="24F613F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(increased temperature, rainfall, precipitation, high temperature), human modification of the environment, urban to rural gradient, land use, increasing population density, water access, solid waste removal, reliability and affordability of water sources</w:t>
            </w:r>
          </w:p>
        </w:tc>
      </w:tr>
      <w:tr w:rsidR="00CE3A08" w:rsidRPr="00CE3A08" w14:paraId="7531A0D0" w14:textId="77777777" w:rsidTr="00B8701B">
        <w:trPr>
          <w:trHeight w:val="261"/>
        </w:trPr>
        <w:tc>
          <w:tcPr>
            <w:tcW w:w="2263" w:type="dxa"/>
            <w:noWrap/>
            <w:hideMark/>
          </w:tcPr>
          <w:p w14:paraId="674C10F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Douglas et al, 2019</w:t>
            </w:r>
          </w:p>
        </w:tc>
        <w:tc>
          <w:tcPr>
            <w:tcW w:w="6753" w:type="dxa"/>
            <w:hideMark/>
          </w:tcPr>
          <w:p w14:paraId="6C32D566"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Diesel particulate matter, public parks and open space</w:t>
            </w:r>
          </w:p>
        </w:tc>
      </w:tr>
      <w:tr w:rsidR="00CE3A08" w:rsidRPr="00CE3A08" w14:paraId="2848EF1B" w14:textId="77777777" w:rsidTr="00B8701B">
        <w:trPr>
          <w:trHeight w:val="420"/>
        </w:trPr>
        <w:tc>
          <w:tcPr>
            <w:tcW w:w="2263" w:type="dxa"/>
            <w:noWrap/>
            <w:hideMark/>
          </w:tcPr>
          <w:p w14:paraId="0BF34806" w14:textId="654BE3A8"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Dzul-</w:t>
            </w:r>
            <w:r w:rsidR="008B38E8">
              <w:rPr>
                <w:rFonts w:ascii="Times New Roman" w:hAnsi="Times New Roman" w:cs="Times New Roman"/>
                <w:sz w:val="16"/>
                <w:szCs w:val="16"/>
              </w:rPr>
              <w:t>R</w:t>
            </w:r>
            <w:r w:rsidRPr="00CE3A08">
              <w:rPr>
                <w:rFonts w:ascii="Times New Roman" w:hAnsi="Times New Roman" w:cs="Times New Roman"/>
                <w:sz w:val="16"/>
                <w:szCs w:val="16"/>
              </w:rPr>
              <w:t>osado, 2022</w:t>
            </w:r>
          </w:p>
        </w:tc>
        <w:tc>
          <w:tcPr>
            <w:tcW w:w="6753" w:type="dxa"/>
            <w:hideMark/>
          </w:tcPr>
          <w:p w14:paraId="0F1EB66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Tick species in the residential area, number of dogs in the residential area, number of ticks submitted by citizen scientist,  height of vegetation in the residential area</w:t>
            </w:r>
          </w:p>
        </w:tc>
      </w:tr>
      <w:tr w:rsidR="00CE3A08" w:rsidRPr="00CE3A08" w14:paraId="4C224CE1" w14:textId="77777777" w:rsidTr="00B8701B">
        <w:trPr>
          <w:trHeight w:val="520"/>
        </w:trPr>
        <w:tc>
          <w:tcPr>
            <w:tcW w:w="2263" w:type="dxa"/>
            <w:noWrap/>
          </w:tcPr>
          <w:p w14:paraId="18AEE4AC" w14:textId="56AB9165"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Elton, 2019</w:t>
            </w:r>
          </w:p>
        </w:tc>
        <w:tc>
          <w:tcPr>
            <w:tcW w:w="6753" w:type="dxa"/>
          </w:tcPr>
          <w:p w14:paraId="08875DB3" w14:textId="06BD38A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Water, air and food, soil systems, nutrient cycling of nitrogen and phosphorous,  water systems (fresh water, aquatic and marine food sources, and detoxification),  materials for shelter and tools,  energy, the ozone layer, stable climate</w:t>
            </w:r>
          </w:p>
        </w:tc>
      </w:tr>
      <w:tr w:rsidR="00CE3A08" w:rsidRPr="00CE3A08" w14:paraId="58CD8698" w14:textId="77777777" w:rsidTr="00B8701B">
        <w:trPr>
          <w:trHeight w:val="420"/>
        </w:trPr>
        <w:tc>
          <w:tcPr>
            <w:tcW w:w="2263" w:type="dxa"/>
            <w:noWrap/>
          </w:tcPr>
          <w:p w14:paraId="0B3DA547" w14:textId="61E2575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Elton, 2021</w:t>
            </w:r>
          </w:p>
        </w:tc>
        <w:tc>
          <w:tcPr>
            <w:tcW w:w="6753" w:type="dxa"/>
          </w:tcPr>
          <w:p w14:paraId="56FA3B9B" w14:textId="64826FFE"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Microbiota, including the human microbiome, oxygen, water,  food,  soil systems, water systems, materials for shelter, energy, stable climate, ozone layer</w:t>
            </w:r>
          </w:p>
        </w:tc>
      </w:tr>
      <w:tr w:rsidR="00CE3A08" w:rsidRPr="00CE3A08" w14:paraId="3F1CCF81" w14:textId="77777777" w:rsidTr="00B8701B">
        <w:trPr>
          <w:trHeight w:val="520"/>
        </w:trPr>
        <w:tc>
          <w:tcPr>
            <w:tcW w:w="2263" w:type="dxa"/>
            <w:noWrap/>
          </w:tcPr>
          <w:p w14:paraId="1109962F" w14:textId="216F27BF"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Ferraguti et al, 2024</w:t>
            </w:r>
          </w:p>
        </w:tc>
        <w:tc>
          <w:tcPr>
            <w:tcW w:w="6753" w:type="dxa"/>
          </w:tcPr>
          <w:p w14:paraId="37D34578" w14:textId="02EBDD08"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Landscape features, weather characteristics, normalised difference vegetation index (photosynthetic activity), spatial distribution and abundance of key vector species, mosquito abundance, species richness, natural ecosystems with rich vegetation coverage, water availability (permanent and temporary), climatic conditions (temperature, precipitation, and maximum wind)</w:t>
            </w:r>
          </w:p>
        </w:tc>
      </w:tr>
      <w:tr w:rsidR="00CE3A08" w:rsidRPr="00CE3A08" w14:paraId="32780EDB" w14:textId="77777777" w:rsidTr="00B8701B">
        <w:trPr>
          <w:trHeight w:val="239"/>
        </w:trPr>
        <w:tc>
          <w:tcPr>
            <w:tcW w:w="2263" w:type="dxa"/>
            <w:noWrap/>
            <w:hideMark/>
          </w:tcPr>
          <w:p w14:paraId="2043EC5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Ferrari et al, 2013</w:t>
            </w:r>
          </w:p>
        </w:tc>
        <w:tc>
          <w:tcPr>
            <w:tcW w:w="6753" w:type="dxa"/>
            <w:hideMark/>
          </w:tcPr>
          <w:p w14:paraId="68CD991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Conflicts</w:t>
            </w:r>
          </w:p>
        </w:tc>
      </w:tr>
      <w:tr w:rsidR="00CE3A08" w:rsidRPr="00CE3A08" w14:paraId="04CA01EB" w14:textId="77777777" w:rsidTr="00B8701B">
        <w:trPr>
          <w:trHeight w:val="416"/>
        </w:trPr>
        <w:tc>
          <w:tcPr>
            <w:tcW w:w="2263" w:type="dxa"/>
            <w:noWrap/>
            <w:hideMark/>
          </w:tcPr>
          <w:p w14:paraId="42DEC42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Friedsam et al, 2022</w:t>
            </w:r>
          </w:p>
        </w:tc>
        <w:tc>
          <w:tcPr>
            <w:tcW w:w="6753" w:type="dxa"/>
            <w:hideMark/>
          </w:tcPr>
          <w:p w14:paraId="771892F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Temperature, precipitation, land cover, snow cover days, frost days,  hot days, vaccination coverage, population density, tick density</w:t>
            </w:r>
          </w:p>
        </w:tc>
      </w:tr>
      <w:tr w:rsidR="00CE3A08" w:rsidRPr="00CE3A08" w14:paraId="2BB793F9" w14:textId="77777777" w:rsidTr="00B8701B">
        <w:trPr>
          <w:trHeight w:val="557"/>
        </w:trPr>
        <w:tc>
          <w:tcPr>
            <w:tcW w:w="2263" w:type="dxa"/>
            <w:noWrap/>
            <w:hideMark/>
          </w:tcPr>
          <w:p w14:paraId="54B84A1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Gaspe et al, 2020</w:t>
            </w:r>
          </w:p>
        </w:tc>
        <w:tc>
          <w:tcPr>
            <w:tcW w:w="6753" w:type="dxa"/>
            <w:hideMark/>
          </w:tcPr>
          <w:p w14:paraId="3CFF5DA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Domestic host availability, appropriate refuges for triatomines (i.e. building materials), household vector control practices, the presence of guinea pigs or chickens, the number of human residents, migration and settlement features per room and building materials</w:t>
            </w:r>
          </w:p>
        </w:tc>
      </w:tr>
      <w:tr w:rsidR="00CE3A08" w:rsidRPr="00CE3A08" w14:paraId="0B33AC19" w14:textId="77777777" w:rsidTr="00B8701B">
        <w:trPr>
          <w:trHeight w:val="129"/>
        </w:trPr>
        <w:tc>
          <w:tcPr>
            <w:tcW w:w="2263" w:type="dxa"/>
            <w:noWrap/>
            <w:hideMark/>
          </w:tcPr>
          <w:p w14:paraId="3CB490E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George, 2007</w:t>
            </w:r>
          </w:p>
        </w:tc>
        <w:tc>
          <w:tcPr>
            <w:tcW w:w="6753" w:type="dxa"/>
            <w:hideMark/>
          </w:tcPr>
          <w:p w14:paraId="762882E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Water plants, presence of rodents</w:t>
            </w:r>
          </w:p>
        </w:tc>
      </w:tr>
      <w:tr w:rsidR="00CE3A08" w:rsidRPr="00CE3A08" w14:paraId="4EE2F9D5" w14:textId="77777777" w:rsidTr="00B8701B">
        <w:trPr>
          <w:trHeight w:val="217"/>
        </w:trPr>
        <w:tc>
          <w:tcPr>
            <w:tcW w:w="2263" w:type="dxa"/>
            <w:noWrap/>
            <w:hideMark/>
          </w:tcPr>
          <w:p w14:paraId="585DE112" w14:textId="122EB97E"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Gibbons</w:t>
            </w:r>
            <w:r w:rsidR="008B38E8">
              <w:rPr>
                <w:rFonts w:ascii="Times New Roman" w:hAnsi="Times New Roman" w:cs="Times New Roman"/>
                <w:sz w:val="16"/>
                <w:szCs w:val="16"/>
              </w:rPr>
              <w:t xml:space="preserve"> and van Houte</w:t>
            </w:r>
            <w:r w:rsidRPr="00CE3A08">
              <w:rPr>
                <w:rFonts w:ascii="Times New Roman" w:hAnsi="Times New Roman" w:cs="Times New Roman"/>
                <w:sz w:val="16"/>
                <w:szCs w:val="16"/>
              </w:rPr>
              <w:t>, 1971</w:t>
            </w:r>
          </w:p>
        </w:tc>
        <w:tc>
          <w:tcPr>
            <w:tcW w:w="6753" w:type="dxa"/>
            <w:hideMark/>
          </w:tcPr>
          <w:p w14:paraId="24904CE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The ability of bacteria to adhere to surfaces</w:t>
            </w:r>
          </w:p>
        </w:tc>
      </w:tr>
      <w:tr w:rsidR="00CE3A08" w:rsidRPr="00CE3A08" w14:paraId="33CDC84F" w14:textId="77777777" w:rsidTr="00B8701B">
        <w:trPr>
          <w:trHeight w:val="135"/>
        </w:trPr>
        <w:tc>
          <w:tcPr>
            <w:tcW w:w="2263" w:type="dxa"/>
            <w:noWrap/>
            <w:hideMark/>
          </w:tcPr>
          <w:p w14:paraId="749737E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Gislason et al, 2021</w:t>
            </w:r>
          </w:p>
        </w:tc>
        <w:tc>
          <w:tcPr>
            <w:tcW w:w="6753" w:type="dxa"/>
            <w:hideMark/>
          </w:tcPr>
          <w:p w14:paraId="68482C06"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w:t>
            </w:r>
          </w:p>
        </w:tc>
      </w:tr>
      <w:tr w:rsidR="00CE3A08" w:rsidRPr="00CE3A08" w14:paraId="65183106" w14:textId="77777777" w:rsidTr="00B8701B">
        <w:trPr>
          <w:trHeight w:val="340"/>
        </w:trPr>
        <w:tc>
          <w:tcPr>
            <w:tcW w:w="2263" w:type="dxa"/>
            <w:noWrap/>
            <w:hideMark/>
          </w:tcPr>
          <w:p w14:paraId="788A484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lastRenderedPageBreak/>
              <w:t>Goodman, 2014</w:t>
            </w:r>
          </w:p>
        </w:tc>
        <w:tc>
          <w:tcPr>
            <w:tcW w:w="6753" w:type="dxa"/>
            <w:hideMark/>
          </w:tcPr>
          <w:p w14:paraId="6C03B3D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w:t>
            </w:r>
          </w:p>
        </w:tc>
      </w:tr>
      <w:tr w:rsidR="00CE3A08" w:rsidRPr="00CE3A08" w14:paraId="59254828" w14:textId="77777777" w:rsidTr="00B8701B">
        <w:trPr>
          <w:trHeight w:val="274"/>
        </w:trPr>
        <w:tc>
          <w:tcPr>
            <w:tcW w:w="2263" w:type="dxa"/>
            <w:noWrap/>
            <w:hideMark/>
          </w:tcPr>
          <w:p w14:paraId="6C1DAA3D" w14:textId="4F99A13F"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Haldane</w:t>
            </w:r>
            <w:r w:rsidR="00157795">
              <w:rPr>
                <w:rFonts w:ascii="Times New Roman" w:hAnsi="Times New Roman" w:cs="Times New Roman"/>
                <w:sz w:val="16"/>
                <w:szCs w:val="16"/>
              </w:rPr>
              <w:t xml:space="preserve"> et al.</w:t>
            </w:r>
            <w:r w:rsidRPr="00CE3A08">
              <w:rPr>
                <w:rFonts w:ascii="Times New Roman" w:hAnsi="Times New Roman" w:cs="Times New Roman"/>
                <w:sz w:val="16"/>
                <w:szCs w:val="16"/>
              </w:rPr>
              <w:t>, 2016</w:t>
            </w:r>
          </w:p>
        </w:tc>
        <w:tc>
          <w:tcPr>
            <w:tcW w:w="6753" w:type="dxa"/>
            <w:hideMark/>
          </w:tcPr>
          <w:p w14:paraId="4918D80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Chemical and plastic pollution, ocean acidification, land degradation,  biodiversity loss</w:t>
            </w:r>
          </w:p>
        </w:tc>
      </w:tr>
      <w:tr w:rsidR="00CE3A08" w:rsidRPr="00CE3A08" w14:paraId="12771C26" w14:textId="77777777" w:rsidTr="00B8701B">
        <w:trPr>
          <w:trHeight w:val="419"/>
        </w:trPr>
        <w:tc>
          <w:tcPr>
            <w:tcW w:w="2263" w:type="dxa"/>
            <w:noWrap/>
            <w:hideMark/>
          </w:tcPr>
          <w:p w14:paraId="064E13C8" w14:textId="53CBD849"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Hancock, 2015</w:t>
            </w:r>
          </w:p>
        </w:tc>
        <w:tc>
          <w:tcPr>
            <w:tcW w:w="6753" w:type="dxa"/>
            <w:hideMark/>
          </w:tcPr>
          <w:p w14:paraId="7C598CA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Oxygen, water, food, fuel and materials, the nitrogen and phosphorus cycles, waste decomposition and recycling, climate stability and protection from UV radiation</w:t>
            </w:r>
          </w:p>
        </w:tc>
      </w:tr>
      <w:tr w:rsidR="00CE3A08" w:rsidRPr="00CE3A08" w14:paraId="1ADFC1B9" w14:textId="77777777" w:rsidTr="00B8701B">
        <w:trPr>
          <w:trHeight w:val="978"/>
        </w:trPr>
        <w:tc>
          <w:tcPr>
            <w:tcW w:w="2263" w:type="dxa"/>
            <w:noWrap/>
            <w:hideMark/>
          </w:tcPr>
          <w:p w14:paraId="7E7F99F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Hancock et al, 2022</w:t>
            </w:r>
          </w:p>
        </w:tc>
        <w:tc>
          <w:tcPr>
            <w:tcW w:w="6753" w:type="dxa"/>
            <w:hideMark/>
          </w:tcPr>
          <w:p w14:paraId="0042B9D5" w14:textId="3DCDC2F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Air, water and food, ozon</w:t>
            </w:r>
            <w:r>
              <w:rPr>
                <w:rFonts w:ascii="Times New Roman" w:hAnsi="Times New Roman" w:cs="Times New Roman"/>
                <w:sz w:val="16"/>
                <w:szCs w:val="16"/>
              </w:rPr>
              <w:t>e</w:t>
            </w:r>
            <w:r w:rsidRPr="00CE3A08">
              <w:rPr>
                <w:rFonts w:ascii="Times New Roman" w:hAnsi="Times New Roman" w:cs="Times New Roman"/>
                <w:sz w:val="16"/>
                <w:szCs w:val="16"/>
              </w:rPr>
              <w:t>, UV radiation, natural cycles, waste, fuels, materials to build our homes, tools and all our goods and infrastructure , acidifying the oceans;  polluting entire ecosystems, heavy metals and plastic and other nano-particles,  using renewable resources at unsustainable rates (e.g., freshwater, forests, fisheries,</w:t>
            </w:r>
            <w:r>
              <w:rPr>
                <w:rFonts w:ascii="Times New Roman" w:hAnsi="Times New Roman" w:cs="Times New Roman"/>
                <w:sz w:val="16"/>
                <w:szCs w:val="16"/>
              </w:rPr>
              <w:t xml:space="preserve"> </w:t>
            </w:r>
            <w:r w:rsidRPr="00CE3A08">
              <w:rPr>
                <w:rFonts w:ascii="Times New Roman" w:hAnsi="Times New Roman" w:cs="Times New Roman"/>
                <w:sz w:val="16"/>
                <w:szCs w:val="16"/>
              </w:rPr>
              <w:t>soils and farmlands), depleting some key non-renewable resources (e.g., fossil fuels, some minerals)</w:t>
            </w:r>
          </w:p>
        </w:tc>
      </w:tr>
      <w:tr w:rsidR="00CE3A08" w:rsidRPr="00CE3A08" w14:paraId="7F948CF9" w14:textId="77777777" w:rsidTr="00B8701B">
        <w:trPr>
          <w:trHeight w:val="411"/>
        </w:trPr>
        <w:tc>
          <w:tcPr>
            <w:tcW w:w="2263" w:type="dxa"/>
            <w:noWrap/>
            <w:hideMark/>
          </w:tcPr>
          <w:p w14:paraId="1517A98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Hancock et al, 2022a</w:t>
            </w:r>
          </w:p>
        </w:tc>
        <w:tc>
          <w:tcPr>
            <w:tcW w:w="6753" w:type="dxa"/>
            <w:hideMark/>
          </w:tcPr>
          <w:p w14:paraId="47CF87A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Water and air quality, food security, microbial diversity in the human microbiome, infectious disease control, pharmaceuticals and traditional medicines,  mental, physical and cultural wellbeing, fuels, materials</w:t>
            </w:r>
          </w:p>
        </w:tc>
      </w:tr>
      <w:tr w:rsidR="00CE3A08" w:rsidRPr="00CE3A08" w14:paraId="5B9E69F9" w14:textId="77777777" w:rsidTr="00B8701B">
        <w:trPr>
          <w:trHeight w:val="275"/>
        </w:trPr>
        <w:tc>
          <w:tcPr>
            <w:tcW w:w="2263" w:type="dxa"/>
            <w:noWrap/>
            <w:hideMark/>
          </w:tcPr>
          <w:p w14:paraId="00F13535" w14:textId="182E577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Hill </w:t>
            </w:r>
            <w:r w:rsidR="00157795">
              <w:rPr>
                <w:rFonts w:ascii="Times New Roman" w:hAnsi="Times New Roman" w:cs="Times New Roman"/>
                <w:sz w:val="16"/>
                <w:szCs w:val="16"/>
              </w:rPr>
              <w:t>and Mad Plume</w:t>
            </w:r>
            <w:r w:rsidRPr="00CE3A08">
              <w:rPr>
                <w:rFonts w:ascii="Times New Roman" w:hAnsi="Times New Roman" w:cs="Times New Roman"/>
                <w:sz w:val="16"/>
                <w:szCs w:val="16"/>
              </w:rPr>
              <w:t>, 2024</w:t>
            </w:r>
          </w:p>
        </w:tc>
        <w:tc>
          <w:tcPr>
            <w:tcW w:w="6753" w:type="dxa"/>
            <w:hideMark/>
          </w:tcPr>
          <w:p w14:paraId="4092D266" w14:textId="12F20CA9"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Ecological grief, environmental habitability,  land, community, and ancestors, climate change</w:t>
            </w:r>
          </w:p>
        </w:tc>
      </w:tr>
      <w:tr w:rsidR="00CE3A08" w:rsidRPr="00CE3A08" w14:paraId="498C5570" w14:textId="77777777" w:rsidTr="00B8701B">
        <w:trPr>
          <w:trHeight w:val="562"/>
        </w:trPr>
        <w:tc>
          <w:tcPr>
            <w:tcW w:w="2263" w:type="dxa"/>
            <w:noWrap/>
            <w:hideMark/>
          </w:tcPr>
          <w:p w14:paraId="67544F5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Hossain et al, 2025</w:t>
            </w:r>
          </w:p>
        </w:tc>
        <w:tc>
          <w:tcPr>
            <w:tcW w:w="6753" w:type="dxa"/>
            <w:hideMark/>
          </w:tcPr>
          <w:p w14:paraId="2875C827" w14:textId="20D11451"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Proximity between plant pathogens and humans or animals, whether through direct contact, contamination, or consuming contaminated foods, contamination of drugs, medical devices, and healthcare products by plant pathogens. everyday foods, where phytopathogens in contaminated fruits, vegetables, and grains</w:t>
            </w:r>
          </w:p>
        </w:tc>
      </w:tr>
      <w:tr w:rsidR="00CE3A08" w:rsidRPr="00CE3A08" w14:paraId="6AB37145" w14:textId="77777777" w:rsidTr="00B8701B">
        <w:trPr>
          <w:trHeight w:val="698"/>
        </w:trPr>
        <w:tc>
          <w:tcPr>
            <w:tcW w:w="2263" w:type="dxa"/>
            <w:noWrap/>
            <w:hideMark/>
          </w:tcPr>
          <w:p w14:paraId="27B6784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Hunynen et al, 2005</w:t>
            </w:r>
          </w:p>
        </w:tc>
        <w:tc>
          <w:tcPr>
            <w:tcW w:w="6753" w:type="dxa"/>
            <w:hideMark/>
          </w:tcPr>
          <w:p w14:paraId="1E31771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Ecological setting (ecosystem, climate), ecosystem goods and services (habitat, information, production, regulation),  physical environment (quality of the living environment - biotic, physical and chemical factors, unintended injuries), food and water (sufficient quantity, sufficient quality, sanitation), social environment (social support and informal care Intended injuries and abuse/violence)</w:t>
            </w:r>
          </w:p>
        </w:tc>
      </w:tr>
      <w:tr w:rsidR="00CE3A08" w:rsidRPr="00CE3A08" w14:paraId="6AC1A905" w14:textId="77777777" w:rsidTr="00B8701B">
        <w:trPr>
          <w:trHeight w:val="242"/>
        </w:trPr>
        <w:tc>
          <w:tcPr>
            <w:tcW w:w="2263" w:type="dxa"/>
            <w:noWrap/>
            <w:hideMark/>
          </w:tcPr>
          <w:p w14:paraId="010D46D3"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Jackson, 2017</w:t>
            </w:r>
          </w:p>
        </w:tc>
        <w:tc>
          <w:tcPr>
            <w:tcW w:w="6753" w:type="dxa"/>
            <w:hideMark/>
          </w:tcPr>
          <w:p w14:paraId="7562CF8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Clean water and sanitation, affordable and clean energy, climate action, life below water and life on land</w:t>
            </w:r>
          </w:p>
        </w:tc>
      </w:tr>
      <w:tr w:rsidR="00CE3A08" w:rsidRPr="00CE3A08" w14:paraId="09A971D1" w14:textId="77777777" w:rsidTr="00B8701B">
        <w:trPr>
          <w:trHeight w:val="259"/>
        </w:trPr>
        <w:tc>
          <w:tcPr>
            <w:tcW w:w="2263" w:type="dxa"/>
            <w:noWrap/>
            <w:hideMark/>
          </w:tcPr>
          <w:p w14:paraId="227E04C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Jenkins, 2025</w:t>
            </w:r>
          </w:p>
        </w:tc>
        <w:tc>
          <w:tcPr>
            <w:tcW w:w="6753" w:type="dxa"/>
            <w:hideMark/>
          </w:tcPr>
          <w:p w14:paraId="578AFA19"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Watershed quality, reef vitality, forest restoration, and biodiversity</w:t>
            </w:r>
          </w:p>
        </w:tc>
      </w:tr>
      <w:tr w:rsidR="00CE3A08" w:rsidRPr="00CE3A08" w14:paraId="41F584DD" w14:textId="77777777" w:rsidTr="00B8701B">
        <w:trPr>
          <w:trHeight w:val="135"/>
        </w:trPr>
        <w:tc>
          <w:tcPr>
            <w:tcW w:w="2263" w:type="dxa"/>
            <w:noWrap/>
            <w:hideMark/>
          </w:tcPr>
          <w:p w14:paraId="44802582" w14:textId="278C045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Kalolo </w:t>
            </w:r>
            <w:r w:rsidR="00157795">
              <w:rPr>
                <w:rFonts w:ascii="Times New Roman" w:hAnsi="Times New Roman" w:cs="Times New Roman"/>
                <w:sz w:val="16"/>
                <w:szCs w:val="16"/>
              </w:rPr>
              <w:t>and Kibusi</w:t>
            </w:r>
            <w:r w:rsidRPr="00CE3A08">
              <w:rPr>
                <w:rFonts w:ascii="Times New Roman" w:hAnsi="Times New Roman" w:cs="Times New Roman"/>
                <w:sz w:val="16"/>
                <w:szCs w:val="16"/>
              </w:rPr>
              <w:t>, 2015</w:t>
            </w:r>
          </w:p>
        </w:tc>
        <w:tc>
          <w:tcPr>
            <w:tcW w:w="6753" w:type="dxa"/>
            <w:hideMark/>
          </w:tcPr>
          <w:p w14:paraId="032BCA1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Environment</w:t>
            </w:r>
          </w:p>
        </w:tc>
      </w:tr>
      <w:tr w:rsidR="00CE3A08" w:rsidRPr="00CE3A08" w14:paraId="1FC1BFCE" w14:textId="77777777" w:rsidTr="00B8701B">
        <w:trPr>
          <w:trHeight w:val="1074"/>
        </w:trPr>
        <w:tc>
          <w:tcPr>
            <w:tcW w:w="2263" w:type="dxa"/>
            <w:noWrap/>
            <w:hideMark/>
          </w:tcPr>
          <w:p w14:paraId="02F6F353" w14:textId="6F1E72D8"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Kathe</w:t>
            </w:r>
            <w:r w:rsidR="00157795">
              <w:rPr>
                <w:rFonts w:ascii="Times New Roman" w:hAnsi="Times New Roman" w:cs="Times New Roman"/>
                <w:sz w:val="16"/>
                <w:szCs w:val="16"/>
              </w:rPr>
              <w:t xml:space="preserve"> and</w:t>
            </w:r>
            <w:r w:rsidRPr="00CE3A08">
              <w:rPr>
                <w:rFonts w:ascii="Times New Roman" w:hAnsi="Times New Roman" w:cs="Times New Roman"/>
                <w:sz w:val="16"/>
                <w:szCs w:val="16"/>
              </w:rPr>
              <w:t xml:space="preserve"> </w:t>
            </w:r>
            <w:r w:rsidR="00157795">
              <w:rPr>
                <w:rFonts w:ascii="Times New Roman" w:hAnsi="Times New Roman" w:cs="Times New Roman"/>
                <w:sz w:val="16"/>
                <w:szCs w:val="16"/>
              </w:rPr>
              <w:t>Wani</w:t>
            </w:r>
            <w:r w:rsidRPr="00CE3A08">
              <w:rPr>
                <w:rFonts w:ascii="Times New Roman" w:hAnsi="Times New Roman" w:cs="Times New Roman"/>
                <w:sz w:val="16"/>
                <w:szCs w:val="16"/>
              </w:rPr>
              <w:t>, 2021</w:t>
            </w:r>
          </w:p>
        </w:tc>
        <w:tc>
          <w:tcPr>
            <w:tcW w:w="6753" w:type="dxa"/>
            <w:hideMark/>
          </w:tcPr>
          <w:p w14:paraId="56E163E2" w14:textId="1D266256"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Policy, health behaviours, socio-economic, physical environment, and clinical care, health behaviours,  low-birth weight, percent diabetes prevalence, and premature age-adjusted mortality. Secondly, nursing</w:t>
            </w:r>
            <w:r w:rsidRPr="00CE3A08">
              <w:rPr>
                <w:rFonts w:ascii="Times New Roman" w:hAnsi="Times New Roman" w:cs="Times New Roman"/>
                <w:sz w:val="16"/>
                <w:szCs w:val="16"/>
              </w:rPr>
              <w:br/>
              <w:t>home beds, long-term care beds,  total hospital beds,</w:t>
            </w:r>
            <w:r>
              <w:rPr>
                <w:rFonts w:ascii="Times New Roman" w:hAnsi="Times New Roman" w:cs="Times New Roman"/>
                <w:sz w:val="16"/>
                <w:szCs w:val="16"/>
              </w:rPr>
              <w:t xml:space="preserve"> </w:t>
            </w:r>
            <w:r w:rsidRPr="00CE3A08">
              <w:rPr>
                <w:rFonts w:ascii="Times New Roman" w:hAnsi="Times New Roman" w:cs="Times New Roman"/>
                <w:sz w:val="16"/>
                <w:szCs w:val="16"/>
              </w:rPr>
              <w:t>rurality, poverty, age distribution, population, population density, supplemental nutritional assistance program  eligibility, percentage of workforce in various occupational categories w percentage of workers using public transport,  month of first infection in the county, positivity rate for COVID-19 at the state-level, social distancing score, and stringency index</w:t>
            </w:r>
          </w:p>
        </w:tc>
      </w:tr>
      <w:tr w:rsidR="00CE3A08" w:rsidRPr="00CE3A08" w14:paraId="66C8685C" w14:textId="77777777" w:rsidTr="00B8701B">
        <w:trPr>
          <w:trHeight w:val="537"/>
        </w:trPr>
        <w:tc>
          <w:tcPr>
            <w:tcW w:w="2263" w:type="dxa"/>
            <w:noWrap/>
            <w:hideMark/>
          </w:tcPr>
          <w:p w14:paraId="66E7FF2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Keeney et al, 2023</w:t>
            </w:r>
          </w:p>
        </w:tc>
        <w:tc>
          <w:tcPr>
            <w:tcW w:w="6753" w:type="dxa"/>
            <w:hideMark/>
          </w:tcPr>
          <w:p w14:paraId="6D335EC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Food Environment Index, severe housing problem (e.g., overcrowding, lack of facilities), average number of mentally unhealthy days reported in past 30 days, the number of deaths due to injury per 100,000 population, the percentage of population living in a rural area</w:t>
            </w:r>
          </w:p>
        </w:tc>
      </w:tr>
      <w:tr w:rsidR="00CE3A08" w:rsidRPr="00CE3A08" w14:paraId="12F50CD0" w14:textId="77777777" w:rsidTr="00B8701B">
        <w:trPr>
          <w:trHeight w:val="247"/>
        </w:trPr>
        <w:tc>
          <w:tcPr>
            <w:tcW w:w="2263" w:type="dxa"/>
            <w:noWrap/>
            <w:hideMark/>
          </w:tcPr>
          <w:p w14:paraId="315890B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Khalil et al, 2017</w:t>
            </w:r>
          </w:p>
        </w:tc>
        <w:tc>
          <w:tcPr>
            <w:tcW w:w="6753" w:type="dxa"/>
            <w:hideMark/>
          </w:tcPr>
          <w:p w14:paraId="2DB4FA5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Changing climate conditions, environmental degradation, global warming, loss of biodiversity</w:t>
            </w:r>
          </w:p>
        </w:tc>
      </w:tr>
      <w:tr w:rsidR="00CE3A08" w:rsidRPr="00CE3A08" w14:paraId="4D412340" w14:textId="77777777" w:rsidTr="00B8701B">
        <w:trPr>
          <w:trHeight w:val="421"/>
        </w:trPr>
        <w:tc>
          <w:tcPr>
            <w:tcW w:w="2263" w:type="dxa"/>
            <w:noWrap/>
            <w:hideMark/>
          </w:tcPr>
          <w:p w14:paraId="5DF9514A" w14:textId="1C94C3C6"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Kusumayati </w:t>
            </w:r>
            <w:r w:rsidR="00157795">
              <w:rPr>
                <w:rFonts w:ascii="Times New Roman" w:hAnsi="Times New Roman" w:cs="Times New Roman"/>
                <w:sz w:val="16"/>
                <w:szCs w:val="16"/>
              </w:rPr>
              <w:t>and Gross</w:t>
            </w:r>
            <w:r w:rsidRPr="00CE3A08">
              <w:rPr>
                <w:rFonts w:ascii="Times New Roman" w:hAnsi="Times New Roman" w:cs="Times New Roman"/>
                <w:sz w:val="16"/>
                <w:szCs w:val="16"/>
              </w:rPr>
              <w:t>, 1998</w:t>
            </w:r>
          </w:p>
        </w:tc>
        <w:tc>
          <w:tcPr>
            <w:tcW w:w="6753" w:type="dxa"/>
            <w:hideMark/>
          </w:tcPr>
          <w:p w14:paraId="40B079E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(average annual fall), soil characteristics (soil type), total agricultural area, currently cultivated agricultural area, rice field area,  perennial cultivation area</w:t>
            </w:r>
          </w:p>
        </w:tc>
      </w:tr>
      <w:tr w:rsidR="00CE3A08" w:rsidRPr="00CE3A08" w14:paraId="0DE2947B" w14:textId="77777777" w:rsidTr="00B8701B">
        <w:trPr>
          <w:trHeight w:val="554"/>
        </w:trPr>
        <w:tc>
          <w:tcPr>
            <w:tcW w:w="2263" w:type="dxa"/>
            <w:noWrap/>
            <w:hideMark/>
          </w:tcPr>
          <w:p w14:paraId="56F23F0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Langmaid et al, 2021</w:t>
            </w:r>
          </w:p>
        </w:tc>
        <w:tc>
          <w:tcPr>
            <w:tcW w:w="6753" w:type="dxa"/>
            <w:hideMark/>
          </w:tcPr>
          <w:p w14:paraId="26686475" w14:textId="4E8176E9"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Oxygen, water, food, materials and other protective mechanisms of the ecosystem, climate change, biodiversity, ecotoxicity, ocean acidification and resource depletion, air pollution, biodiversity loss, land conversion, biochemical flows</w:t>
            </w:r>
          </w:p>
        </w:tc>
      </w:tr>
      <w:tr w:rsidR="00CE3A08" w:rsidRPr="00CE3A08" w14:paraId="51D9EFAB" w14:textId="77777777" w:rsidTr="00B8701B">
        <w:trPr>
          <w:trHeight w:val="562"/>
        </w:trPr>
        <w:tc>
          <w:tcPr>
            <w:tcW w:w="2263" w:type="dxa"/>
            <w:noWrap/>
            <w:hideMark/>
          </w:tcPr>
          <w:p w14:paraId="4866DA1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Lawes et al, 2015</w:t>
            </w:r>
          </w:p>
        </w:tc>
        <w:tc>
          <w:tcPr>
            <w:tcW w:w="6753" w:type="dxa"/>
            <w:hideMark/>
          </w:tcPr>
          <w:p w14:paraId="2CC9B96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Monthly antibiotic use, MRSA admission screening (and importation pressures, hand hygiene and environmental cleaning programmes (instrumental variables), mean length of stay (days) and bed occupancy, MRSA prevalence in other populations</w:t>
            </w:r>
          </w:p>
        </w:tc>
      </w:tr>
      <w:tr w:rsidR="00CE3A08" w:rsidRPr="00CE3A08" w14:paraId="46331106" w14:textId="77777777" w:rsidTr="00B8701B">
        <w:trPr>
          <w:trHeight w:val="556"/>
        </w:trPr>
        <w:tc>
          <w:tcPr>
            <w:tcW w:w="2263" w:type="dxa"/>
            <w:noWrap/>
            <w:hideMark/>
          </w:tcPr>
          <w:p w14:paraId="30CC51C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Lawes et al, 2017</w:t>
            </w:r>
          </w:p>
        </w:tc>
        <w:tc>
          <w:tcPr>
            <w:tcW w:w="6753" w:type="dxa"/>
            <w:hideMark/>
          </w:tcPr>
          <w:p w14:paraId="296942C4" w14:textId="303CF0A2"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Antibiotic use, infection prevention and control measures, prevalence density of norovirus, mean length of stay monthly antibiotic consumption,  inpatient age, percentage of occupied daily doses, primary care use of H2-receptor antagonists and proton</w:t>
            </w:r>
            <w:r>
              <w:rPr>
                <w:rFonts w:ascii="Times New Roman" w:hAnsi="Times New Roman" w:cs="Times New Roman"/>
                <w:sz w:val="16"/>
                <w:szCs w:val="16"/>
              </w:rPr>
              <w:t xml:space="preserve"> </w:t>
            </w:r>
            <w:r w:rsidRPr="00CE3A08">
              <w:rPr>
                <w:rFonts w:ascii="Times New Roman" w:hAnsi="Times New Roman" w:cs="Times New Roman"/>
                <w:sz w:val="16"/>
                <w:szCs w:val="16"/>
              </w:rPr>
              <w:t>pump inhibitors</w:t>
            </w:r>
          </w:p>
        </w:tc>
      </w:tr>
      <w:tr w:rsidR="00CE3A08" w:rsidRPr="00CE3A08" w14:paraId="71C896C2" w14:textId="77777777" w:rsidTr="00B8701B">
        <w:trPr>
          <w:trHeight w:val="125"/>
        </w:trPr>
        <w:tc>
          <w:tcPr>
            <w:tcW w:w="2263" w:type="dxa"/>
            <w:noWrap/>
            <w:hideMark/>
          </w:tcPr>
          <w:p w14:paraId="3020F96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Lawson et al, 2015</w:t>
            </w:r>
          </w:p>
        </w:tc>
        <w:tc>
          <w:tcPr>
            <w:tcW w:w="6753" w:type="dxa"/>
            <w:hideMark/>
          </w:tcPr>
          <w:p w14:paraId="7C0BF52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Rainfall</w:t>
            </w:r>
          </w:p>
        </w:tc>
      </w:tr>
      <w:tr w:rsidR="00CE3A08" w:rsidRPr="00CE3A08" w14:paraId="22390E12" w14:textId="77777777" w:rsidTr="00B8701B">
        <w:trPr>
          <w:trHeight w:val="369"/>
        </w:trPr>
        <w:tc>
          <w:tcPr>
            <w:tcW w:w="2263" w:type="dxa"/>
            <w:noWrap/>
            <w:hideMark/>
          </w:tcPr>
          <w:p w14:paraId="374C762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Lee et al, 2025</w:t>
            </w:r>
          </w:p>
        </w:tc>
        <w:tc>
          <w:tcPr>
            <w:tcW w:w="6753" w:type="dxa"/>
            <w:hideMark/>
          </w:tcPr>
          <w:p w14:paraId="0B5DA2B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Household crowding, water source,  hygiene index, excrement near house level, garbage disposal containment, garbage disposal method, toilet privacy, usual source of drinking water</w:t>
            </w:r>
          </w:p>
        </w:tc>
      </w:tr>
      <w:tr w:rsidR="00CE3A08" w:rsidRPr="00CE3A08" w14:paraId="36FA0095" w14:textId="77777777" w:rsidTr="00B8701B">
        <w:trPr>
          <w:trHeight w:val="403"/>
        </w:trPr>
        <w:tc>
          <w:tcPr>
            <w:tcW w:w="2263" w:type="dxa"/>
            <w:noWrap/>
            <w:hideMark/>
          </w:tcPr>
          <w:p w14:paraId="01DD811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Li et al, 2020</w:t>
            </w:r>
          </w:p>
        </w:tc>
        <w:tc>
          <w:tcPr>
            <w:tcW w:w="6753" w:type="dxa"/>
            <w:hideMark/>
          </w:tcPr>
          <w:p w14:paraId="29AEEE5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Per capita income, the proportion of pregnant women who delivered in hospitals, the proportion of pregnant women who had at least 5 check-ups</w:t>
            </w:r>
          </w:p>
        </w:tc>
      </w:tr>
      <w:tr w:rsidR="00CE3A08" w:rsidRPr="00CE3A08" w14:paraId="06CD76C8" w14:textId="77777777" w:rsidTr="00B8701B">
        <w:trPr>
          <w:trHeight w:val="139"/>
        </w:trPr>
        <w:tc>
          <w:tcPr>
            <w:tcW w:w="2263" w:type="dxa"/>
            <w:noWrap/>
            <w:hideMark/>
          </w:tcPr>
          <w:p w14:paraId="2FF52C7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Li et al, 2023</w:t>
            </w:r>
          </w:p>
        </w:tc>
        <w:tc>
          <w:tcPr>
            <w:tcW w:w="6753" w:type="dxa"/>
            <w:hideMark/>
          </w:tcPr>
          <w:p w14:paraId="6BB7D75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Shift in pig farming patterns from backyard to large-scale intensive practices, sanitary toilet revolution</w:t>
            </w:r>
          </w:p>
        </w:tc>
      </w:tr>
      <w:tr w:rsidR="00CE3A08" w:rsidRPr="00CE3A08" w14:paraId="4DF2D35C" w14:textId="77777777" w:rsidTr="00B8701B">
        <w:trPr>
          <w:trHeight w:val="1644"/>
        </w:trPr>
        <w:tc>
          <w:tcPr>
            <w:tcW w:w="2263" w:type="dxa"/>
            <w:noWrap/>
            <w:hideMark/>
          </w:tcPr>
          <w:p w14:paraId="13529D7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Li, 2017</w:t>
            </w:r>
          </w:p>
        </w:tc>
        <w:tc>
          <w:tcPr>
            <w:tcW w:w="6753" w:type="dxa"/>
            <w:hideMark/>
          </w:tcPr>
          <w:p w14:paraId="636FAAA8" w14:textId="3476F7E1"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Physical: air, water, soil, housing, climate, geography, heat, light, noise, debris, radiation; biological: man, viruses, microbial agents, insects, rodents, animals and plants, psychosocial: cultural values, customs, beliefs, habits, attitudes, morals, religion, education, lifestyles, community life, health services, social and political organizations; climate change, stratospheric ozone depletion, loss of biodiversity, changes in hydrological systems and the supplies of freshwater, land degradation and stresses on food-producing system; Higher mean of global temperatures that can lead to increase water-borne, food-borne and vector-borne diseases, sea level rise, climate change, drought, desertification and/or flooding; acid emissions affect ocean and freshwater acidification; soil acidification;  air, water and soil pollutions and eco-toxicity by persistent organic pollutants; resource depletion both from renewable and non-renewable resources</w:t>
            </w:r>
          </w:p>
        </w:tc>
      </w:tr>
      <w:tr w:rsidR="00CE3A08" w:rsidRPr="00CE3A08" w14:paraId="5A623C6B" w14:textId="77777777" w:rsidTr="00B8701B">
        <w:trPr>
          <w:trHeight w:val="123"/>
        </w:trPr>
        <w:tc>
          <w:tcPr>
            <w:tcW w:w="2263" w:type="dxa"/>
            <w:noWrap/>
            <w:hideMark/>
          </w:tcPr>
          <w:p w14:paraId="77A35293" w14:textId="15FCE39B"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Lisitza</w:t>
            </w:r>
            <w:r w:rsidR="00157795">
              <w:rPr>
                <w:rFonts w:ascii="Times New Roman" w:hAnsi="Times New Roman" w:cs="Times New Roman"/>
                <w:sz w:val="16"/>
                <w:szCs w:val="16"/>
              </w:rPr>
              <w:t xml:space="preserve"> and Wolbring</w:t>
            </w:r>
            <w:r w:rsidRPr="00CE3A08">
              <w:rPr>
                <w:rFonts w:ascii="Times New Roman" w:hAnsi="Times New Roman" w:cs="Times New Roman"/>
                <w:sz w:val="16"/>
                <w:szCs w:val="16"/>
              </w:rPr>
              <w:t>, 2018</w:t>
            </w:r>
          </w:p>
        </w:tc>
        <w:tc>
          <w:tcPr>
            <w:tcW w:w="6753" w:type="dxa"/>
            <w:hideMark/>
          </w:tcPr>
          <w:p w14:paraId="4FA3CFA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bio-physical changes, agricultural practices, watershed management</w:t>
            </w:r>
          </w:p>
        </w:tc>
      </w:tr>
      <w:tr w:rsidR="000E3B0D" w:rsidRPr="00CE3A08" w14:paraId="7B82FC87" w14:textId="77777777" w:rsidTr="00B8701B">
        <w:trPr>
          <w:trHeight w:val="557"/>
        </w:trPr>
        <w:tc>
          <w:tcPr>
            <w:tcW w:w="2263" w:type="dxa"/>
            <w:noWrap/>
          </w:tcPr>
          <w:p w14:paraId="2AB935AB" w14:textId="184DEF8F" w:rsidR="000E3B0D" w:rsidRPr="00CE3A08" w:rsidRDefault="000E3B0D" w:rsidP="00CE3A08">
            <w:pPr>
              <w:rPr>
                <w:rFonts w:ascii="Times New Roman" w:hAnsi="Times New Roman" w:cs="Times New Roman"/>
                <w:sz w:val="16"/>
                <w:szCs w:val="16"/>
              </w:rPr>
            </w:pPr>
            <w:r>
              <w:rPr>
                <w:rFonts w:ascii="Times New Roman" w:hAnsi="Times New Roman" w:cs="Times New Roman"/>
                <w:sz w:val="16"/>
                <w:szCs w:val="16"/>
              </w:rPr>
              <w:t>Lokmic-Tomkins et al., 2024</w:t>
            </w:r>
          </w:p>
        </w:tc>
        <w:tc>
          <w:tcPr>
            <w:tcW w:w="6753" w:type="dxa"/>
          </w:tcPr>
          <w:p w14:paraId="1E4C987F" w14:textId="011EA761" w:rsidR="000E3B0D" w:rsidRPr="00CE3A08" w:rsidRDefault="000E3B0D" w:rsidP="00CE3A08">
            <w:pPr>
              <w:rPr>
                <w:rFonts w:ascii="Times New Roman" w:hAnsi="Times New Roman" w:cs="Times New Roman"/>
                <w:sz w:val="16"/>
                <w:szCs w:val="16"/>
              </w:rPr>
            </w:pPr>
            <w:r>
              <w:rPr>
                <w:rFonts w:ascii="Times New Roman" w:hAnsi="Times New Roman" w:cs="Times New Roman"/>
                <w:sz w:val="16"/>
                <w:szCs w:val="16"/>
              </w:rPr>
              <w:t>Water, air, soil, food, natural resources, habitable climate, human activities</w:t>
            </w:r>
          </w:p>
        </w:tc>
      </w:tr>
      <w:tr w:rsidR="00CE3A08" w:rsidRPr="00CE3A08" w14:paraId="6E3E3BD9" w14:textId="77777777" w:rsidTr="00B8701B">
        <w:trPr>
          <w:trHeight w:val="557"/>
        </w:trPr>
        <w:tc>
          <w:tcPr>
            <w:tcW w:w="2263" w:type="dxa"/>
            <w:noWrap/>
            <w:hideMark/>
          </w:tcPr>
          <w:p w14:paraId="05B4AD4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lastRenderedPageBreak/>
              <w:t>Mahfouz et al, 1997</w:t>
            </w:r>
          </w:p>
        </w:tc>
        <w:tc>
          <w:tcPr>
            <w:tcW w:w="6753" w:type="dxa"/>
            <w:hideMark/>
          </w:tcPr>
          <w:p w14:paraId="7F68B03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Having pools of sewage and/or water surrounding houses, shared toilets with other families, toilets are just a hole in one corner, lacking tap water inside the dwelling, storage of drinking water in plastic or tin containers,  disposal of human excreta in septic tanks very close to the dwelling</w:t>
            </w:r>
          </w:p>
        </w:tc>
      </w:tr>
      <w:tr w:rsidR="00CE3A08" w:rsidRPr="00CE3A08" w14:paraId="6C0F4425" w14:textId="77777777" w:rsidTr="00B8701B">
        <w:trPr>
          <w:trHeight w:val="410"/>
        </w:trPr>
        <w:tc>
          <w:tcPr>
            <w:tcW w:w="2263" w:type="dxa"/>
            <w:noWrap/>
            <w:hideMark/>
          </w:tcPr>
          <w:p w14:paraId="648AE14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Mahmoudi Nezhad et al, 2019</w:t>
            </w:r>
          </w:p>
        </w:tc>
        <w:tc>
          <w:tcPr>
            <w:tcW w:w="6753" w:type="dxa"/>
            <w:hideMark/>
          </w:tcPr>
          <w:p w14:paraId="3EF22F59"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Density of specialists, density of subspecialists, duration of diabetes, site of study sampling, proportion of diabetics with controlled HbA1c</w:t>
            </w:r>
          </w:p>
        </w:tc>
      </w:tr>
      <w:tr w:rsidR="00CE3A08" w:rsidRPr="00CE3A08" w14:paraId="771ADDF7" w14:textId="77777777" w:rsidTr="00B8701B">
        <w:trPr>
          <w:trHeight w:val="132"/>
        </w:trPr>
        <w:tc>
          <w:tcPr>
            <w:tcW w:w="2263" w:type="dxa"/>
            <w:noWrap/>
            <w:hideMark/>
          </w:tcPr>
          <w:p w14:paraId="20B61EF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Maibach, 2024</w:t>
            </w:r>
          </w:p>
        </w:tc>
        <w:tc>
          <w:tcPr>
            <w:tcW w:w="6753" w:type="dxa"/>
            <w:hideMark/>
          </w:tcPr>
          <w:p w14:paraId="05CF271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the choices of fuel</w:t>
            </w:r>
          </w:p>
        </w:tc>
      </w:tr>
      <w:tr w:rsidR="00CE3A08" w:rsidRPr="00CE3A08" w14:paraId="5C71D0CA" w14:textId="77777777" w:rsidTr="00B8701B">
        <w:trPr>
          <w:trHeight w:val="234"/>
        </w:trPr>
        <w:tc>
          <w:tcPr>
            <w:tcW w:w="2263" w:type="dxa"/>
            <w:noWrap/>
            <w:hideMark/>
          </w:tcPr>
          <w:p w14:paraId="5CC2334E" w14:textId="12059CEB"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w:t>
            </w:r>
            <w:r w:rsidR="001F3EE2">
              <w:rPr>
                <w:rFonts w:ascii="Times New Roman" w:hAnsi="Times New Roman" w:cs="Times New Roman"/>
                <w:sz w:val="16"/>
                <w:szCs w:val="16"/>
              </w:rPr>
              <w:t>a</w:t>
            </w:r>
            <w:r w:rsidRPr="00CE3A08">
              <w:rPr>
                <w:rFonts w:ascii="Times New Roman" w:hAnsi="Times New Roman" w:cs="Times New Roman"/>
                <w:sz w:val="16"/>
                <w:szCs w:val="16"/>
              </w:rPr>
              <w:t>loney et al, 1991</w:t>
            </w:r>
          </w:p>
        </w:tc>
        <w:tc>
          <w:tcPr>
            <w:tcW w:w="6753" w:type="dxa"/>
            <w:hideMark/>
          </w:tcPr>
          <w:p w14:paraId="21372AC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Rainfall, crop-growing areas, population density, and additional measures of urbanization</w:t>
            </w:r>
          </w:p>
        </w:tc>
      </w:tr>
      <w:tr w:rsidR="00CE3A08" w:rsidRPr="00CE3A08" w14:paraId="353227A2" w14:textId="77777777" w:rsidTr="00B8701B">
        <w:trPr>
          <w:trHeight w:val="266"/>
        </w:trPr>
        <w:tc>
          <w:tcPr>
            <w:tcW w:w="2263" w:type="dxa"/>
            <w:noWrap/>
            <w:hideMark/>
          </w:tcPr>
          <w:p w14:paraId="1563B8D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Morou-Bermudez et al, 2015</w:t>
            </w:r>
          </w:p>
        </w:tc>
        <w:tc>
          <w:tcPr>
            <w:tcW w:w="6753" w:type="dxa"/>
            <w:hideMark/>
          </w:tcPr>
          <w:p w14:paraId="2DB5DED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Alkali production by urease enzymes primarily from species in the family Pasteurellaceae (dental plaque)</w:t>
            </w:r>
          </w:p>
        </w:tc>
      </w:tr>
      <w:tr w:rsidR="00CE3A08" w:rsidRPr="00CE3A08" w14:paraId="24327CCD" w14:textId="77777777" w:rsidTr="00B8701B">
        <w:trPr>
          <w:trHeight w:val="1163"/>
        </w:trPr>
        <w:tc>
          <w:tcPr>
            <w:tcW w:w="2263" w:type="dxa"/>
            <w:noWrap/>
            <w:hideMark/>
          </w:tcPr>
          <w:p w14:paraId="602749AA"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Moutinho et al, 2022</w:t>
            </w:r>
          </w:p>
        </w:tc>
        <w:tc>
          <w:tcPr>
            <w:tcW w:w="6753" w:type="dxa"/>
            <w:hideMark/>
          </w:tcPr>
          <w:p w14:paraId="5E41FA77" w14:textId="2BB3E3DE"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Vector abundance, host abundance, population density, climatic and socioeconomic factors, temperature, precipitation, water bodies, vegetation, wind speed, altitude, land use, water bodies, water depth, normalised difference water index, vegetation, rice field, soil water content, frost day frequency, urbanisation, wealth, life expectancy, accessibility, relative humidity, greenhouse gas emission, light intensity, mean sunshine emission, direction at ground level, GDP, agriculture,  mobility, human population data/ratio, ditch shrimp of the genus Palaemonetes and fish as predators, birds, horses, animals in farms</w:t>
            </w:r>
          </w:p>
        </w:tc>
      </w:tr>
      <w:tr w:rsidR="00CE3A08" w:rsidRPr="00CE3A08" w14:paraId="7DD7F564" w14:textId="77777777" w:rsidTr="00B8701B">
        <w:trPr>
          <w:trHeight w:val="147"/>
        </w:trPr>
        <w:tc>
          <w:tcPr>
            <w:tcW w:w="2263" w:type="dxa"/>
            <w:noWrap/>
            <w:hideMark/>
          </w:tcPr>
          <w:p w14:paraId="3FEA889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Neira et al, 2023</w:t>
            </w:r>
          </w:p>
        </w:tc>
        <w:tc>
          <w:tcPr>
            <w:tcW w:w="6753" w:type="dxa"/>
            <w:hideMark/>
          </w:tcPr>
          <w:p w14:paraId="23869A3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Temperature, precipitation, relative humidity, wind and duration of daylight</w:t>
            </w:r>
          </w:p>
        </w:tc>
      </w:tr>
      <w:tr w:rsidR="00CE3A08" w:rsidRPr="00CE3A08" w14:paraId="3C5B7A33" w14:textId="77777777" w:rsidTr="00B8701B">
        <w:trPr>
          <w:trHeight w:val="1301"/>
        </w:trPr>
        <w:tc>
          <w:tcPr>
            <w:tcW w:w="2263" w:type="dxa"/>
            <w:noWrap/>
            <w:hideMark/>
          </w:tcPr>
          <w:p w14:paraId="60EDF85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Nunes et al, 2021</w:t>
            </w:r>
          </w:p>
        </w:tc>
        <w:tc>
          <w:tcPr>
            <w:tcW w:w="6753" w:type="dxa"/>
            <w:hideMark/>
          </w:tcPr>
          <w:p w14:paraId="245DC50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Sociodemographic/ economic (per capita family income, gross domestic product per capita, municipal human development index, Gini index, and population density), health indicators  (dengue fever incidence rate, chikungunya incidence rate, population coverage of community health agents, and population coverage of endemic disease control agents); environmental indicators (proportion of the population without access to sewage collection and treatment, proportion of the population living in households with piped water, proportion of the population living near a landfill site, average rainfall, and building infestation index for Aedes larvae)</w:t>
            </w:r>
          </w:p>
        </w:tc>
      </w:tr>
      <w:tr w:rsidR="00CE3A08" w:rsidRPr="00CE3A08" w14:paraId="36BF835E" w14:textId="77777777" w:rsidTr="00B8701B">
        <w:trPr>
          <w:trHeight w:val="710"/>
        </w:trPr>
        <w:tc>
          <w:tcPr>
            <w:tcW w:w="2263" w:type="dxa"/>
            <w:noWrap/>
            <w:hideMark/>
          </w:tcPr>
          <w:p w14:paraId="1C6BD145" w14:textId="4AF013D9"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Oswald </w:t>
            </w:r>
            <w:r w:rsidR="001F3EE2">
              <w:rPr>
                <w:rFonts w:ascii="Times New Roman" w:hAnsi="Times New Roman" w:cs="Times New Roman"/>
                <w:sz w:val="16"/>
                <w:szCs w:val="16"/>
              </w:rPr>
              <w:t>and Langmaid</w:t>
            </w:r>
            <w:r w:rsidRPr="00CE3A08">
              <w:rPr>
                <w:rFonts w:ascii="Times New Roman" w:hAnsi="Times New Roman" w:cs="Times New Roman"/>
                <w:sz w:val="16"/>
                <w:szCs w:val="16"/>
              </w:rPr>
              <w:t>, 2022</w:t>
            </w:r>
          </w:p>
        </w:tc>
        <w:tc>
          <w:tcPr>
            <w:tcW w:w="6753" w:type="dxa"/>
            <w:hideMark/>
          </w:tcPr>
          <w:p w14:paraId="6F47F644" w14:textId="66CA339F"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Oxygen, water, food, and a reasonably stable and habitable climate,  risk factors (climate change, natural disasters, extreme weather, pollution - air, noise, etc, urbanisation, high-density living), protective factors (sustainable policies, environmental activism, access to nature, high quality urban greenspaces </w:t>
            </w:r>
            <w:r w:rsidR="00B8701B" w:rsidRPr="00CE3A08">
              <w:rPr>
                <w:rFonts w:ascii="Times New Roman" w:hAnsi="Times New Roman" w:cs="Times New Roman"/>
                <w:sz w:val="16"/>
                <w:szCs w:val="16"/>
              </w:rPr>
              <w:t>and</w:t>
            </w:r>
            <w:r w:rsidRPr="00CE3A08">
              <w:rPr>
                <w:rFonts w:ascii="Times New Roman" w:hAnsi="Times New Roman" w:cs="Times New Roman"/>
                <w:sz w:val="16"/>
                <w:szCs w:val="16"/>
              </w:rPr>
              <w:t xml:space="preserve"> green infrastructure, regular time in nature) </w:t>
            </w:r>
          </w:p>
        </w:tc>
      </w:tr>
      <w:tr w:rsidR="00CE3A08" w:rsidRPr="00CE3A08" w14:paraId="2B2670CC" w14:textId="77777777" w:rsidTr="00B8701B">
        <w:trPr>
          <w:trHeight w:val="380"/>
        </w:trPr>
        <w:tc>
          <w:tcPr>
            <w:tcW w:w="2263" w:type="dxa"/>
            <w:noWrap/>
            <w:hideMark/>
          </w:tcPr>
          <w:p w14:paraId="6C1F7FF1" w14:textId="42D9C2F2"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Pasek</w:t>
            </w:r>
            <w:r w:rsidR="000E3B0D">
              <w:rPr>
                <w:rFonts w:ascii="Times New Roman" w:hAnsi="Times New Roman" w:cs="Times New Roman"/>
                <w:sz w:val="16"/>
                <w:szCs w:val="16"/>
              </w:rPr>
              <w:t xml:space="preserve"> and Saklak</w:t>
            </w:r>
            <w:r w:rsidRPr="00CE3A08">
              <w:rPr>
                <w:rFonts w:ascii="Times New Roman" w:hAnsi="Times New Roman" w:cs="Times New Roman"/>
                <w:sz w:val="16"/>
                <w:szCs w:val="16"/>
              </w:rPr>
              <w:t>, 2017</w:t>
            </w:r>
          </w:p>
        </w:tc>
        <w:tc>
          <w:tcPr>
            <w:tcW w:w="6753" w:type="dxa"/>
            <w:hideMark/>
          </w:tcPr>
          <w:p w14:paraId="0F7C35BE" w14:textId="00C60762"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Air pollution, noise, green spaces, solar and ionizing radiation, water and air humidity, soil, presence of fertilizers and pesticides, altitude, temperature, habitats, climate change</w:t>
            </w:r>
          </w:p>
        </w:tc>
      </w:tr>
      <w:tr w:rsidR="000E3B0D" w:rsidRPr="00CE3A08" w14:paraId="7159EB9D" w14:textId="77777777" w:rsidTr="00B8701B">
        <w:trPr>
          <w:trHeight w:val="131"/>
        </w:trPr>
        <w:tc>
          <w:tcPr>
            <w:tcW w:w="2263" w:type="dxa"/>
            <w:noWrap/>
          </w:tcPr>
          <w:p w14:paraId="5A17CE47" w14:textId="4B3CABFF" w:rsidR="000E3B0D" w:rsidRPr="00CE3A08" w:rsidRDefault="000E3B0D" w:rsidP="00CE3A08">
            <w:pPr>
              <w:rPr>
                <w:rFonts w:ascii="Times New Roman" w:hAnsi="Times New Roman" w:cs="Times New Roman"/>
                <w:sz w:val="16"/>
                <w:szCs w:val="16"/>
              </w:rPr>
            </w:pPr>
            <w:r>
              <w:rPr>
                <w:rFonts w:ascii="Times New Roman" w:hAnsi="Times New Roman" w:cs="Times New Roman"/>
                <w:sz w:val="16"/>
                <w:szCs w:val="16"/>
              </w:rPr>
              <w:t>Parkes et al., 2020</w:t>
            </w:r>
          </w:p>
        </w:tc>
        <w:tc>
          <w:tcPr>
            <w:tcW w:w="6753" w:type="dxa"/>
          </w:tcPr>
          <w:p w14:paraId="5E5155EA" w14:textId="500B3462" w:rsidR="000E3B0D" w:rsidRPr="00CE3A08" w:rsidRDefault="00860A6B" w:rsidP="00860A6B">
            <w:pPr>
              <w:rPr>
                <w:rFonts w:ascii="Times New Roman" w:hAnsi="Times New Roman" w:cs="Times New Roman"/>
                <w:sz w:val="16"/>
                <w:szCs w:val="16"/>
              </w:rPr>
            </w:pPr>
            <w:r>
              <w:rPr>
                <w:rFonts w:ascii="Times New Roman" w:hAnsi="Times New Roman" w:cs="Times New Roman"/>
                <w:sz w:val="16"/>
                <w:szCs w:val="16"/>
              </w:rPr>
              <w:t>C</w:t>
            </w:r>
            <w:r w:rsidRPr="00860A6B">
              <w:rPr>
                <w:rFonts w:ascii="Times New Roman" w:hAnsi="Times New Roman" w:cs="Times New Roman"/>
                <w:sz w:val="16"/>
                <w:szCs w:val="16"/>
              </w:rPr>
              <w:t>limate change, biodiversity</w:t>
            </w:r>
            <w:r>
              <w:rPr>
                <w:rFonts w:ascii="Times New Roman" w:hAnsi="Times New Roman" w:cs="Times New Roman"/>
                <w:sz w:val="16"/>
                <w:szCs w:val="16"/>
              </w:rPr>
              <w:t xml:space="preserve"> </w:t>
            </w:r>
            <w:r w:rsidRPr="00860A6B">
              <w:rPr>
                <w:rFonts w:ascii="Times New Roman" w:hAnsi="Times New Roman" w:cs="Times New Roman"/>
                <w:sz w:val="16"/>
                <w:szCs w:val="16"/>
              </w:rPr>
              <w:t>loss, pollution, ocean acidification and depletion, land</w:t>
            </w:r>
            <w:r>
              <w:rPr>
                <w:rFonts w:ascii="Times New Roman" w:hAnsi="Times New Roman" w:cs="Times New Roman"/>
                <w:sz w:val="16"/>
                <w:szCs w:val="16"/>
              </w:rPr>
              <w:t xml:space="preserve"> </w:t>
            </w:r>
            <w:r w:rsidRPr="00860A6B">
              <w:rPr>
                <w:rFonts w:ascii="Times New Roman" w:hAnsi="Times New Roman" w:cs="Times New Roman"/>
                <w:sz w:val="16"/>
                <w:szCs w:val="16"/>
              </w:rPr>
              <w:t>and water degradation,</w:t>
            </w:r>
            <w:r>
              <w:rPr>
                <w:rFonts w:ascii="Times New Roman" w:hAnsi="Times New Roman" w:cs="Times New Roman"/>
                <w:sz w:val="16"/>
                <w:szCs w:val="16"/>
              </w:rPr>
              <w:t xml:space="preserve"> </w:t>
            </w:r>
            <w:r w:rsidRPr="00860A6B">
              <w:rPr>
                <w:rFonts w:ascii="Times New Roman" w:hAnsi="Times New Roman" w:cs="Times New Roman"/>
                <w:sz w:val="16"/>
                <w:szCs w:val="16"/>
              </w:rPr>
              <w:t>food security</w:t>
            </w:r>
          </w:p>
        </w:tc>
      </w:tr>
      <w:tr w:rsidR="00CE3A08" w:rsidRPr="00CE3A08" w14:paraId="0517281A" w14:textId="77777777" w:rsidTr="00B8701B">
        <w:trPr>
          <w:trHeight w:val="131"/>
        </w:trPr>
        <w:tc>
          <w:tcPr>
            <w:tcW w:w="2263" w:type="dxa"/>
            <w:noWrap/>
            <w:hideMark/>
          </w:tcPr>
          <w:p w14:paraId="7CC2137A" w14:textId="443A5BD3"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Patrick</w:t>
            </w:r>
            <w:r w:rsidR="001F3EE2">
              <w:rPr>
                <w:rFonts w:ascii="Times New Roman" w:hAnsi="Times New Roman" w:cs="Times New Roman"/>
                <w:sz w:val="16"/>
                <w:szCs w:val="16"/>
              </w:rPr>
              <w:t xml:space="preserve"> et al</w:t>
            </w:r>
            <w:r w:rsidRPr="00CE3A08">
              <w:rPr>
                <w:rFonts w:ascii="Times New Roman" w:hAnsi="Times New Roman" w:cs="Times New Roman"/>
                <w:sz w:val="16"/>
                <w:szCs w:val="16"/>
              </w:rPr>
              <w:t>, 2022</w:t>
            </w:r>
          </w:p>
        </w:tc>
        <w:tc>
          <w:tcPr>
            <w:tcW w:w="6753" w:type="dxa"/>
            <w:hideMark/>
          </w:tcPr>
          <w:p w14:paraId="3C723990" w14:textId="21B0DEAC"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environmental degradation</w:t>
            </w:r>
          </w:p>
        </w:tc>
      </w:tr>
      <w:tr w:rsidR="00860A6B" w:rsidRPr="00CE3A08" w14:paraId="2C517C36" w14:textId="77777777" w:rsidTr="00B8701B">
        <w:trPr>
          <w:trHeight w:val="360"/>
        </w:trPr>
        <w:tc>
          <w:tcPr>
            <w:tcW w:w="2263" w:type="dxa"/>
            <w:noWrap/>
          </w:tcPr>
          <w:p w14:paraId="1F5DAFC8" w14:textId="7465A1CB" w:rsidR="00860A6B" w:rsidRPr="00CE3A08" w:rsidRDefault="00860A6B" w:rsidP="00CE3A08">
            <w:pPr>
              <w:rPr>
                <w:rFonts w:ascii="Times New Roman" w:hAnsi="Times New Roman" w:cs="Times New Roman"/>
                <w:sz w:val="16"/>
                <w:szCs w:val="16"/>
              </w:rPr>
            </w:pPr>
            <w:r>
              <w:rPr>
                <w:rFonts w:ascii="Times New Roman" w:hAnsi="Times New Roman" w:cs="Times New Roman"/>
                <w:sz w:val="16"/>
                <w:szCs w:val="16"/>
              </w:rPr>
              <w:t>Partinga et al., 2024</w:t>
            </w:r>
          </w:p>
        </w:tc>
        <w:tc>
          <w:tcPr>
            <w:tcW w:w="6753" w:type="dxa"/>
          </w:tcPr>
          <w:p w14:paraId="682D48DF" w14:textId="6357B0CC" w:rsidR="00860A6B" w:rsidRPr="00CE3A08" w:rsidRDefault="00860A6B" w:rsidP="00CE3A08">
            <w:pPr>
              <w:rPr>
                <w:rFonts w:ascii="Times New Roman" w:hAnsi="Times New Roman" w:cs="Times New Roman"/>
                <w:sz w:val="16"/>
                <w:szCs w:val="16"/>
              </w:rPr>
            </w:pPr>
            <w:r>
              <w:rPr>
                <w:rFonts w:ascii="Times New Roman" w:hAnsi="Times New Roman" w:cs="Times New Roman"/>
                <w:sz w:val="16"/>
                <w:szCs w:val="16"/>
              </w:rPr>
              <w:t>Oxygen, food, water, nutrient cycling</w:t>
            </w:r>
          </w:p>
        </w:tc>
      </w:tr>
      <w:tr w:rsidR="00CE3A08" w:rsidRPr="00CE3A08" w14:paraId="29E910BF" w14:textId="77777777" w:rsidTr="00B8701B">
        <w:trPr>
          <w:trHeight w:val="360"/>
        </w:trPr>
        <w:tc>
          <w:tcPr>
            <w:tcW w:w="2263" w:type="dxa"/>
            <w:noWrap/>
            <w:hideMark/>
          </w:tcPr>
          <w:p w14:paraId="646A184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Qiu et al, 2014</w:t>
            </w:r>
          </w:p>
        </w:tc>
        <w:tc>
          <w:tcPr>
            <w:tcW w:w="6753" w:type="dxa"/>
            <w:hideMark/>
          </w:tcPr>
          <w:p w14:paraId="55333E4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Land use, landscape pattern, normalized difference vegetation index,  wetness index, soil texture, topological data</w:t>
            </w:r>
          </w:p>
        </w:tc>
      </w:tr>
      <w:tr w:rsidR="00CE3A08" w:rsidRPr="00CE3A08" w14:paraId="0A41B140" w14:textId="77777777" w:rsidTr="00B8701B">
        <w:trPr>
          <w:trHeight w:val="267"/>
        </w:trPr>
        <w:tc>
          <w:tcPr>
            <w:tcW w:w="2263" w:type="dxa"/>
            <w:noWrap/>
            <w:hideMark/>
          </w:tcPr>
          <w:p w14:paraId="6D3438E4" w14:textId="640DB04C"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Rahman</w:t>
            </w:r>
            <w:r w:rsidR="001F3EE2">
              <w:rPr>
                <w:rFonts w:ascii="Times New Roman" w:hAnsi="Times New Roman" w:cs="Times New Roman"/>
                <w:sz w:val="16"/>
                <w:szCs w:val="16"/>
              </w:rPr>
              <w:t xml:space="preserve"> and Willott</w:t>
            </w:r>
            <w:r w:rsidRPr="00CE3A08">
              <w:rPr>
                <w:rFonts w:ascii="Times New Roman" w:hAnsi="Times New Roman" w:cs="Times New Roman"/>
                <w:sz w:val="16"/>
                <w:szCs w:val="16"/>
              </w:rPr>
              <w:t>, 2025</w:t>
            </w:r>
          </w:p>
        </w:tc>
        <w:tc>
          <w:tcPr>
            <w:tcW w:w="6753" w:type="dxa"/>
            <w:hideMark/>
          </w:tcPr>
          <w:p w14:paraId="077763F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Air quality, resource scarcity, land use, housing</w:t>
            </w:r>
          </w:p>
        </w:tc>
      </w:tr>
      <w:tr w:rsidR="00CE3A08" w:rsidRPr="00CE3A08" w14:paraId="34E15E19" w14:textId="77777777" w:rsidTr="00B8701B">
        <w:trPr>
          <w:trHeight w:val="412"/>
        </w:trPr>
        <w:tc>
          <w:tcPr>
            <w:tcW w:w="2263" w:type="dxa"/>
            <w:noWrap/>
            <w:hideMark/>
          </w:tcPr>
          <w:p w14:paraId="1539AD8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Reboucas Santos et al, 2019</w:t>
            </w:r>
          </w:p>
        </w:tc>
        <w:tc>
          <w:tcPr>
            <w:tcW w:w="6753" w:type="dxa"/>
            <w:hideMark/>
          </w:tcPr>
          <w:p w14:paraId="60C3069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Tree canopy loss, area with vegetation cover, area covered by water bodies, altitude, precipitation, air relative humidity,  soil moisture, temperature</w:t>
            </w:r>
          </w:p>
        </w:tc>
      </w:tr>
      <w:tr w:rsidR="00CE3A08" w:rsidRPr="00CE3A08" w14:paraId="75C411F9" w14:textId="77777777" w:rsidTr="00B8701B">
        <w:trPr>
          <w:trHeight w:val="277"/>
        </w:trPr>
        <w:tc>
          <w:tcPr>
            <w:tcW w:w="2263" w:type="dxa"/>
            <w:noWrap/>
            <w:hideMark/>
          </w:tcPr>
          <w:p w14:paraId="44E3AD3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Rossi et al, 2024</w:t>
            </w:r>
          </w:p>
        </w:tc>
        <w:tc>
          <w:tcPr>
            <w:tcW w:w="6753" w:type="dxa"/>
            <w:hideMark/>
          </w:tcPr>
          <w:p w14:paraId="6D79D3E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Income inequality</w:t>
            </w:r>
          </w:p>
        </w:tc>
      </w:tr>
      <w:tr w:rsidR="00CE3A08" w:rsidRPr="00CE3A08" w14:paraId="44D4A168" w14:textId="77777777" w:rsidTr="00B8701B">
        <w:trPr>
          <w:trHeight w:val="267"/>
        </w:trPr>
        <w:tc>
          <w:tcPr>
            <w:tcW w:w="2263" w:type="dxa"/>
            <w:noWrap/>
            <w:hideMark/>
          </w:tcPr>
          <w:p w14:paraId="7DF2666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Safdar et al, 2024</w:t>
            </w:r>
          </w:p>
        </w:tc>
        <w:tc>
          <w:tcPr>
            <w:tcW w:w="6753" w:type="dxa"/>
            <w:hideMark/>
          </w:tcPr>
          <w:p w14:paraId="5750763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Wildlife interactions, climate changes, climate, vegetation, and water sources, deforestation, urbanization</w:t>
            </w:r>
          </w:p>
        </w:tc>
      </w:tr>
      <w:tr w:rsidR="00CE3A08" w:rsidRPr="00CE3A08" w14:paraId="3B18890A" w14:textId="77777777" w:rsidTr="00B8701B">
        <w:trPr>
          <w:trHeight w:val="229"/>
        </w:trPr>
        <w:tc>
          <w:tcPr>
            <w:tcW w:w="2263" w:type="dxa"/>
            <w:noWrap/>
            <w:hideMark/>
          </w:tcPr>
          <w:p w14:paraId="2C40E2CE" w14:textId="309586EA"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Sawchuk, 1993</w:t>
            </w:r>
          </w:p>
        </w:tc>
        <w:tc>
          <w:tcPr>
            <w:tcW w:w="6753" w:type="dxa"/>
            <w:hideMark/>
          </w:tcPr>
          <w:p w14:paraId="5049D260"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Rainfall</w:t>
            </w:r>
          </w:p>
        </w:tc>
      </w:tr>
      <w:tr w:rsidR="00CE3A08" w:rsidRPr="00CE3A08" w14:paraId="29F98B76" w14:textId="77777777" w:rsidTr="00B8701B">
        <w:trPr>
          <w:trHeight w:val="417"/>
        </w:trPr>
        <w:tc>
          <w:tcPr>
            <w:tcW w:w="2263" w:type="dxa"/>
            <w:noWrap/>
            <w:hideMark/>
          </w:tcPr>
          <w:p w14:paraId="374E082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Schultz, 2019</w:t>
            </w:r>
          </w:p>
        </w:tc>
        <w:tc>
          <w:tcPr>
            <w:tcW w:w="6753" w:type="dxa"/>
            <w:hideMark/>
          </w:tcPr>
          <w:p w14:paraId="479B402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Clean water and air, safe food supply, species and genetic diversity,  fertile soil, stable climate, safe levels of solar radiation, waste detoxification</w:t>
            </w:r>
          </w:p>
        </w:tc>
      </w:tr>
      <w:tr w:rsidR="00CE3A08" w:rsidRPr="00CE3A08" w14:paraId="174324E8" w14:textId="77777777" w:rsidTr="00B8701B">
        <w:trPr>
          <w:trHeight w:val="408"/>
        </w:trPr>
        <w:tc>
          <w:tcPr>
            <w:tcW w:w="2263" w:type="dxa"/>
            <w:noWrap/>
            <w:hideMark/>
          </w:tcPr>
          <w:p w14:paraId="6567FF89" w14:textId="1CB1DD7D"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Serrezuela</w:t>
            </w:r>
            <w:r w:rsidR="001F3EE2">
              <w:rPr>
                <w:rFonts w:ascii="Times New Roman" w:hAnsi="Times New Roman" w:cs="Times New Roman"/>
                <w:sz w:val="16"/>
                <w:szCs w:val="16"/>
              </w:rPr>
              <w:t xml:space="preserve"> and Pinilla</w:t>
            </w:r>
            <w:r w:rsidRPr="00CE3A08">
              <w:rPr>
                <w:rFonts w:ascii="Times New Roman" w:hAnsi="Times New Roman" w:cs="Times New Roman"/>
                <w:sz w:val="16"/>
                <w:szCs w:val="16"/>
              </w:rPr>
              <w:t>, 2015</w:t>
            </w:r>
          </w:p>
        </w:tc>
        <w:tc>
          <w:tcPr>
            <w:tcW w:w="6753" w:type="dxa"/>
            <w:hideMark/>
          </w:tcPr>
          <w:p w14:paraId="61C32A8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Tree cover,  litter depth,  wind barrier,  distance to the nearest housing, coverage of shrubs, plants, and grasses; characteristics of trees , height, roots, leaves, bark type, and presence of holes in the trunk</w:t>
            </w:r>
          </w:p>
        </w:tc>
      </w:tr>
      <w:tr w:rsidR="00CE3A08" w:rsidRPr="00CE3A08" w14:paraId="02CF86C6" w14:textId="77777777" w:rsidTr="00B8701B">
        <w:trPr>
          <w:trHeight w:val="273"/>
        </w:trPr>
        <w:tc>
          <w:tcPr>
            <w:tcW w:w="2263" w:type="dxa"/>
            <w:noWrap/>
            <w:hideMark/>
          </w:tcPr>
          <w:p w14:paraId="05EBA40A" w14:textId="54AE277B"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Sharma </w:t>
            </w:r>
            <w:r w:rsidR="001F3EE2">
              <w:rPr>
                <w:rFonts w:ascii="Times New Roman" w:hAnsi="Times New Roman" w:cs="Times New Roman"/>
                <w:sz w:val="16"/>
                <w:szCs w:val="16"/>
              </w:rPr>
              <w:t>and Dev</w:t>
            </w:r>
            <w:r w:rsidRPr="00CE3A08">
              <w:rPr>
                <w:rFonts w:ascii="Times New Roman" w:hAnsi="Times New Roman" w:cs="Times New Roman"/>
                <w:sz w:val="16"/>
                <w:szCs w:val="16"/>
              </w:rPr>
              <w:t>, 2015</w:t>
            </w:r>
          </w:p>
        </w:tc>
        <w:tc>
          <w:tcPr>
            <w:tcW w:w="6753" w:type="dxa"/>
            <w:hideMark/>
          </w:tcPr>
          <w:p w14:paraId="3C00B93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Habitats</w:t>
            </w:r>
          </w:p>
        </w:tc>
      </w:tr>
      <w:tr w:rsidR="00CE3A08" w:rsidRPr="00CE3A08" w14:paraId="3457944C" w14:textId="77777777" w:rsidTr="00B8701B">
        <w:trPr>
          <w:trHeight w:val="561"/>
        </w:trPr>
        <w:tc>
          <w:tcPr>
            <w:tcW w:w="2263" w:type="dxa"/>
            <w:noWrap/>
            <w:hideMark/>
          </w:tcPr>
          <w:p w14:paraId="6E720815"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Shaw et al, 2017</w:t>
            </w:r>
          </w:p>
        </w:tc>
        <w:tc>
          <w:tcPr>
            <w:tcW w:w="6753" w:type="dxa"/>
            <w:hideMark/>
          </w:tcPr>
          <w:p w14:paraId="27AD09A4" w14:textId="7C1DBA84"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Access to shops, pedestrian infrastructure, attractiveness of the neighbourhood, presence of greenery or parks, woodland, playing fields, agricultural land, school grounds, bowling greens and open water including lakes, river or canals, dwelling density, intersection density, pensioner density, population density, car stairs</w:t>
            </w:r>
          </w:p>
        </w:tc>
      </w:tr>
      <w:tr w:rsidR="00CE3A08" w:rsidRPr="00CE3A08" w14:paraId="43A25E2E" w14:textId="77777777" w:rsidTr="00B8701B">
        <w:trPr>
          <w:trHeight w:val="129"/>
        </w:trPr>
        <w:tc>
          <w:tcPr>
            <w:tcW w:w="2263" w:type="dxa"/>
            <w:noWrap/>
            <w:hideMark/>
          </w:tcPr>
          <w:p w14:paraId="1EE0F889"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Shek et al, 2023</w:t>
            </w:r>
          </w:p>
        </w:tc>
        <w:tc>
          <w:tcPr>
            <w:tcW w:w="6753" w:type="dxa"/>
            <w:hideMark/>
          </w:tcPr>
          <w:p w14:paraId="37AB59D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Positive and negative family functioning</w:t>
            </w:r>
          </w:p>
        </w:tc>
      </w:tr>
      <w:tr w:rsidR="00CE3A08" w:rsidRPr="00CE3A08" w14:paraId="385BA69B" w14:textId="77777777" w:rsidTr="00B8701B">
        <w:trPr>
          <w:trHeight w:val="217"/>
        </w:trPr>
        <w:tc>
          <w:tcPr>
            <w:tcW w:w="2263" w:type="dxa"/>
            <w:noWrap/>
            <w:hideMark/>
          </w:tcPr>
          <w:p w14:paraId="4703D2B8"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Shill et al, 2021</w:t>
            </w:r>
          </w:p>
        </w:tc>
        <w:tc>
          <w:tcPr>
            <w:tcW w:w="6753" w:type="dxa"/>
            <w:hideMark/>
          </w:tcPr>
          <w:p w14:paraId="78B7A5A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Clean air, fertile soils, fresh water, marine aquatic systems, plants and animals</w:t>
            </w:r>
          </w:p>
        </w:tc>
      </w:tr>
      <w:tr w:rsidR="00CE3A08" w:rsidRPr="00CE3A08" w14:paraId="3BD84DB3" w14:textId="77777777" w:rsidTr="00B8701B">
        <w:trPr>
          <w:trHeight w:val="135"/>
        </w:trPr>
        <w:tc>
          <w:tcPr>
            <w:tcW w:w="2263" w:type="dxa"/>
            <w:noWrap/>
            <w:hideMark/>
          </w:tcPr>
          <w:p w14:paraId="2F134A2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Simon-Kumar, 2023</w:t>
            </w:r>
          </w:p>
        </w:tc>
        <w:tc>
          <w:tcPr>
            <w:tcW w:w="6753" w:type="dxa"/>
            <w:hideMark/>
          </w:tcPr>
          <w:p w14:paraId="121146D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Economy, health and environment</w:t>
            </w:r>
          </w:p>
        </w:tc>
      </w:tr>
      <w:tr w:rsidR="00CE3A08" w:rsidRPr="00CE3A08" w14:paraId="0A621834" w14:textId="77777777" w:rsidTr="00B8701B">
        <w:trPr>
          <w:trHeight w:val="223"/>
        </w:trPr>
        <w:tc>
          <w:tcPr>
            <w:tcW w:w="2263" w:type="dxa"/>
            <w:noWrap/>
            <w:hideMark/>
          </w:tcPr>
          <w:p w14:paraId="7429957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Sisler, 2014</w:t>
            </w:r>
          </w:p>
        </w:tc>
        <w:tc>
          <w:tcPr>
            <w:tcW w:w="6753" w:type="dxa"/>
            <w:hideMark/>
          </w:tcPr>
          <w:p w14:paraId="7A5783A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ecotoxicity, resource depletion, species extinction, oceanic degradation</w:t>
            </w:r>
          </w:p>
        </w:tc>
      </w:tr>
      <w:tr w:rsidR="00CE3A08" w:rsidRPr="00CE3A08" w14:paraId="1AB5091D" w14:textId="77777777" w:rsidTr="00B8701B">
        <w:trPr>
          <w:trHeight w:val="410"/>
        </w:trPr>
        <w:tc>
          <w:tcPr>
            <w:tcW w:w="2263" w:type="dxa"/>
            <w:noWrap/>
            <w:hideMark/>
          </w:tcPr>
          <w:p w14:paraId="70472C79" w14:textId="7C0B2384"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Sripa </w:t>
            </w:r>
            <w:r w:rsidR="001F3EE2">
              <w:rPr>
                <w:rFonts w:ascii="Times New Roman" w:hAnsi="Times New Roman" w:cs="Times New Roman"/>
                <w:sz w:val="16"/>
                <w:szCs w:val="16"/>
              </w:rPr>
              <w:t>and Echaubard</w:t>
            </w:r>
            <w:r w:rsidRPr="00CE3A08">
              <w:rPr>
                <w:rFonts w:ascii="Times New Roman" w:hAnsi="Times New Roman" w:cs="Times New Roman"/>
                <w:sz w:val="16"/>
                <w:szCs w:val="16"/>
              </w:rPr>
              <w:t>, 2017</w:t>
            </w:r>
          </w:p>
        </w:tc>
        <w:tc>
          <w:tcPr>
            <w:tcW w:w="6753" w:type="dxa"/>
            <w:hideMark/>
          </w:tcPr>
          <w:p w14:paraId="758216E3"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Dam building, irrigation expansion and associated water movement, soil and water nutrient enrichment, intensification of agricultural practices, climate change</w:t>
            </w:r>
          </w:p>
        </w:tc>
      </w:tr>
      <w:tr w:rsidR="00CE3A08" w:rsidRPr="00CE3A08" w14:paraId="06A63C46" w14:textId="77777777" w:rsidTr="00B8701B">
        <w:trPr>
          <w:trHeight w:val="417"/>
        </w:trPr>
        <w:tc>
          <w:tcPr>
            <w:tcW w:w="2263" w:type="dxa"/>
            <w:noWrap/>
            <w:hideMark/>
          </w:tcPr>
          <w:p w14:paraId="2E2B60B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Taila et al, 2014</w:t>
            </w:r>
          </w:p>
        </w:tc>
        <w:tc>
          <w:tcPr>
            <w:tcW w:w="6753" w:type="dxa"/>
            <w:hideMark/>
          </w:tcPr>
          <w:p w14:paraId="512B569A" w14:textId="7C38D4E3"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Rainfall, relative humidity, maximum temperature, minimum temperature, normalized difference vegetation index</w:t>
            </w:r>
          </w:p>
        </w:tc>
      </w:tr>
      <w:tr w:rsidR="00CE3A08" w:rsidRPr="00CE3A08" w14:paraId="21E10B23" w14:textId="77777777" w:rsidTr="00B8701B">
        <w:trPr>
          <w:trHeight w:val="565"/>
        </w:trPr>
        <w:tc>
          <w:tcPr>
            <w:tcW w:w="2263" w:type="dxa"/>
            <w:noWrap/>
            <w:hideMark/>
          </w:tcPr>
          <w:p w14:paraId="3262F33E"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Tajvar et al, 2022</w:t>
            </w:r>
          </w:p>
        </w:tc>
        <w:tc>
          <w:tcPr>
            <w:tcW w:w="6753" w:type="dxa"/>
            <w:hideMark/>
          </w:tcPr>
          <w:p w14:paraId="191A52A4"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Human resources, access to medical equipment and facilities, total fertility rate, health financing system, country income, poverty rate, governance, education, employment, social protection, gender inequality, and human development index</w:t>
            </w:r>
          </w:p>
        </w:tc>
      </w:tr>
      <w:tr w:rsidR="00CE3A08" w:rsidRPr="00CE3A08" w14:paraId="06E2C0DC" w14:textId="77777777" w:rsidTr="00B8701B">
        <w:trPr>
          <w:trHeight w:val="261"/>
        </w:trPr>
        <w:tc>
          <w:tcPr>
            <w:tcW w:w="2263" w:type="dxa"/>
            <w:noWrap/>
            <w:hideMark/>
          </w:tcPr>
          <w:p w14:paraId="517501F9"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Takahashi, 2016</w:t>
            </w:r>
          </w:p>
        </w:tc>
        <w:tc>
          <w:tcPr>
            <w:tcW w:w="6753" w:type="dxa"/>
            <w:hideMark/>
          </w:tcPr>
          <w:p w14:paraId="10D99982"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Modification of the nutritional conditions</w:t>
            </w:r>
          </w:p>
        </w:tc>
      </w:tr>
      <w:tr w:rsidR="00CE3A08" w:rsidRPr="00CE3A08" w14:paraId="6187C669" w14:textId="77777777" w:rsidTr="00B8701B">
        <w:trPr>
          <w:trHeight w:val="137"/>
        </w:trPr>
        <w:tc>
          <w:tcPr>
            <w:tcW w:w="2263" w:type="dxa"/>
            <w:noWrap/>
            <w:hideMark/>
          </w:tcPr>
          <w:p w14:paraId="440D66FA" w14:textId="6D46692B" w:rsidR="00CE3A08" w:rsidRPr="00CE3A08" w:rsidRDefault="00B8224A" w:rsidP="00CE3A08">
            <w:pPr>
              <w:rPr>
                <w:rFonts w:ascii="Times New Roman" w:hAnsi="Times New Roman" w:cs="Times New Roman"/>
                <w:sz w:val="16"/>
                <w:szCs w:val="16"/>
              </w:rPr>
            </w:pPr>
            <w:r w:rsidRPr="008C797A">
              <w:rPr>
                <w:rFonts w:ascii="Times New Roman" w:eastAsia="Times New Roman" w:hAnsi="Times New Roman" w:cs="Times New Roman"/>
                <w:kern w:val="0"/>
                <w:sz w:val="16"/>
                <w:szCs w:val="16"/>
                <w:lang w:eastAsia="en-GB"/>
                <w14:ligatures w14:val="none"/>
              </w:rPr>
              <w:t>Inayatulloh</w:t>
            </w:r>
            <w:r>
              <w:rPr>
                <w:rFonts w:ascii="Times New Roman" w:eastAsia="Times New Roman" w:hAnsi="Times New Roman" w:cs="Times New Roman"/>
                <w:kern w:val="0"/>
                <w:sz w:val="16"/>
                <w:szCs w:val="16"/>
                <w:lang w:eastAsia="en-GB"/>
                <w14:ligatures w14:val="none"/>
              </w:rPr>
              <w:t xml:space="preserve"> </w:t>
            </w:r>
            <w:r w:rsidR="00157795">
              <w:rPr>
                <w:rFonts w:ascii="Times New Roman" w:eastAsia="Times New Roman" w:hAnsi="Times New Roman" w:cs="Times New Roman"/>
                <w:kern w:val="0"/>
                <w:sz w:val="16"/>
                <w:szCs w:val="16"/>
                <w:lang w:eastAsia="en-GB"/>
                <w14:ligatures w14:val="none"/>
              </w:rPr>
              <w:t>and Theresia</w:t>
            </w:r>
            <w:r w:rsidR="00CE3A08" w:rsidRPr="00CE3A08">
              <w:rPr>
                <w:rFonts w:ascii="Times New Roman" w:hAnsi="Times New Roman" w:cs="Times New Roman"/>
                <w:sz w:val="16"/>
                <w:szCs w:val="16"/>
              </w:rPr>
              <w:t>, 2016</w:t>
            </w:r>
          </w:p>
        </w:tc>
        <w:tc>
          <w:tcPr>
            <w:tcW w:w="6753" w:type="dxa"/>
            <w:hideMark/>
          </w:tcPr>
          <w:p w14:paraId="5134615B"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Ecological change, rainfall</w:t>
            </w:r>
          </w:p>
        </w:tc>
      </w:tr>
      <w:tr w:rsidR="00CE3A08" w:rsidRPr="00CE3A08" w14:paraId="6E69DEF4" w14:textId="77777777" w:rsidTr="00B8701B">
        <w:trPr>
          <w:trHeight w:val="145"/>
        </w:trPr>
        <w:tc>
          <w:tcPr>
            <w:tcW w:w="2263" w:type="dxa"/>
            <w:noWrap/>
            <w:hideMark/>
          </w:tcPr>
          <w:p w14:paraId="30D388A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van Nieuwenhuizen et al, 2021</w:t>
            </w:r>
          </w:p>
        </w:tc>
        <w:tc>
          <w:tcPr>
            <w:tcW w:w="6753" w:type="dxa"/>
            <w:hideMark/>
          </w:tcPr>
          <w:p w14:paraId="3E2D6433"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w:t>
            </w:r>
          </w:p>
        </w:tc>
      </w:tr>
      <w:tr w:rsidR="00CE3A08" w:rsidRPr="00CE3A08" w14:paraId="20266994" w14:textId="77777777" w:rsidTr="00B8701B">
        <w:trPr>
          <w:trHeight w:val="273"/>
        </w:trPr>
        <w:tc>
          <w:tcPr>
            <w:tcW w:w="2263" w:type="dxa"/>
            <w:noWrap/>
            <w:hideMark/>
          </w:tcPr>
          <w:p w14:paraId="6E9B1C1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Vold et al, 2022</w:t>
            </w:r>
          </w:p>
        </w:tc>
        <w:tc>
          <w:tcPr>
            <w:tcW w:w="6753" w:type="dxa"/>
            <w:hideMark/>
          </w:tcPr>
          <w:p w14:paraId="4F919C4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Climate change, biodiversity loss, land and water degradation, food security</w:t>
            </w:r>
          </w:p>
        </w:tc>
      </w:tr>
      <w:tr w:rsidR="00CE3A08" w:rsidRPr="00CE3A08" w14:paraId="6AD55DA6" w14:textId="77777777" w:rsidTr="00B8701B">
        <w:trPr>
          <w:trHeight w:val="419"/>
        </w:trPr>
        <w:tc>
          <w:tcPr>
            <w:tcW w:w="2263" w:type="dxa"/>
            <w:noWrap/>
            <w:hideMark/>
          </w:tcPr>
          <w:p w14:paraId="7CAD154C"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lastRenderedPageBreak/>
              <w:t>Wang et al, 2022</w:t>
            </w:r>
          </w:p>
        </w:tc>
        <w:tc>
          <w:tcPr>
            <w:tcW w:w="6753" w:type="dxa"/>
            <w:hideMark/>
          </w:tcPr>
          <w:p w14:paraId="17171034" w14:textId="75359B8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 xml:space="preserve">Medical technology, economy, culture,  geographic environment,  nighttime light, gross domestic product per capita, population density, particulate matters emission, </w:t>
            </w:r>
            <w:r w:rsidR="00B8701B" w:rsidRPr="00CE3A08">
              <w:rPr>
                <w:rFonts w:ascii="Times New Roman" w:hAnsi="Times New Roman" w:cs="Times New Roman"/>
                <w:sz w:val="16"/>
                <w:szCs w:val="16"/>
              </w:rPr>
              <w:t>temperature, humidity</w:t>
            </w:r>
            <w:r w:rsidRPr="00CE3A08">
              <w:rPr>
                <w:rFonts w:ascii="Times New Roman" w:hAnsi="Times New Roman" w:cs="Times New Roman"/>
                <w:sz w:val="16"/>
                <w:szCs w:val="16"/>
              </w:rPr>
              <w:t>,  longitude, altitude</w:t>
            </w:r>
          </w:p>
        </w:tc>
      </w:tr>
      <w:tr w:rsidR="00CE3A08" w:rsidRPr="00CE3A08" w14:paraId="31DB1CCD" w14:textId="77777777" w:rsidTr="00B8701B">
        <w:trPr>
          <w:trHeight w:val="424"/>
        </w:trPr>
        <w:tc>
          <w:tcPr>
            <w:tcW w:w="2263" w:type="dxa"/>
            <w:noWrap/>
            <w:hideMark/>
          </w:tcPr>
          <w:p w14:paraId="1676A37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Wei et al, 2020</w:t>
            </w:r>
          </w:p>
        </w:tc>
        <w:tc>
          <w:tcPr>
            <w:tcW w:w="6753" w:type="dxa"/>
            <w:hideMark/>
          </w:tcPr>
          <w:p w14:paraId="6068DC5F"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Sites invaded by exotic plants, higher abundance of a superior rodent host instead of a difference in soil microclimate, climate change,  land use change, soil temperature</w:t>
            </w:r>
          </w:p>
        </w:tc>
      </w:tr>
      <w:tr w:rsidR="00CE3A08" w:rsidRPr="00CE3A08" w14:paraId="1DB32EF0" w14:textId="77777777" w:rsidTr="00B8701B">
        <w:trPr>
          <w:trHeight w:val="261"/>
        </w:trPr>
        <w:tc>
          <w:tcPr>
            <w:tcW w:w="2263" w:type="dxa"/>
            <w:noWrap/>
            <w:hideMark/>
          </w:tcPr>
          <w:p w14:paraId="3DECBAB7"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Weiss, 2012</w:t>
            </w:r>
          </w:p>
        </w:tc>
        <w:tc>
          <w:tcPr>
            <w:tcW w:w="6753" w:type="dxa"/>
            <w:hideMark/>
          </w:tcPr>
          <w:p w14:paraId="3DC3DAF1"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Ecological degradation, resource depletion, climate change, and energy constraints</w:t>
            </w:r>
          </w:p>
        </w:tc>
      </w:tr>
      <w:tr w:rsidR="00CE3A08" w:rsidRPr="00CE3A08" w14:paraId="247E59A3" w14:textId="77777777" w:rsidTr="00B8701B">
        <w:trPr>
          <w:trHeight w:val="274"/>
        </w:trPr>
        <w:tc>
          <w:tcPr>
            <w:tcW w:w="2263" w:type="dxa"/>
            <w:noWrap/>
            <w:hideMark/>
          </w:tcPr>
          <w:p w14:paraId="7E1C696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Whitmee, 2015</w:t>
            </w:r>
          </w:p>
        </w:tc>
        <w:tc>
          <w:tcPr>
            <w:tcW w:w="6753" w:type="dxa"/>
            <w:hideMark/>
          </w:tcPr>
          <w:p w14:paraId="23057C4D" w14:textId="77777777" w:rsidR="00CE3A08" w:rsidRPr="00CE3A08" w:rsidRDefault="00CE3A08" w:rsidP="00CE3A08">
            <w:pPr>
              <w:rPr>
                <w:rFonts w:ascii="Times New Roman" w:hAnsi="Times New Roman" w:cs="Times New Roman"/>
                <w:sz w:val="16"/>
                <w:szCs w:val="16"/>
              </w:rPr>
            </w:pPr>
            <w:r w:rsidRPr="00CE3A08">
              <w:rPr>
                <w:rFonts w:ascii="Times New Roman" w:hAnsi="Times New Roman" w:cs="Times New Roman"/>
                <w:sz w:val="16"/>
                <w:szCs w:val="16"/>
              </w:rPr>
              <w:t>Forest loss, habitat fragmentation and modification, accompanying loss of plant diversity have</w:t>
            </w:r>
          </w:p>
        </w:tc>
      </w:tr>
    </w:tbl>
    <w:p w14:paraId="58DF7DCD" w14:textId="77777777" w:rsidR="001E223F" w:rsidRDefault="001E223F" w:rsidP="006F382B">
      <w:pPr>
        <w:spacing w:line="240" w:lineRule="auto"/>
        <w:rPr>
          <w:rFonts w:ascii="Times New Roman" w:hAnsi="Times New Roman" w:cs="Times New Roman"/>
          <w:sz w:val="16"/>
          <w:szCs w:val="16"/>
        </w:rPr>
      </w:pPr>
    </w:p>
    <w:p w14:paraId="7D18DE15" w14:textId="77777777" w:rsidR="00BA1E7D" w:rsidRDefault="00BA1E7D" w:rsidP="006F382B">
      <w:pPr>
        <w:spacing w:line="240" w:lineRule="auto"/>
        <w:rPr>
          <w:rFonts w:ascii="Times New Roman" w:hAnsi="Times New Roman" w:cs="Times New Roman"/>
          <w:sz w:val="16"/>
          <w:szCs w:val="16"/>
        </w:rPr>
      </w:pPr>
    </w:p>
    <w:p w14:paraId="0AD50910" w14:textId="77777777" w:rsidR="00BA1E7D" w:rsidRDefault="00BA1E7D" w:rsidP="006F382B">
      <w:pPr>
        <w:spacing w:line="240" w:lineRule="auto"/>
        <w:rPr>
          <w:rFonts w:ascii="Times New Roman" w:hAnsi="Times New Roman" w:cs="Times New Roman"/>
          <w:sz w:val="16"/>
          <w:szCs w:val="16"/>
        </w:rPr>
      </w:pPr>
    </w:p>
    <w:p w14:paraId="2CB1B460" w14:textId="77777777" w:rsidR="00BA1E7D" w:rsidRDefault="00BA1E7D" w:rsidP="006F382B">
      <w:pPr>
        <w:spacing w:line="240" w:lineRule="auto"/>
        <w:rPr>
          <w:rFonts w:ascii="Times New Roman" w:hAnsi="Times New Roman" w:cs="Times New Roman"/>
          <w:sz w:val="16"/>
          <w:szCs w:val="16"/>
        </w:rPr>
      </w:pPr>
    </w:p>
    <w:p w14:paraId="1359C9ED" w14:textId="77777777" w:rsidR="00BA1E7D" w:rsidRDefault="00BA1E7D" w:rsidP="006F382B">
      <w:pPr>
        <w:spacing w:line="240" w:lineRule="auto"/>
        <w:rPr>
          <w:rFonts w:ascii="Times New Roman" w:hAnsi="Times New Roman" w:cs="Times New Roman"/>
          <w:sz w:val="16"/>
          <w:szCs w:val="16"/>
        </w:rPr>
      </w:pPr>
    </w:p>
    <w:p w14:paraId="1458D4BA" w14:textId="77777777" w:rsidR="00BA1E7D" w:rsidRDefault="00BA1E7D" w:rsidP="006F382B">
      <w:pPr>
        <w:spacing w:line="240" w:lineRule="auto"/>
        <w:rPr>
          <w:rFonts w:ascii="Times New Roman" w:hAnsi="Times New Roman" w:cs="Times New Roman"/>
          <w:sz w:val="16"/>
          <w:szCs w:val="16"/>
        </w:rPr>
      </w:pPr>
    </w:p>
    <w:p w14:paraId="38CF39CF" w14:textId="77777777" w:rsidR="00BA1E7D" w:rsidRDefault="00BA1E7D" w:rsidP="006F382B">
      <w:pPr>
        <w:spacing w:line="240" w:lineRule="auto"/>
        <w:rPr>
          <w:rFonts w:ascii="Times New Roman" w:hAnsi="Times New Roman" w:cs="Times New Roman"/>
          <w:sz w:val="16"/>
          <w:szCs w:val="16"/>
        </w:rPr>
      </w:pPr>
    </w:p>
    <w:p w14:paraId="19C4AD9F" w14:textId="77777777" w:rsidR="00BA1E7D" w:rsidRDefault="00BA1E7D" w:rsidP="006F382B">
      <w:pPr>
        <w:spacing w:line="240" w:lineRule="auto"/>
        <w:rPr>
          <w:rFonts w:ascii="Times New Roman" w:hAnsi="Times New Roman" w:cs="Times New Roman"/>
          <w:sz w:val="16"/>
          <w:szCs w:val="16"/>
        </w:rPr>
      </w:pPr>
    </w:p>
    <w:p w14:paraId="6698152D" w14:textId="77777777" w:rsidR="00BA1E7D" w:rsidRDefault="00BA1E7D" w:rsidP="006F382B">
      <w:pPr>
        <w:spacing w:line="240" w:lineRule="auto"/>
        <w:rPr>
          <w:rFonts w:ascii="Times New Roman" w:hAnsi="Times New Roman" w:cs="Times New Roman"/>
          <w:sz w:val="16"/>
          <w:szCs w:val="16"/>
        </w:rPr>
      </w:pPr>
    </w:p>
    <w:p w14:paraId="5B3CB61B" w14:textId="77777777" w:rsidR="00BA1E7D" w:rsidRDefault="00BA1E7D" w:rsidP="006F382B">
      <w:pPr>
        <w:spacing w:line="240" w:lineRule="auto"/>
        <w:rPr>
          <w:rFonts w:ascii="Times New Roman" w:hAnsi="Times New Roman" w:cs="Times New Roman"/>
          <w:sz w:val="16"/>
          <w:szCs w:val="16"/>
        </w:rPr>
      </w:pPr>
    </w:p>
    <w:p w14:paraId="31D9C2C5" w14:textId="77777777" w:rsidR="00BA1E7D" w:rsidRDefault="00BA1E7D" w:rsidP="006F382B">
      <w:pPr>
        <w:spacing w:line="240" w:lineRule="auto"/>
        <w:rPr>
          <w:rFonts w:ascii="Times New Roman" w:hAnsi="Times New Roman" w:cs="Times New Roman"/>
          <w:sz w:val="16"/>
          <w:szCs w:val="16"/>
        </w:rPr>
      </w:pPr>
    </w:p>
    <w:p w14:paraId="68D70793" w14:textId="77777777" w:rsidR="00BA1E7D" w:rsidRDefault="00BA1E7D" w:rsidP="006F382B">
      <w:pPr>
        <w:spacing w:line="240" w:lineRule="auto"/>
        <w:rPr>
          <w:rFonts w:ascii="Times New Roman" w:hAnsi="Times New Roman" w:cs="Times New Roman"/>
          <w:sz w:val="16"/>
          <w:szCs w:val="16"/>
        </w:rPr>
      </w:pPr>
    </w:p>
    <w:p w14:paraId="6F74C931" w14:textId="77777777" w:rsidR="00BA1E7D" w:rsidRDefault="00BA1E7D" w:rsidP="006F382B">
      <w:pPr>
        <w:spacing w:line="240" w:lineRule="auto"/>
        <w:rPr>
          <w:rFonts w:ascii="Times New Roman" w:hAnsi="Times New Roman" w:cs="Times New Roman"/>
          <w:sz w:val="16"/>
          <w:szCs w:val="16"/>
        </w:rPr>
      </w:pPr>
    </w:p>
    <w:p w14:paraId="25E02069" w14:textId="77777777" w:rsidR="00BA1E7D" w:rsidRDefault="00BA1E7D" w:rsidP="006F382B">
      <w:pPr>
        <w:spacing w:line="240" w:lineRule="auto"/>
        <w:rPr>
          <w:rFonts w:ascii="Times New Roman" w:hAnsi="Times New Roman" w:cs="Times New Roman"/>
          <w:sz w:val="16"/>
          <w:szCs w:val="16"/>
        </w:rPr>
      </w:pPr>
    </w:p>
    <w:p w14:paraId="42834D50" w14:textId="77777777" w:rsidR="00BA1E7D" w:rsidRDefault="00BA1E7D" w:rsidP="006F382B">
      <w:pPr>
        <w:spacing w:line="240" w:lineRule="auto"/>
        <w:rPr>
          <w:rFonts w:ascii="Times New Roman" w:hAnsi="Times New Roman" w:cs="Times New Roman"/>
          <w:sz w:val="16"/>
          <w:szCs w:val="16"/>
        </w:rPr>
      </w:pPr>
    </w:p>
    <w:p w14:paraId="3D79B325" w14:textId="77777777" w:rsidR="00BA1E7D" w:rsidRDefault="00BA1E7D" w:rsidP="006F382B">
      <w:pPr>
        <w:spacing w:line="240" w:lineRule="auto"/>
        <w:rPr>
          <w:rFonts w:ascii="Times New Roman" w:hAnsi="Times New Roman" w:cs="Times New Roman"/>
          <w:sz w:val="16"/>
          <w:szCs w:val="16"/>
        </w:rPr>
      </w:pPr>
    </w:p>
    <w:p w14:paraId="72955777" w14:textId="77777777" w:rsidR="00BA1E7D" w:rsidRDefault="00BA1E7D" w:rsidP="006F382B">
      <w:pPr>
        <w:spacing w:line="240" w:lineRule="auto"/>
        <w:rPr>
          <w:rFonts w:ascii="Times New Roman" w:hAnsi="Times New Roman" w:cs="Times New Roman"/>
          <w:sz w:val="16"/>
          <w:szCs w:val="16"/>
        </w:rPr>
      </w:pPr>
    </w:p>
    <w:p w14:paraId="2B317B13" w14:textId="77777777" w:rsidR="00BA1E7D" w:rsidRDefault="00BA1E7D" w:rsidP="006F382B">
      <w:pPr>
        <w:spacing w:line="240" w:lineRule="auto"/>
        <w:rPr>
          <w:rFonts w:ascii="Times New Roman" w:hAnsi="Times New Roman" w:cs="Times New Roman"/>
          <w:sz w:val="16"/>
          <w:szCs w:val="16"/>
        </w:rPr>
      </w:pPr>
    </w:p>
    <w:p w14:paraId="7881C3C2" w14:textId="77777777" w:rsidR="00BA1E7D" w:rsidRDefault="00BA1E7D" w:rsidP="006F382B">
      <w:pPr>
        <w:spacing w:line="240" w:lineRule="auto"/>
        <w:rPr>
          <w:rFonts w:ascii="Times New Roman" w:hAnsi="Times New Roman" w:cs="Times New Roman"/>
          <w:sz w:val="16"/>
          <w:szCs w:val="16"/>
        </w:rPr>
      </w:pPr>
    </w:p>
    <w:p w14:paraId="1BEC9850" w14:textId="77777777" w:rsidR="00BA1E7D" w:rsidRDefault="00BA1E7D" w:rsidP="006F382B">
      <w:pPr>
        <w:spacing w:line="240" w:lineRule="auto"/>
        <w:rPr>
          <w:rFonts w:ascii="Times New Roman" w:hAnsi="Times New Roman" w:cs="Times New Roman"/>
          <w:sz w:val="16"/>
          <w:szCs w:val="16"/>
        </w:rPr>
      </w:pPr>
    </w:p>
    <w:p w14:paraId="21624335" w14:textId="77777777" w:rsidR="00BA1E7D" w:rsidRDefault="00BA1E7D" w:rsidP="006F382B">
      <w:pPr>
        <w:spacing w:line="240" w:lineRule="auto"/>
        <w:rPr>
          <w:rFonts w:ascii="Times New Roman" w:hAnsi="Times New Roman" w:cs="Times New Roman"/>
          <w:sz w:val="16"/>
          <w:szCs w:val="16"/>
        </w:rPr>
      </w:pPr>
    </w:p>
    <w:p w14:paraId="43FF3FAE" w14:textId="77777777" w:rsidR="00BA1E7D" w:rsidRDefault="00BA1E7D" w:rsidP="006F382B">
      <w:pPr>
        <w:spacing w:line="240" w:lineRule="auto"/>
        <w:rPr>
          <w:rFonts w:ascii="Times New Roman" w:hAnsi="Times New Roman" w:cs="Times New Roman"/>
          <w:sz w:val="16"/>
          <w:szCs w:val="16"/>
        </w:rPr>
      </w:pPr>
    </w:p>
    <w:p w14:paraId="134F8B4A" w14:textId="77777777" w:rsidR="00BA1E7D" w:rsidRDefault="00BA1E7D" w:rsidP="006F382B">
      <w:pPr>
        <w:spacing w:line="240" w:lineRule="auto"/>
        <w:rPr>
          <w:rFonts w:ascii="Times New Roman" w:hAnsi="Times New Roman" w:cs="Times New Roman"/>
          <w:sz w:val="16"/>
          <w:szCs w:val="16"/>
        </w:rPr>
      </w:pPr>
    </w:p>
    <w:p w14:paraId="12D0FFF8" w14:textId="77777777" w:rsidR="00BA1E7D" w:rsidRDefault="00BA1E7D" w:rsidP="006F382B">
      <w:pPr>
        <w:spacing w:line="240" w:lineRule="auto"/>
        <w:rPr>
          <w:rFonts w:ascii="Times New Roman" w:hAnsi="Times New Roman" w:cs="Times New Roman"/>
          <w:sz w:val="16"/>
          <w:szCs w:val="16"/>
        </w:rPr>
      </w:pPr>
    </w:p>
    <w:p w14:paraId="35BCBA79" w14:textId="77777777" w:rsidR="00BA1E7D" w:rsidRDefault="00BA1E7D" w:rsidP="006F382B">
      <w:pPr>
        <w:spacing w:line="240" w:lineRule="auto"/>
        <w:rPr>
          <w:rFonts w:ascii="Times New Roman" w:hAnsi="Times New Roman" w:cs="Times New Roman"/>
          <w:sz w:val="16"/>
          <w:szCs w:val="16"/>
        </w:rPr>
      </w:pPr>
    </w:p>
    <w:p w14:paraId="57ED0249" w14:textId="77777777" w:rsidR="00BA1E7D" w:rsidRDefault="00BA1E7D" w:rsidP="006F382B">
      <w:pPr>
        <w:spacing w:line="240" w:lineRule="auto"/>
        <w:rPr>
          <w:rFonts w:ascii="Times New Roman" w:hAnsi="Times New Roman" w:cs="Times New Roman"/>
          <w:sz w:val="16"/>
          <w:szCs w:val="16"/>
        </w:rPr>
      </w:pPr>
    </w:p>
    <w:p w14:paraId="7D1A85C7" w14:textId="77777777" w:rsidR="00BA1E7D" w:rsidRDefault="00BA1E7D" w:rsidP="006F382B">
      <w:pPr>
        <w:spacing w:line="240" w:lineRule="auto"/>
        <w:rPr>
          <w:rFonts w:ascii="Times New Roman" w:hAnsi="Times New Roman" w:cs="Times New Roman"/>
          <w:sz w:val="16"/>
          <w:szCs w:val="16"/>
        </w:rPr>
      </w:pPr>
    </w:p>
    <w:p w14:paraId="5F534012" w14:textId="77777777" w:rsidR="00BA1E7D" w:rsidRDefault="00BA1E7D" w:rsidP="006F382B">
      <w:pPr>
        <w:spacing w:line="240" w:lineRule="auto"/>
        <w:rPr>
          <w:rFonts w:ascii="Times New Roman" w:hAnsi="Times New Roman" w:cs="Times New Roman"/>
          <w:sz w:val="16"/>
          <w:szCs w:val="16"/>
        </w:rPr>
      </w:pPr>
    </w:p>
    <w:p w14:paraId="4E572933" w14:textId="77777777" w:rsidR="00BA1E7D" w:rsidRDefault="00BA1E7D" w:rsidP="006F382B">
      <w:pPr>
        <w:spacing w:line="240" w:lineRule="auto"/>
        <w:rPr>
          <w:rFonts w:ascii="Times New Roman" w:hAnsi="Times New Roman" w:cs="Times New Roman"/>
          <w:sz w:val="16"/>
          <w:szCs w:val="16"/>
        </w:rPr>
      </w:pPr>
    </w:p>
    <w:p w14:paraId="726A36FC" w14:textId="77777777" w:rsidR="00BA1E7D" w:rsidRDefault="00BA1E7D" w:rsidP="006F382B">
      <w:pPr>
        <w:spacing w:line="240" w:lineRule="auto"/>
        <w:rPr>
          <w:rFonts w:ascii="Times New Roman" w:hAnsi="Times New Roman" w:cs="Times New Roman"/>
          <w:sz w:val="16"/>
          <w:szCs w:val="16"/>
        </w:rPr>
      </w:pPr>
    </w:p>
    <w:p w14:paraId="0E3F265B" w14:textId="77777777" w:rsidR="00BA1E7D" w:rsidRDefault="00BA1E7D" w:rsidP="006F382B">
      <w:pPr>
        <w:spacing w:line="240" w:lineRule="auto"/>
        <w:rPr>
          <w:rFonts w:ascii="Times New Roman" w:hAnsi="Times New Roman" w:cs="Times New Roman"/>
          <w:sz w:val="16"/>
          <w:szCs w:val="16"/>
        </w:rPr>
      </w:pPr>
    </w:p>
    <w:p w14:paraId="05F9A35C" w14:textId="77777777" w:rsidR="00BA1E7D" w:rsidRDefault="00BA1E7D" w:rsidP="006F382B">
      <w:pPr>
        <w:spacing w:line="240" w:lineRule="auto"/>
        <w:rPr>
          <w:rFonts w:ascii="Times New Roman" w:hAnsi="Times New Roman" w:cs="Times New Roman"/>
          <w:sz w:val="16"/>
          <w:szCs w:val="16"/>
        </w:rPr>
      </w:pPr>
    </w:p>
    <w:p w14:paraId="7B4F6A17" w14:textId="77777777" w:rsidR="00BA1E7D" w:rsidRDefault="00BA1E7D" w:rsidP="006F382B">
      <w:pPr>
        <w:spacing w:line="240" w:lineRule="auto"/>
        <w:rPr>
          <w:rFonts w:ascii="Times New Roman" w:hAnsi="Times New Roman" w:cs="Times New Roman"/>
          <w:sz w:val="16"/>
          <w:szCs w:val="16"/>
        </w:rPr>
      </w:pPr>
    </w:p>
    <w:p w14:paraId="669BC69D" w14:textId="77777777" w:rsidR="00BA1E7D" w:rsidRDefault="00BA1E7D" w:rsidP="006F382B">
      <w:pPr>
        <w:spacing w:line="240" w:lineRule="auto"/>
        <w:rPr>
          <w:rFonts w:ascii="Times New Roman" w:hAnsi="Times New Roman" w:cs="Times New Roman"/>
          <w:sz w:val="16"/>
          <w:szCs w:val="16"/>
        </w:rPr>
      </w:pPr>
    </w:p>
    <w:p w14:paraId="54F7A928" w14:textId="77777777" w:rsidR="00BA1E7D" w:rsidRDefault="00BA1E7D" w:rsidP="006F382B">
      <w:pPr>
        <w:spacing w:line="240" w:lineRule="auto"/>
        <w:rPr>
          <w:rFonts w:ascii="Times New Roman" w:hAnsi="Times New Roman" w:cs="Times New Roman"/>
          <w:sz w:val="16"/>
          <w:szCs w:val="16"/>
        </w:rPr>
      </w:pPr>
    </w:p>
    <w:p w14:paraId="646FA94C" w14:textId="77777777" w:rsidR="00BA1E7D" w:rsidRDefault="00BA1E7D" w:rsidP="006F382B">
      <w:pPr>
        <w:spacing w:line="240" w:lineRule="auto"/>
        <w:rPr>
          <w:rFonts w:ascii="Times New Roman" w:hAnsi="Times New Roman" w:cs="Times New Roman"/>
          <w:sz w:val="16"/>
          <w:szCs w:val="16"/>
        </w:rPr>
      </w:pPr>
    </w:p>
    <w:p w14:paraId="6A657F6F" w14:textId="216C9028" w:rsidR="00E65662" w:rsidRPr="00E65662" w:rsidRDefault="00B8224A" w:rsidP="00E65662">
      <w:pPr>
        <w:spacing w:line="240" w:lineRule="auto"/>
        <w:rPr>
          <w:rFonts w:ascii="Times New Roman" w:hAnsi="Times New Roman" w:cs="Times New Roman"/>
          <w:b/>
          <w:bCs/>
          <w:sz w:val="20"/>
          <w:szCs w:val="20"/>
          <w:lang w:val="en-RS"/>
        </w:rPr>
      </w:pPr>
      <w:r>
        <w:rPr>
          <w:rFonts w:ascii="Times New Roman" w:hAnsi="Times New Roman" w:cs="Times New Roman"/>
          <w:b/>
          <w:bCs/>
          <w:sz w:val="20"/>
          <w:szCs w:val="20"/>
          <w:lang w:val="en-RS"/>
        </w:rPr>
        <w:lastRenderedPageBreak/>
        <w:t>Supplement File</w:t>
      </w:r>
      <w:r w:rsidR="00DE6C16">
        <w:rPr>
          <w:rFonts w:ascii="Times New Roman" w:hAnsi="Times New Roman" w:cs="Times New Roman"/>
          <w:b/>
          <w:bCs/>
          <w:sz w:val="20"/>
          <w:szCs w:val="20"/>
          <w:lang w:val="en-RS"/>
        </w:rPr>
        <w:t xml:space="preserve"> </w:t>
      </w:r>
      <w:r w:rsidR="00AF5118">
        <w:rPr>
          <w:rFonts w:ascii="Times New Roman" w:hAnsi="Times New Roman" w:cs="Times New Roman"/>
          <w:b/>
          <w:bCs/>
          <w:sz w:val="20"/>
          <w:szCs w:val="20"/>
          <w:lang w:val="en-RS"/>
        </w:rPr>
        <w:t>I</w:t>
      </w:r>
      <w:r w:rsidR="00DE6C16">
        <w:rPr>
          <w:rFonts w:ascii="Times New Roman" w:hAnsi="Times New Roman" w:cs="Times New Roman"/>
          <w:b/>
          <w:bCs/>
          <w:sz w:val="20"/>
          <w:szCs w:val="20"/>
          <w:lang w:val="en-RS"/>
        </w:rPr>
        <w:t>:</w:t>
      </w:r>
      <w:r w:rsidR="00DE6C16" w:rsidRPr="00DE6C16">
        <w:rPr>
          <w:rFonts w:ascii="Times New Roman" w:hAnsi="Times New Roman" w:cs="Times New Roman"/>
          <w:b/>
          <w:bCs/>
          <w:sz w:val="20"/>
          <w:szCs w:val="20"/>
          <w:lang w:val="en-RS"/>
        </w:rPr>
        <w:t xml:space="preserve"> Relationships Between </w:t>
      </w:r>
      <w:r w:rsidR="00AF5118">
        <w:rPr>
          <w:rFonts w:ascii="Times New Roman" w:hAnsi="Times New Roman" w:cs="Times New Roman"/>
          <w:b/>
          <w:bCs/>
          <w:sz w:val="20"/>
          <w:szCs w:val="20"/>
          <w:lang w:val="en-RS"/>
        </w:rPr>
        <w:t>Ecl</w:t>
      </w:r>
      <w:r w:rsidR="00DE6C16" w:rsidRPr="00DE6C16">
        <w:rPr>
          <w:rFonts w:ascii="Times New Roman" w:hAnsi="Times New Roman" w:cs="Times New Roman"/>
          <w:b/>
          <w:bCs/>
          <w:sz w:val="20"/>
          <w:szCs w:val="20"/>
          <w:lang w:val="en-RS"/>
        </w:rPr>
        <w:t>DoH and Other Determinants of Health</w:t>
      </w:r>
    </w:p>
    <w:tbl>
      <w:tblPr>
        <w:tblStyle w:val="TableGrid"/>
        <w:tblW w:w="9067" w:type="dxa"/>
        <w:tblLook w:val="04A0" w:firstRow="1" w:lastRow="0" w:firstColumn="1" w:lastColumn="0" w:noHBand="0" w:noVBand="1"/>
      </w:tblPr>
      <w:tblGrid>
        <w:gridCol w:w="2122"/>
        <w:gridCol w:w="6945"/>
      </w:tblGrid>
      <w:tr w:rsidR="00E65662" w:rsidRPr="00EE07E0" w14:paraId="1142A1CD" w14:textId="77777777" w:rsidTr="006C1573">
        <w:tc>
          <w:tcPr>
            <w:tcW w:w="9067" w:type="dxa"/>
            <w:gridSpan w:val="2"/>
          </w:tcPr>
          <w:p w14:paraId="52D6B09F" w14:textId="3A40040D" w:rsidR="00E65662" w:rsidRPr="00EE07E0" w:rsidRDefault="00AF5118" w:rsidP="006C1573">
            <w:pPr>
              <w:rPr>
                <w:rFonts w:ascii="Times New Roman" w:hAnsi="Times New Roman" w:cs="Times New Roman"/>
                <w:b/>
                <w:bCs/>
                <w:sz w:val="16"/>
                <w:szCs w:val="16"/>
              </w:rPr>
            </w:pPr>
            <w:r>
              <w:rPr>
                <w:rFonts w:ascii="Times New Roman" w:hAnsi="Times New Roman" w:cs="Times New Roman"/>
                <w:b/>
                <w:bCs/>
                <w:sz w:val="16"/>
                <w:szCs w:val="16"/>
              </w:rPr>
              <w:t>Ecl</w:t>
            </w:r>
            <w:r w:rsidR="00E65662" w:rsidRPr="00EE07E0">
              <w:rPr>
                <w:rFonts w:ascii="Times New Roman" w:hAnsi="Times New Roman" w:cs="Times New Roman"/>
                <w:b/>
                <w:bCs/>
                <w:sz w:val="16"/>
                <w:szCs w:val="16"/>
              </w:rPr>
              <w:t>DoH a</w:t>
            </w:r>
            <w:r>
              <w:rPr>
                <w:rFonts w:ascii="Times New Roman" w:hAnsi="Times New Roman" w:cs="Times New Roman"/>
                <w:b/>
                <w:bCs/>
                <w:sz w:val="16"/>
                <w:szCs w:val="16"/>
              </w:rPr>
              <w:t>re not the same with</w:t>
            </w:r>
            <w:r w:rsidR="00E65662" w:rsidRPr="00EE07E0">
              <w:rPr>
                <w:rFonts w:ascii="Times New Roman" w:hAnsi="Times New Roman" w:cs="Times New Roman"/>
                <w:b/>
                <w:bCs/>
                <w:sz w:val="16"/>
                <w:szCs w:val="16"/>
              </w:rPr>
              <w:t xml:space="preserve"> </w:t>
            </w:r>
            <w:r>
              <w:rPr>
                <w:rFonts w:ascii="Times New Roman" w:hAnsi="Times New Roman" w:cs="Times New Roman"/>
                <w:b/>
                <w:bCs/>
                <w:sz w:val="16"/>
                <w:szCs w:val="16"/>
              </w:rPr>
              <w:t>EnvD</w:t>
            </w:r>
            <w:r w:rsidR="00E65662" w:rsidRPr="00EE07E0">
              <w:rPr>
                <w:rFonts w:ascii="Times New Roman" w:hAnsi="Times New Roman" w:cs="Times New Roman"/>
                <w:b/>
                <w:bCs/>
                <w:sz w:val="16"/>
                <w:szCs w:val="16"/>
              </w:rPr>
              <w:t>oH</w:t>
            </w:r>
          </w:p>
        </w:tc>
      </w:tr>
      <w:tr w:rsidR="00E65662" w:rsidRPr="00EE07E0" w14:paraId="0E3A2AF7" w14:textId="77777777" w:rsidTr="00192313">
        <w:tc>
          <w:tcPr>
            <w:tcW w:w="2122" w:type="dxa"/>
          </w:tcPr>
          <w:p w14:paraId="4445E760" w14:textId="77777777" w:rsidR="00E65662" w:rsidRPr="00EE07E0" w:rsidRDefault="00E65662" w:rsidP="006C1573">
            <w:pPr>
              <w:rPr>
                <w:rFonts w:ascii="Times New Roman" w:hAnsi="Times New Roman" w:cs="Times New Roman"/>
                <w:sz w:val="16"/>
                <w:szCs w:val="16"/>
              </w:rPr>
            </w:pPr>
            <w:r w:rsidRPr="00EE07E0">
              <w:rPr>
                <w:rFonts w:ascii="Times New Roman" w:hAnsi="Times New Roman" w:cs="Times New Roman"/>
                <w:sz w:val="16"/>
                <w:szCs w:val="16"/>
              </w:rPr>
              <w:t>Article</w:t>
            </w:r>
          </w:p>
        </w:tc>
        <w:tc>
          <w:tcPr>
            <w:tcW w:w="6945" w:type="dxa"/>
          </w:tcPr>
          <w:p w14:paraId="48CA26AA" w14:textId="77777777" w:rsidR="00E65662" w:rsidRPr="00EE07E0" w:rsidRDefault="00E65662" w:rsidP="006C1573">
            <w:pPr>
              <w:rPr>
                <w:rFonts w:ascii="Times New Roman" w:hAnsi="Times New Roman" w:cs="Times New Roman"/>
                <w:sz w:val="16"/>
                <w:szCs w:val="16"/>
              </w:rPr>
            </w:pPr>
            <w:r w:rsidRPr="00EE07E0">
              <w:rPr>
                <w:rFonts w:ascii="Times New Roman" w:hAnsi="Times New Roman" w:cs="Times New Roman"/>
                <w:sz w:val="16"/>
                <w:szCs w:val="16"/>
              </w:rPr>
              <w:t>Explanation</w:t>
            </w:r>
          </w:p>
        </w:tc>
      </w:tr>
      <w:tr w:rsidR="00492ED1" w:rsidRPr="00EE07E0" w14:paraId="2AC516E8" w14:textId="77777777" w:rsidTr="00C22AE1">
        <w:tc>
          <w:tcPr>
            <w:tcW w:w="2122" w:type="dxa"/>
            <w:vAlign w:val="bottom"/>
          </w:tcPr>
          <w:p w14:paraId="40DCD2BB" w14:textId="7CFA7FB0"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 xml:space="preserve">Carrier </w:t>
            </w:r>
            <w:r w:rsidR="008B38E8">
              <w:rPr>
                <w:rFonts w:ascii="Times New Roman" w:hAnsi="Times New Roman" w:cs="Times New Roman"/>
                <w:color w:val="000000"/>
                <w:sz w:val="16"/>
                <w:szCs w:val="16"/>
              </w:rPr>
              <w:t>and Padilla</w:t>
            </w:r>
            <w:r w:rsidRPr="00192313">
              <w:rPr>
                <w:rFonts w:ascii="Times New Roman" w:hAnsi="Times New Roman" w:cs="Times New Roman"/>
                <w:color w:val="000000"/>
                <w:sz w:val="16"/>
                <w:szCs w:val="16"/>
              </w:rPr>
              <w:t>, 2025</w:t>
            </w:r>
          </w:p>
        </w:tc>
        <w:tc>
          <w:tcPr>
            <w:tcW w:w="6945" w:type="dxa"/>
            <w:vAlign w:val="bottom"/>
          </w:tcPr>
          <w:p w14:paraId="728D1E02"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Nurse practitioners (NPs) need to pay attention to these environmental and ecological determinants of health.</w:t>
            </w:r>
          </w:p>
        </w:tc>
      </w:tr>
      <w:tr w:rsidR="00492ED1" w:rsidRPr="00EE07E0" w14:paraId="10327142" w14:textId="77777777" w:rsidTr="00C22AE1">
        <w:tc>
          <w:tcPr>
            <w:tcW w:w="2122" w:type="dxa"/>
            <w:vAlign w:val="bottom"/>
          </w:tcPr>
          <w:p w14:paraId="5F350895"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Gislason et al, 2021</w:t>
            </w:r>
          </w:p>
        </w:tc>
        <w:tc>
          <w:tcPr>
            <w:tcW w:w="6945" w:type="dxa"/>
            <w:vAlign w:val="bottom"/>
          </w:tcPr>
          <w:p w14:paraId="10971CA4"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EDoH are distinct from the field of environmental health and extend beyond the limits of the ‘environmental’ determinants to the earth system. While environmental and ecological approaches are complementary, the EDoH strengthens attention to how ecosystems and ecologies are intrinsically linked to both human and animal health.</w:t>
            </w:r>
          </w:p>
        </w:tc>
      </w:tr>
      <w:tr w:rsidR="00492ED1" w:rsidRPr="00EE07E0" w14:paraId="7AC4684D" w14:textId="77777777" w:rsidTr="00C22AE1">
        <w:tc>
          <w:tcPr>
            <w:tcW w:w="2122" w:type="dxa"/>
            <w:vAlign w:val="bottom"/>
          </w:tcPr>
          <w:p w14:paraId="660C9693"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Hossain et al, 2025</w:t>
            </w:r>
          </w:p>
        </w:tc>
        <w:tc>
          <w:tcPr>
            <w:tcW w:w="6945" w:type="dxa"/>
            <w:vAlign w:val="bottom"/>
          </w:tcPr>
          <w:p w14:paraId="0BF96C82"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This cross-kingdom pathogenesis challenges the traditional understanding of host specificity and is driven by several interrelated ecological, genetic, and environmental factors.</w:t>
            </w:r>
          </w:p>
        </w:tc>
      </w:tr>
      <w:tr w:rsidR="00492ED1" w:rsidRPr="00EE07E0" w14:paraId="4AC9CBD2" w14:textId="77777777" w:rsidTr="00C22AE1">
        <w:tc>
          <w:tcPr>
            <w:tcW w:w="2122" w:type="dxa"/>
            <w:vAlign w:val="bottom"/>
          </w:tcPr>
          <w:p w14:paraId="61DAADF9"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Kennedy et al, 2024</w:t>
            </w:r>
          </w:p>
        </w:tc>
        <w:tc>
          <w:tcPr>
            <w:tcW w:w="6945" w:type="dxa"/>
            <w:vAlign w:val="bottom"/>
          </w:tcPr>
          <w:p w14:paraId="1D51161B"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Given that climate change impacts—when assessed through a holistic lens—span social, health, political and economic sectors, it remains important to understand the intersections between climate change and social, environmental, ecological and planetary Determinants of Health (DoH) across scales of individual, community, and eco-social systems.</w:t>
            </w:r>
          </w:p>
        </w:tc>
      </w:tr>
      <w:tr w:rsidR="00492ED1" w:rsidRPr="00EE07E0" w14:paraId="57D206CC" w14:textId="77777777" w:rsidTr="00C22AE1">
        <w:tc>
          <w:tcPr>
            <w:tcW w:w="2122" w:type="dxa"/>
            <w:vAlign w:val="bottom"/>
          </w:tcPr>
          <w:p w14:paraId="68E45CDA"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Leimbigler, 2023</w:t>
            </w:r>
          </w:p>
        </w:tc>
        <w:tc>
          <w:tcPr>
            <w:tcW w:w="6945" w:type="dxa"/>
            <w:vAlign w:val="bottom"/>
          </w:tcPr>
          <w:p w14:paraId="1BCB0D82"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Environmental AND ecological DoH</w:t>
            </w:r>
          </w:p>
        </w:tc>
      </w:tr>
      <w:tr w:rsidR="00192313" w:rsidRPr="00EE07E0" w14:paraId="357774BC" w14:textId="77777777" w:rsidTr="00192313">
        <w:tc>
          <w:tcPr>
            <w:tcW w:w="2122" w:type="dxa"/>
            <w:vAlign w:val="bottom"/>
          </w:tcPr>
          <w:p w14:paraId="688F0C16" w14:textId="5B73EBEC" w:rsidR="00192313" w:rsidRPr="00192313" w:rsidRDefault="00192313" w:rsidP="00192313">
            <w:pPr>
              <w:tabs>
                <w:tab w:val="right" w:pos="2189"/>
              </w:tabs>
              <w:rPr>
                <w:rFonts w:ascii="Times New Roman" w:hAnsi="Times New Roman" w:cs="Times New Roman"/>
                <w:sz w:val="16"/>
                <w:szCs w:val="16"/>
              </w:rPr>
            </w:pPr>
            <w:r w:rsidRPr="00192313">
              <w:rPr>
                <w:rFonts w:ascii="Times New Roman" w:hAnsi="Times New Roman" w:cs="Times New Roman"/>
                <w:color w:val="000000"/>
                <w:sz w:val="16"/>
                <w:szCs w:val="16"/>
              </w:rPr>
              <w:t>Li, 2017</w:t>
            </w:r>
          </w:p>
        </w:tc>
        <w:tc>
          <w:tcPr>
            <w:tcW w:w="6945" w:type="dxa"/>
            <w:vAlign w:val="bottom"/>
          </w:tcPr>
          <w:p w14:paraId="00ED94F0" w14:textId="092EAA6F"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Different determinants of health such as biological, psychosocial, environmental, socio-economical, health behaviour practices, medical advancement as well as ecological determinants imply for different public health approaches in tackling the subsequent or potential health problems.</w:t>
            </w:r>
          </w:p>
        </w:tc>
      </w:tr>
      <w:tr w:rsidR="00192313" w:rsidRPr="00EE07E0" w14:paraId="53EB40A7" w14:textId="77777777" w:rsidTr="00192313">
        <w:tc>
          <w:tcPr>
            <w:tcW w:w="2122" w:type="dxa"/>
            <w:vAlign w:val="bottom"/>
          </w:tcPr>
          <w:p w14:paraId="091CFC6D" w14:textId="263F71EB" w:rsidR="00192313" w:rsidRPr="00192313" w:rsidRDefault="00192313" w:rsidP="00192313">
            <w:pPr>
              <w:tabs>
                <w:tab w:val="right" w:pos="2189"/>
              </w:tabs>
              <w:rPr>
                <w:rFonts w:ascii="Times New Roman" w:hAnsi="Times New Roman" w:cs="Times New Roman"/>
                <w:sz w:val="16"/>
                <w:szCs w:val="16"/>
              </w:rPr>
            </w:pPr>
            <w:r w:rsidRPr="00192313">
              <w:rPr>
                <w:rFonts w:ascii="Times New Roman" w:hAnsi="Times New Roman" w:cs="Times New Roman"/>
                <w:color w:val="000000"/>
                <w:sz w:val="16"/>
                <w:szCs w:val="16"/>
              </w:rPr>
              <w:t>Lisitza</w:t>
            </w:r>
            <w:r w:rsidR="00157795">
              <w:rPr>
                <w:rFonts w:ascii="Times New Roman" w:hAnsi="Times New Roman" w:cs="Times New Roman"/>
                <w:color w:val="000000"/>
                <w:sz w:val="16"/>
                <w:szCs w:val="16"/>
              </w:rPr>
              <w:t xml:space="preserve"> and Wolbring</w:t>
            </w:r>
            <w:r w:rsidRPr="00192313">
              <w:rPr>
                <w:rFonts w:ascii="Times New Roman" w:hAnsi="Times New Roman" w:cs="Times New Roman"/>
                <w:color w:val="000000"/>
                <w:sz w:val="16"/>
                <w:szCs w:val="16"/>
              </w:rPr>
              <w:t>, 2018</w:t>
            </w:r>
          </w:p>
        </w:tc>
        <w:tc>
          <w:tcPr>
            <w:tcW w:w="6945" w:type="dxa"/>
            <w:vAlign w:val="bottom"/>
          </w:tcPr>
          <w:p w14:paraId="380C88DC" w14:textId="286829E3"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The boundaries between the different (ecological and environmental) determinants are unclear.</w:t>
            </w:r>
          </w:p>
        </w:tc>
      </w:tr>
      <w:tr w:rsidR="00492ED1" w:rsidRPr="00EE07E0" w14:paraId="3D816BBF" w14:textId="77777777" w:rsidTr="00C22AE1">
        <w:tc>
          <w:tcPr>
            <w:tcW w:w="2122" w:type="dxa"/>
            <w:vAlign w:val="bottom"/>
          </w:tcPr>
          <w:p w14:paraId="04DEFF09"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Lokmic-Tomkins et al, 2024</w:t>
            </w:r>
          </w:p>
        </w:tc>
        <w:tc>
          <w:tcPr>
            <w:tcW w:w="6945" w:type="dxa"/>
            <w:vAlign w:val="bottom"/>
          </w:tcPr>
          <w:p w14:paraId="79EABDD4"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Climate change, driven by global warming, significantly impacts both human and planetary ecological and environmental determinants of health, such as water, air, soil, food, natural resources, habitable climate, and human activities that affect these factors.</w:t>
            </w:r>
          </w:p>
        </w:tc>
      </w:tr>
      <w:tr w:rsidR="00192313" w:rsidRPr="00EE07E0" w14:paraId="6AF2618E" w14:textId="77777777" w:rsidTr="00192313">
        <w:tc>
          <w:tcPr>
            <w:tcW w:w="2122" w:type="dxa"/>
            <w:vAlign w:val="bottom"/>
          </w:tcPr>
          <w:p w14:paraId="42C616F5" w14:textId="52E10A34"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Parkes et al, 2020</w:t>
            </w:r>
          </w:p>
        </w:tc>
        <w:tc>
          <w:tcPr>
            <w:tcW w:w="6945" w:type="dxa"/>
            <w:vAlign w:val="bottom"/>
          </w:tcPr>
          <w:p w14:paraId="446B7EF5" w14:textId="1E51527F"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We emphasize that the Ecological DoH are not the same as the field of environmental health and are also not adequately captured within traditional framings of ‘environmental’ determinants of health. While environmental and ecological approaches are complementary, environmental DoH responds to the need for explicit attention to ecologies and ecosystems as foundational to human health), recognizing the complex and interacting impacts of climate change, biodiversity loss, pollution, ocean acidification and depletion, land and water degradation, and food security, from local to global scales, as they affect personal, public, and planetary health. This emphasis on systems relationships is complementary to, but not the same as, current framings of environmental public health, with its focus on the built environment, food handling, water safety, waste disposal, workplace health and safety, communicable disease control, and more generally the identification and management of known environmental health risks and exposures.</w:t>
            </w:r>
          </w:p>
        </w:tc>
      </w:tr>
      <w:tr w:rsidR="00192313" w:rsidRPr="00EE07E0" w14:paraId="1A45465A" w14:textId="77777777" w:rsidTr="00192313">
        <w:tc>
          <w:tcPr>
            <w:tcW w:w="2122" w:type="dxa"/>
            <w:vAlign w:val="bottom"/>
          </w:tcPr>
          <w:p w14:paraId="2E0B8711" w14:textId="135CCC71"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Stephen, 2023</w:t>
            </w:r>
          </w:p>
        </w:tc>
        <w:tc>
          <w:tcPr>
            <w:tcW w:w="6945" w:type="dxa"/>
            <w:vAlign w:val="bottom"/>
          </w:tcPr>
          <w:p w14:paraId="0B4968C7" w14:textId="6A1BCFC2"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Environmental AND ecological DoH</w:t>
            </w:r>
          </w:p>
        </w:tc>
      </w:tr>
      <w:tr w:rsidR="00E65662" w:rsidRPr="00EE07E0" w14:paraId="69359289" w14:textId="77777777" w:rsidTr="006C1573">
        <w:tc>
          <w:tcPr>
            <w:tcW w:w="9067" w:type="dxa"/>
            <w:gridSpan w:val="2"/>
          </w:tcPr>
          <w:p w14:paraId="62797976" w14:textId="712D1A9D" w:rsidR="00E65662" w:rsidRPr="00EE07E0" w:rsidRDefault="00AF5118" w:rsidP="006C1573">
            <w:pPr>
              <w:rPr>
                <w:rFonts w:ascii="Times New Roman" w:hAnsi="Times New Roman" w:cs="Times New Roman"/>
                <w:b/>
                <w:bCs/>
                <w:sz w:val="16"/>
                <w:szCs w:val="16"/>
              </w:rPr>
            </w:pPr>
            <w:r>
              <w:rPr>
                <w:rFonts w:ascii="Times New Roman" w:hAnsi="Times New Roman" w:cs="Times New Roman"/>
                <w:b/>
                <w:bCs/>
                <w:sz w:val="16"/>
                <w:szCs w:val="16"/>
              </w:rPr>
              <w:t>Env</w:t>
            </w:r>
            <w:r w:rsidR="00E65662" w:rsidRPr="00EE07E0">
              <w:rPr>
                <w:rFonts w:ascii="Times New Roman" w:hAnsi="Times New Roman" w:cs="Times New Roman"/>
                <w:b/>
                <w:bCs/>
                <w:sz w:val="16"/>
                <w:szCs w:val="16"/>
              </w:rPr>
              <w:t xml:space="preserve">DoH </w:t>
            </w:r>
            <w:r>
              <w:rPr>
                <w:rFonts w:ascii="Times New Roman" w:hAnsi="Times New Roman" w:cs="Times New Roman"/>
                <w:b/>
                <w:bCs/>
                <w:sz w:val="16"/>
                <w:szCs w:val="16"/>
              </w:rPr>
              <w:t>are part of</w:t>
            </w:r>
            <w:r w:rsidR="00E65662" w:rsidRPr="00EE07E0">
              <w:rPr>
                <w:rFonts w:ascii="Times New Roman" w:hAnsi="Times New Roman" w:cs="Times New Roman"/>
                <w:b/>
                <w:bCs/>
                <w:sz w:val="16"/>
                <w:szCs w:val="16"/>
              </w:rPr>
              <w:t xml:space="preserve"> </w:t>
            </w:r>
            <w:r>
              <w:rPr>
                <w:rFonts w:ascii="Times New Roman" w:hAnsi="Times New Roman" w:cs="Times New Roman"/>
                <w:b/>
                <w:bCs/>
                <w:sz w:val="16"/>
                <w:szCs w:val="16"/>
              </w:rPr>
              <w:t>Ecl</w:t>
            </w:r>
            <w:r w:rsidR="00E65662" w:rsidRPr="00EE07E0">
              <w:rPr>
                <w:rFonts w:ascii="Times New Roman" w:hAnsi="Times New Roman" w:cs="Times New Roman"/>
                <w:b/>
                <w:bCs/>
                <w:sz w:val="16"/>
                <w:szCs w:val="16"/>
              </w:rPr>
              <w:t>DoH</w:t>
            </w:r>
          </w:p>
        </w:tc>
      </w:tr>
      <w:tr w:rsidR="00192313" w:rsidRPr="00EE07E0" w14:paraId="5B7C3081" w14:textId="77777777" w:rsidTr="00192313">
        <w:tc>
          <w:tcPr>
            <w:tcW w:w="2122" w:type="dxa"/>
            <w:vAlign w:val="bottom"/>
          </w:tcPr>
          <w:p w14:paraId="47437679" w14:textId="56FBC43F"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Moutinho et al, 2022</w:t>
            </w:r>
          </w:p>
        </w:tc>
        <w:tc>
          <w:tcPr>
            <w:tcW w:w="6945" w:type="dxa"/>
            <w:vAlign w:val="bottom"/>
          </w:tcPr>
          <w:p w14:paraId="0224DE98" w14:textId="13A47FC7"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...The objective of the present scoping review is to identify and describe the methodological approaches used in investigations of the spatial variation of mosquito-borne diseases and its potential influencing ecological factors (e.g., environmental, socioeconomic, and healthcare-related) within the existing literature.</w:t>
            </w:r>
          </w:p>
        </w:tc>
      </w:tr>
      <w:tr w:rsidR="00E65662" w:rsidRPr="00EE07E0" w14:paraId="4D29AB94" w14:textId="77777777" w:rsidTr="006C1573">
        <w:tc>
          <w:tcPr>
            <w:tcW w:w="9067" w:type="dxa"/>
            <w:gridSpan w:val="2"/>
          </w:tcPr>
          <w:p w14:paraId="19181D53" w14:textId="5BFB3F6F" w:rsidR="00E65662" w:rsidRPr="00EE07E0" w:rsidRDefault="00AF5118" w:rsidP="006C1573">
            <w:pPr>
              <w:rPr>
                <w:rFonts w:ascii="Times New Roman" w:hAnsi="Times New Roman" w:cs="Times New Roman"/>
                <w:b/>
                <w:bCs/>
                <w:sz w:val="16"/>
                <w:szCs w:val="16"/>
              </w:rPr>
            </w:pPr>
            <w:r>
              <w:rPr>
                <w:rFonts w:ascii="Times New Roman" w:hAnsi="Times New Roman" w:cs="Times New Roman"/>
                <w:b/>
                <w:bCs/>
                <w:sz w:val="16"/>
                <w:szCs w:val="16"/>
              </w:rPr>
              <w:t>Ecl</w:t>
            </w:r>
            <w:r w:rsidR="00E65662" w:rsidRPr="00EE07E0">
              <w:rPr>
                <w:rFonts w:ascii="Times New Roman" w:hAnsi="Times New Roman" w:cs="Times New Roman"/>
                <w:b/>
                <w:bCs/>
                <w:sz w:val="16"/>
                <w:szCs w:val="16"/>
              </w:rPr>
              <w:t>DoH a</w:t>
            </w:r>
            <w:r>
              <w:rPr>
                <w:rFonts w:ascii="Times New Roman" w:hAnsi="Times New Roman" w:cs="Times New Roman"/>
                <w:b/>
                <w:bCs/>
                <w:sz w:val="16"/>
                <w:szCs w:val="16"/>
              </w:rPr>
              <w:t xml:space="preserve">re </w:t>
            </w:r>
            <w:r w:rsidR="00192313">
              <w:rPr>
                <w:rFonts w:ascii="Times New Roman" w:hAnsi="Times New Roman" w:cs="Times New Roman"/>
                <w:b/>
                <w:bCs/>
                <w:sz w:val="16"/>
                <w:szCs w:val="16"/>
              </w:rPr>
              <w:t>the same as</w:t>
            </w:r>
            <w:r w:rsidR="00E65662" w:rsidRPr="00EE07E0">
              <w:rPr>
                <w:rFonts w:ascii="Times New Roman" w:hAnsi="Times New Roman" w:cs="Times New Roman"/>
                <w:b/>
                <w:bCs/>
                <w:sz w:val="16"/>
                <w:szCs w:val="16"/>
              </w:rPr>
              <w:t xml:space="preserve"> </w:t>
            </w:r>
            <w:r>
              <w:rPr>
                <w:rFonts w:ascii="Times New Roman" w:hAnsi="Times New Roman" w:cs="Times New Roman"/>
                <w:b/>
                <w:bCs/>
                <w:sz w:val="16"/>
                <w:szCs w:val="16"/>
              </w:rPr>
              <w:t>EnvD</w:t>
            </w:r>
            <w:r w:rsidR="00E65662" w:rsidRPr="00EE07E0">
              <w:rPr>
                <w:rFonts w:ascii="Times New Roman" w:hAnsi="Times New Roman" w:cs="Times New Roman"/>
                <w:b/>
                <w:bCs/>
                <w:sz w:val="16"/>
                <w:szCs w:val="16"/>
              </w:rPr>
              <w:t>oH</w:t>
            </w:r>
          </w:p>
        </w:tc>
      </w:tr>
      <w:tr w:rsidR="00492ED1" w:rsidRPr="00EE07E0" w14:paraId="660450BA" w14:textId="77777777" w:rsidTr="00C22AE1">
        <w:tc>
          <w:tcPr>
            <w:tcW w:w="2122" w:type="dxa"/>
            <w:vAlign w:val="bottom"/>
          </w:tcPr>
          <w:p w14:paraId="0A995FA2"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Bennett et al, 2024</w:t>
            </w:r>
          </w:p>
        </w:tc>
        <w:tc>
          <w:tcPr>
            <w:tcW w:w="6945" w:type="dxa"/>
            <w:vAlign w:val="bottom"/>
          </w:tcPr>
          <w:p w14:paraId="38F69023" w14:textId="159F5014"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 xml:space="preserve">Ecological DoH = </w:t>
            </w:r>
            <w:r>
              <w:rPr>
                <w:rFonts w:ascii="Times New Roman" w:hAnsi="Times New Roman" w:cs="Times New Roman"/>
                <w:color w:val="000000"/>
                <w:sz w:val="16"/>
                <w:szCs w:val="16"/>
              </w:rPr>
              <w:t>E</w:t>
            </w:r>
            <w:r w:rsidRPr="00192313">
              <w:rPr>
                <w:rFonts w:ascii="Times New Roman" w:hAnsi="Times New Roman" w:cs="Times New Roman"/>
                <w:color w:val="000000"/>
                <w:sz w:val="16"/>
                <w:szCs w:val="16"/>
              </w:rPr>
              <w:t>nvironmental DoH</w:t>
            </w:r>
          </w:p>
        </w:tc>
      </w:tr>
      <w:tr w:rsidR="00492ED1" w:rsidRPr="00EE07E0" w14:paraId="6C1331AD" w14:textId="77777777" w:rsidTr="00C22AE1">
        <w:tc>
          <w:tcPr>
            <w:tcW w:w="2122" w:type="dxa"/>
            <w:vAlign w:val="bottom"/>
          </w:tcPr>
          <w:p w14:paraId="0459389E"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Capps et al, 2023</w:t>
            </w:r>
          </w:p>
        </w:tc>
        <w:tc>
          <w:tcPr>
            <w:tcW w:w="6945" w:type="dxa"/>
            <w:vAlign w:val="bottom"/>
          </w:tcPr>
          <w:p w14:paraId="6DDDABC2"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Ecological DoH = Environmental DoH</w:t>
            </w:r>
          </w:p>
        </w:tc>
      </w:tr>
      <w:tr w:rsidR="00492ED1" w:rsidRPr="00EE07E0" w14:paraId="7A106DC2" w14:textId="77777777" w:rsidTr="00C22AE1">
        <w:tc>
          <w:tcPr>
            <w:tcW w:w="2122" w:type="dxa"/>
            <w:vAlign w:val="bottom"/>
          </w:tcPr>
          <w:p w14:paraId="3765B1F5"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Capps, 2024</w:t>
            </w:r>
          </w:p>
        </w:tc>
        <w:tc>
          <w:tcPr>
            <w:tcW w:w="6945" w:type="dxa"/>
            <w:vAlign w:val="bottom"/>
          </w:tcPr>
          <w:p w14:paraId="5368E470" w14:textId="1BCFD6E6"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 xml:space="preserve">Ecological DoH = Environmental DoH </w:t>
            </w:r>
          </w:p>
        </w:tc>
      </w:tr>
      <w:tr w:rsidR="00192313" w:rsidRPr="00EE07E0" w14:paraId="51AA31CE" w14:textId="77777777" w:rsidTr="00192313">
        <w:tc>
          <w:tcPr>
            <w:tcW w:w="2122" w:type="dxa"/>
            <w:vAlign w:val="bottom"/>
          </w:tcPr>
          <w:p w14:paraId="03A33DFA" w14:textId="27806711"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Dea et al, 2019</w:t>
            </w:r>
          </w:p>
        </w:tc>
        <w:tc>
          <w:tcPr>
            <w:tcW w:w="6945" w:type="dxa"/>
            <w:vAlign w:val="bottom"/>
          </w:tcPr>
          <w:p w14:paraId="288D595E" w14:textId="7079FEA4"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 xml:space="preserve">Ecological DoH = </w:t>
            </w:r>
            <w:r w:rsidR="00492ED1">
              <w:rPr>
                <w:rFonts w:ascii="Times New Roman" w:hAnsi="Times New Roman" w:cs="Times New Roman"/>
                <w:color w:val="000000"/>
                <w:sz w:val="16"/>
                <w:szCs w:val="16"/>
              </w:rPr>
              <w:t>E</w:t>
            </w:r>
            <w:r w:rsidRPr="00192313">
              <w:rPr>
                <w:rFonts w:ascii="Times New Roman" w:hAnsi="Times New Roman" w:cs="Times New Roman"/>
                <w:color w:val="000000"/>
                <w:sz w:val="16"/>
                <w:szCs w:val="16"/>
              </w:rPr>
              <w:t>nvironmental DoH</w:t>
            </w:r>
          </w:p>
        </w:tc>
      </w:tr>
      <w:tr w:rsidR="00492ED1" w:rsidRPr="00EE07E0" w14:paraId="3FAD84E8" w14:textId="77777777" w:rsidTr="00C22AE1">
        <w:tc>
          <w:tcPr>
            <w:tcW w:w="2122" w:type="dxa"/>
            <w:vAlign w:val="bottom"/>
          </w:tcPr>
          <w:p w14:paraId="14F5D63A"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Ferraguti et al, 2024</w:t>
            </w:r>
          </w:p>
        </w:tc>
        <w:tc>
          <w:tcPr>
            <w:tcW w:w="6945" w:type="dxa"/>
            <w:vAlign w:val="bottom"/>
          </w:tcPr>
          <w:p w14:paraId="36283607" w14:textId="6FD992EE"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Ecologic</w:t>
            </w:r>
            <w:r>
              <w:rPr>
                <w:rFonts w:ascii="Times New Roman" w:hAnsi="Times New Roman" w:cs="Times New Roman"/>
                <w:color w:val="000000"/>
                <w:sz w:val="16"/>
                <w:szCs w:val="16"/>
              </w:rPr>
              <w:t>al</w:t>
            </w:r>
            <w:r w:rsidRPr="00192313">
              <w:rPr>
                <w:rFonts w:ascii="Times New Roman" w:hAnsi="Times New Roman" w:cs="Times New Roman"/>
                <w:color w:val="000000"/>
                <w:sz w:val="16"/>
                <w:szCs w:val="16"/>
              </w:rPr>
              <w:t xml:space="preserve"> DoH = Environmental DoH</w:t>
            </w:r>
          </w:p>
        </w:tc>
      </w:tr>
      <w:tr w:rsidR="00192313" w:rsidRPr="00EE07E0" w14:paraId="609D08A2" w14:textId="77777777" w:rsidTr="00192313">
        <w:tc>
          <w:tcPr>
            <w:tcW w:w="2122" w:type="dxa"/>
            <w:vAlign w:val="bottom"/>
          </w:tcPr>
          <w:p w14:paraId="094590B1" w14:textId="603288CE"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Friedsam et al, 2022</w:t>
            </w:r>
          </w:p>
        </w:tc>
        <w:tc>
          <w:tcPr>
            <w:tcW w:w="6945" w:type="dxa"/>
            <w:vAlign w:val="bottom"/>
          </w:tcPr>
          <w:p w14:paraId="4CCC9C82" w14:textId="0DB7411F"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Ecological DoH = Environmental DoH</w:t>
            </w:r>
          </w:p>
        </w:tc>
      </w:tr>
      <w:tr w:rsidR="00192313" w:rsidRPr="00EE07E0" w14:paraId="5C322D69" w14:textId="77777777" w:rsidTr="00192313">
        <w:tc>
          <w:tcPr>
            <w:tcW w:w="2122" w:type="dxa"/>
            <w:vAlign w:val="bottom"/>
          </w:tcPr>
          <w:p w14:paraId="03610DCA" w14:textId="4A4A0685"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Neira et al, 2023</w:t>
            </w:r>
          </w:p>
        </w:tc>
        <w:tc>
          <w:tcPr>
            <w:tcW w:w="6945" w:type="dxa"/>
            <w:vAlign w:val="bottom"/>
          </w:tcPr>
          <w:p w14:paraId="3D5AB72E" w14:textId="14E9085E"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Ecological DoH = Environmental DoH</w:t>
            </w:r>
          </w:p>
        </w:tc>
      </w:tr>
      <w:tr w:rsidR="00492ED1" w:rsidRPr="00EE07E0" w14:paraId="5D4B0E77" w14:textId="77777777" w:rsidTr="00C22AE1">
        <w:tc>
          <w:tcPr>
            <w:tcW w:w="2122" w:type="dxa"/>
            <w:vAlign w:val="bottom"/>
          </w:tcPr>
          <w:p w14:paraId="4B973D2D"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Talla et al, 2014</w:t>
            </w:r>
          </w:p>
        </w:tc>
        <w:tc>
          <w:tcPr>
            <w:tcW w:w="6945" w:type="dxa"/>
            <w:vAlign w:val="bottom"/>
          </w:tcPr>
          <w:p w14:paraId="0412B8E0" w14:textId="77777777" w:rsidR="00492ED1" w:rsidRPr="00192313" w:rsidRDefault="00492ED1" w:rsidP="00C22AE1">
            <w:pPr>
              <w:rPr>
                <w:rFonts w:ascii="Times New Roman" w:hAnsi="Times New Roman" w:cs="Times New Roman"/>
                <w:sz w:val="16"/>
                <w:szCs w:val="16"/>
              </w:rPr>
            </w:pPr>
            <w:r w:rsidRPr="00192313">
              <w:rPr>
                <w:rFonts w:ascii="Times New Roman" w:hAnsi="Times New Roman" w:cs="Times New Roman"/>
                <w:color w:val="000000"/>
                <w:sz w:val="16"/>
                <w:szCs w:val="16"/>
              </w:rPr>
              <w:t>Ecological DoH = Environmental DoH</w:t>
            </w:r>
          </w:p>
        </w:tc>
      </w:tr>
      <w:tr w:rsidR="00B8701B" w:rsidRPr="00EE07E0" w14:paraId="0DF57744" w14:textId="77777777" w:rsidTr="00C22AE1">
        <w:tc>
          <w:tcPr>
            <w:tcW w:w="9067" w:type="dxa"/>
            <w:gridSpan w:val="2"/>
          </w:tcPr>
          <w:p w14:paraId="7B6C89F5" w14:textId="36F514B1" w:rsidR="00B8701B" w:rsidRPr="00EE07E0" w:rsidRDefault="00B8701B" w:rsidP="00C22AE1">
            <w:pPr>
              <w:rPr>
                <w:rFonts w:ascii="Times New Roman" w:hAnsi="Times New Roman" w:cs="Times New Roman"/>
                <w:b/>
                <w:bCs/>
                <w:sz w:val="16"/>
                <w:szCs w:val="16"/>
              </w:rPr>
            </w:pPr>
            <w:r>
              <w:rPr>
                <w:rFonts w:ascii="Times New Roman" w:hAnsi="Times New Roman" w:cs="Times New Roman"/>
                <w:b/>
                <w:bCs/>
                <w:sz w:val="16"/>
                <w:szCs w:val="16"/>
              </w:rPr>
              <w:t>Ecl</w:t>
            </w:r>
            <w:r w:rsidRPr="00EE07E0">
              <w:rPr>
                <w:rFonts w:ascii="Times New Roman" w:hAnsi="Times New Roman" w:cs="Times New Roman"/>
                <w:b/>
                <w:bCs/>
                <w:sz w:val="16"/>
                <w:szCs w:val="16"/>
              </w:rPr>
              <w:t>DoH a</w:t>
            </w:r>
            <w:r>
              <w:rPr>
                <w:rFonts w:ascii="Times New Roman" w:hAnsi="Times New Roman" w:cs="Times New Roman"/>
                <w:b/>
                <w:bCs/>
                <w:sz w:val="16"/>
                <w:szCs w:val="16"/>
              </w:rPr>
              <w:t xml:space="preserve">re the same </w:t>
            </w:r>
            <w:r w:rsidR="00192313">
              <w:rPr>
                <w:rFonts w:ascii="Times New Roman" w:hAnsi="Times New Roman" w:cs="Times New Roman"/>
                <w:b/>
                <w:bCs/>
                <w:sz w:val="16"/>
                <w:szCs w:val="16"/>
              </w:rPr>
              <w:t>as</w:t>
            </w:r>
            <w:r>
              <w:rPr>
                <w:rFonts w:ascii="Times New Roman" w:hAnsi="Times New Roman" w:cs="Times New Roman"/>
                <w:b/>
                <w:bCs/>
                <w:sz w:val="16"/>
                <w:szCs w:val="16"/>
              </w:rPr>
              <w:t xml:space="preserve"> SD</w:t>
            </w:r>
            <w:r w:rsidRPr="00EE07E0">
              <w:rPr>
                <w:rFonts w:ascii="Times New Roman" w:hAnsi="Times New Roman" w:cs="Times New Roman"/>
                <w:b/>
                <w:bCs/>
                <w:sz w:val="16"/>
                <w:szCs w:val="16"/>
              </w:rPr>
              <w:t>oH</w:t>
            </w:r>
          </w:p>
        </w:tc>
      </w:tr>
      <w:tr w:rsidR="00192313" w:rsidRPr="00EE07E0" w14:paraId="409F0EBC" w14:textId="77777777" w:rsidTr="004D46AB">
        <w:tc>
          <w:tcPr>
            <w:tcW w:w="2122" w:type="dxa"/>
            <w:vAlign w:val="bottom"/>
          </w:tcPr>
          <w:p w14:paraId="5E868949" w14:textId="327DE674"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Bogart et al, 2019</w:t>
            </w:r>
          </w:p>
        </w:tc>
        <w:tc>
          <w:tcPr>
            <w:tcW w:w="6945" w:type="dxa"/>
            <w:vAlign w:val="bottom"/>
          </w:tcPr>
          <w:p w14:paraId="6A4DAAD1" w14:textId="400C62DE"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 xml:space="preserve">Ecological </w:t>
            </w:r>
            <w:r>
              <w:rPr>
                <w:rFonts w:ascii="Times New Roman" w:hAnsi="Times New Roman" w:cs="Times New Roman"/>
                <w:color w:val="000000"/>
                <w:sz w:val="16"/>
                <w:szCs w:val="16"/>
              </w:rPr>
              <w:t>D</w:t>
            </w:r>
            <w:r w:rsidRPr="00192313">
              <w:rPr>
                <w:rFonts w:ascii="Times New Roman" w:hAnsi="Times New Roman" w:cs="Times New Roman"/>
                <w:color w:val="000000"/>
                <w:sz w:val="16"/>
                <w:szCs w:val="16"/>
              </w:rPr>
              <w:t xml:space="preserve">oH = </w:t>
            </w:r>
            <w:r>
              <w:rPr>
                <w:rFonts w:ascii="Times New Roman" w:hAnsi="Times New Roman" w:cs="Times New Roman"/>
                <w:color w:val="000000"/>
                <w:sz w:val="16"/>
                <w:szCs w:val="16"/>
              </w:rPr>
              <w:t>S</w:t>
            </w:r>
            <w:r w:rsidRPr="00192313">
              <w:rPr>
                <w:rFonts w:ascii="Times New Roman" w:hAnsi="Times New Roman" w:cs="Times New Roman"/>
                <w:color w:val="000000"/>
                <w:sz w:val="16"/>
                <w:szCs w:val="16"/>
              </w:rPr>
              <w:t>ocial DoH</w:t>
            </w:r>
          </w:p>
        </w:tc>
      </w:tr>
      <w:tr w:rsidR="00192313" w:rsidRPr="00EE07E0" w14:paraId="16BED9A6" w14:textId="77777777" w:rsidTr="004D46AB">
        <w:tc>
          <w:tcPr>
            <w:tcW w:w="2122" w:type="dxa"/>
            <w:vAlign w:val="bottom"/>
          </w:tcPr>
          <w:p w14:paraId="310510F9" w14:textId="2474C9E6"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Rossi et al, 2024</w:t>
            </w:r>
          </w:p>
        </w:tc>
        <w:tc>
          <w:tcPr>
            <w:tcW w:w="6945" w:type="dxa"/>
            <w:vAlign w:val="bottom"/>
          </w:tcPr>
          <w:p w14:paraId="2A68EFA8" w14:textId="2F724B88"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Ecological DoH = Social DoH</w:t>
            </w:r>
          </w:p>
        </w:tc>
      </w:tr>
      <w:tr w:rsidR="00192313" w:rsidRPr="00EE07E0" w14:paraId="198BC93B" w14:textId="77777777" w:rsidTr="00C22AE1">
        <w:tc>
          <w:tcPr>
            <w:tcW w:w="9067" w:type="dxa"/>
            <w:gridSpan w:val="2"/>
          </w:tcPr>
          <w:p w14:paraId="057FF94E" w14:textId="29370168" w:rsidR="00192313" w:rsidRPr="00EE07E0" w:rsidRDefault="00192313" w:rsidP="00C22AE1">
            <w:pPr>
              <w:rPr>
                <w:rFonts w:ascii="Times New Roman" w:hAnsi="Times New Roman" w:cs="Times New Roman"/>
                <w:b/>
                <w:bCs/>
                <w:sz w:val="16"/>
                <w:szCs w:val="16"/>
              </w:rPr>
            </w:pPr>
            <w:r>
              <w:rPr>
                <w:rFonts w:ascii="Times New Roman" w:hAnsi="Times New Roman" w:cs="Times New Roman"/>
                <w:b/>
                <w:bCs/>
                <w:sz w:val="16"/>
                <w:szCs w:val="16"/>
              </w:rPr>
              <w:t>Ecl</w:t>
            </w:r>
            <w:r w:rsidRPr="00EE07E0">
              <w:rPr>
                <w:rFonts w:ascii="Times New Roman" w:hAnsi="Times New Roman" w:cs="Times New Roman"/>
                <w:b/>
                <w:bCs/>
                <w:sz w:val="16"/>
                <w:szCs w:val="16"/>
              </w:rPr>
              <w:t>DoH a</w:t>
            </w:r>
            <w:r>
              <w:rPr>
                <w:rFonts w:ascii="Times New Roman" w:hAnsi="Times New Roman" w:cs="Times New Roman"/>
                <w:b/>
                <w:bCs/>
                <w:sz w:val="16"/>
                <w:szCs w:val="16"/>
              </w:rPr>
              <w:t>re  part of SD</w:t>
            </w:r>
            <w:r w:rsidRPr="00EE07E0">
              <w:rPr>
                <w:rFonts w:ascii="Times New Roman" w:hAnsi="Times New Roman" w:cs="Times New Roman"/>
                <w:b/>
                <w:bCs/>
                <w:sz w:val="16"/>
                <w:szCs w:val="16"/>
              </w:rPr>
              <w:t>oH</w:t>
            </w:r>
          </w:p>
        </w:tc>
      </w:tr>
      <w:tr w:rsidR="00192313" w:rsidRPr="00EE07E0" w14:paraId="5CB9CD7C" w14:textId="77777777" w:rsidTr="00D24BAB">
        <w:tc>
          <w:tcPr>
            <w:tcW w:w="2122" w:type="dxa"/>
            <w:vAlign w:val="bottom"/>
          </w:tcPr>
          <w:p w14:paraId="22B39023" w14:textId="46C0D378"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 xml:space="preserve">Muntaner </w:t>
            </w:r>
            <w:r w:rsidR="001F3EE2">
              <w:rPr>
                <w:rFonts w:ascii="Times New Roman" w:hAnsi="Times New Roman" w:cs="Times New Roman"/>
                <w:color w:val="000000"/>
                <w:sz w:val="16"/>
                <w:szCs w:val="16"/>
              </w:rPr>
              <w:t xml:space="preserve">and Benach, </w:t>
            </w:r>
            <w:r w:rsidRPr="00192313">
              <w:rPr>
                <w:rFonts w:ascii="Times New Roman" w:hAnsi="Times New Roman" w:cs="Times New Roman"/>
                <w:color w:val="000000"/>
                <w:sz w:val="16"/>
                <w:szCs w:val="16"/>
              </w:rPr>
              <w:t>2023</w:t>
            </w:r>
          </w:p>
        </w:tc>
        <w:tc>
          <w:tcPr>
            <w:tcW w:w="6945" w:type="dxa"/>
            <w:vAlign w:val="bottom"/>
          </w:tcPr>
          <w:p w14:paraId="5DAD4EED" w14:textId="328DA19D" w:rsidR="00192313" w:rsidRPr="00192313" w:rsidRDefault="00192313" w:rsidP="00192313">
            <w:pPr>
              <w:rPr>
                <w:rFonts w:ascii="Times New Roman" w:hAnsi="Times New Roman" w:cs="Times New Roman"/>
                <w:sz w:val="16"/>
                <w:szCs w:val="16"/>
              </w:rPr>
            </w:pPr>
            <w:r w:rsidRPr="00192313">
              <w:rPr>
                <w:rFonts w:ascii="Times New Roman" w:hAnsi="Times New Roman" w:cs="Times New Roman"/>
                <w:color w:val="000000"/>
                <w:sz w:val="16"/>
                <w:szCs w:val="16"/>
              </w:rPr>
              <w:t>Despite the misunderstandings of the term “social,” the authors argue that social DoH remains a useful umbrella term to capture the political, economic, cultural, and ecological determinants of health.</w:t>
            </w:r>
          </w:p>
        </w:tc>
      </w:tr>
      <w:tr w:rsidR="00192313" w:rsidRPr="00EE07E0" w14:paraId="28E0899F" w14:textId="77777777" w:rsidTr="00C22AE1">
        <w:tc>
          <w:tcPr>
            <w:tcW w:w="9067" w:type="dxa"/>
            <w:gridSpan w:val="2"/>
          </w:tcPr>
          <w:p w14:paraId="29E3F2A6" w14:textId="1F056B84" w:rsidR="00192313" w:rsidRPr="00EE07E0" w:rsidRDefault="00192313" w:rsidP="00C22AE1">
            <w:pPr>
              <w:rPr>
                <w:rFonts w:ascii="Times New Roman" w:hAnsi="Times New Roman" w:cs="Times New Roman"/>
                <w:b/>
                <w:bCs/>
                <w:sz w:val="16"/>
                <w:szCs w:val="16"/>
              </w:rPr>
            </w:pPr>
            <w:r>
              <w:rPr>
                <w:rFonts w:ascii="Times New Roman" w:hAnsi="Times New Roman" w:cs="Times New Roman"/>
                <w:b/>
                <w:bCs/>
                <w:sz w:val="16"/>
                <w:szCs w:val="16"/>
              </w:rPr>
              <w:t>Other relationships between Ecl</w:t>
            </w:r>
            <w:r w:rsidRPr="00EE07E0">
              <w:rPr>
                <w:rFonts w:ascii="Times New Roman" w:hAnsi="Times New Roman" w:cs="Times New Roman"/>
                <w:b/>
                <w:bCs/>
                <w:sz w:val="16"/>
                <w:szCs w:val="16"/>
              </w:rPr>
              <w:t xml:space="preserve">DoH </w:t>
            </w:r>
            <w:r>
              <w:rPr>
                <w:rFonts w:ascii="Times New Roman" w:hAnsi="Times New Roman" w:cs="Times New Roman"/>
                <w:b/>
                <w:bCs/>
                <w:sz w:val="16"/>
                <w:szCs w:val="16"/>
              </w:rPr>
              <w:t>and SD</w:t>
            </w:r>
            <w:r w:rsidRPr="00EE07E0">
              <w:rPr>
                <w:rFonts w:ascii="Times New Roman" w:hAnsi="Times New Roman" w:cs="Times New Roman"/>
                <w:b/>
                <w:bCs/>
                <w:sz w:val="16"/>
                <w:szCs w:val="16"/>
              </w:rPr>
              <w:t>oH</w:t>
            </w:r>
          </w:p>
        </w:tc>
      </w:tr>
      <w:tr w:rsidR="00492ED1" w:rsidRPr="00EE07E0" w14:paraId="2A75D2C1" w14:textId="77777777" w:rsidTr="00C22AE1">
        <w:tc>
          <w:tcPr>
            <w:tcW w:w="2122" w:type="dxa"/>
            <w:vAlign w:val="bottom"/>
          </w:tcPr>
          <w:p w14:paraId="6C388DDA" w14:textId="77777777" w:rsidR="00492ED1" w:rsidRPr="00492ED1" w:rsidRDefault="00492ED1" w:rsidP="00C22AE1">
            <w:pPr>
              <w:rPr>
                <w:rFonts w:ascii="Times New Roman" w:hAnsi="Times New Roman" w:cs="Times New Roman"/>
                <w:sz w:val="16"/>
                <w:szCs w:val="16"/>
              </w:rPr>
            </w:pPr>
            <w:r w:rsidRPr="00492ED1">
              <w:rPr>
                <w:rFonts w:ascii="Times New Roman" w:hAnsi="Times New Roman" w:cs="Times New Roman"/>
                <w:color w:val="000000"/>
                <w:sz w:val="16"/>
                <w:szCs w:val="16"/>
              </w:rPr>
              <w:t>Capps, 2024</w:t>
            </w:r>
          </w:p>
        </w:tc>
        <w:tc>
          <w:tcPr>
            <w:tcW w:w="6945" w:type="dxa"/>
            <w:vAlign w:val="bottom"/>
          </w:tcPr>
          <w:p w14:paraId="50A6CF91" w14:textId="77777777" w:rsidR="00492ED1" w:rsidRPr="00492ED1" w:rsidRDefault="00492ED1" w:rsidP="00C22AE1">
            <w:pPr>
              <w:rPr>
                <w:rFonts w:ascii="Times New Roman" w:hAnsi="Times New Roman" w:cs="Times New Roman"/>
                <w:sz w:val="16"/>
                <w:szCs w:val="16"/>
              </w:rPr>
            </w:pPr>
            <w:r w:rsidRPr="00492ED1">
              <w:rPr>
                <w:rFonts w:ascii="Times New Roman" w:hAnsi="Times New Roman" w:cs="Times New Roman"/>
                <w:color w:val="000000"/>
                <w:sz w:val="16"/>
                <w:szCs w:val="16"/>
              </w:rPr>
              <w:t xml:space="preserve">The United Nation’s (UN) Sustainable Development Goals state that climate change and the loss of biodiversity have substantive impacts on human health. These are referred to as social determinants of health affecting human populations, but environmental or ecological determinants might extend the concept of populations health to include the many organisms whose genomes are regularly sequenced in contexts that have broader-than-public health impacts. </w:t>
            </w:r>
          </w:p>
        </w:tc>
      </w:tr>
      <w:tr w:rsidR="00492ED1" w:rsidRPr="00EE07E0" w14:paraId="3FA8692E" w14:textId="77777777" w:rsidTr="00ED09CB">
        <w:tc>
          <w:tcPr>
            <w:tcW w:w="2122" w:type="dxa"/>
            <w:vAlign w:val="bottom"/>
          </w:tcPr>
          <w:p w14:paraId="467B6348" w14:textId="3E2EF60C"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Crosse et al, 2021</w:t>
            </w:r>
          </w:p>
        </w:tc>
        <w:tc>
          <w:tcPr>
            <w:tcW w:w="6945" w:type="dxa"/>
            <w:vAlign w:val="bottom"/>
          </w:tcPr>
          <w:p w14:paraId="069C9262" w14:textId="2AA1F9A3"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The system-based approach of EcoHealth occupies the interface between social and ecological determinants of population and planetary health and positions itself to address determinants that influence the health and wellbeing of humans, natural systems, and sustainability.... Ecological determinants of health need to be regarded with similar importance as the social determinants of health in research, practice, and policy, for example, policy within natural resource management and public health.</w:t>
            </w:r>
          </w:p>
        </w:tc>
      </w:tr>
      <w:tr w:rsidR="00492ED1" w:rsidRPr="00EE07E0" w14:paraId="55AAB272" w14:textId="77777777" w:rsidTr="00ED09CB">
        <w:tc>
          <w:tcPr>
            <w:tcW w:w="2122" w:type="dxa"/>
            <w:vAlign w:val="bottom"/>
          </w:tcPr>
          <w:p w14:paraId="3AD7F0AA" w14:textId="22F29C70"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Hancock et al, 2022a</w:t>
            </w:r>
          </w:p>
        </w:tc>
        <w:tc>
          <w:tcPr>
            <w:tcW w:w="6945" w:type="dxa"/>
            <w:vAlign w:val="bottom"/>
          </w:tcPr>
          <w:p w14:paraId="09387344" w14:textId="50682D55"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This is not to suggest that we should turn away from the social determinants of health, but rather that we should recognise that the ecological and the social completely intersect, and this requires an eco-social approach to population health, which is what this report for CPHA calls for. Social and economic developments drive ecological changes, while ecological changes impact the wellbeing of societies, communities and individuals.</w:t>
            </w:r>
          </w:p>
        </w:tc>
      </w:tr>
      <w:tr w:rsidR="00492ED1" w:rsidRPr="00EE07E0" w14:paraId="5712E72A" w14:textId="77777777" w:rsidTr="00ED09CB">
        <w:tc>
          <w:tcPr>
            <w:tcW w:w="2122" w:type="dxa"/>
            <w:vAlign w:val="bottom"/>
          </w:tcPr>
          <w:p w14:paraId="108CA8D7" w14:textId="479FFC02"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lastRenderedPageBreak/>
              <w:t>Langmaid et al, 2021</w:t>
            </w:r>
          </w:p>
        </w:tc>
        <w:tc>
          <w:tcPr>
            <w:tcW w:w="6945" w:type="dxa"/>
            <w:vAlign w:val="bottom"/>
          </w:tcPr>
          <w:p w14:paraId="7F360962" w14:textId="5F93A24E"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A socio-ecological approach to health is required which recognises both the dynamic interplay between individual and environmental factors at different scales and the interaction between the social and ecological DoH</w:t>
            </w:r>
          </w:p>
        </w:tc>
      </w:tr>
      <w:tr w:rsidR="00492ED1" w:rsidRPr="00EE07E0" w14:paraId="3BD6BB16" w14:textId="77777777" w:rsidTr="00ED09CB">
        <w:tc>
          <w:tcPr>
            <w:tcW w:w="2122" w:type="dxa"/>
            <w:vAlign w:val="bottom"/>
          </w:tcPr>
          <w:p w14:paraId="150FB4F4" w14:textId="4564046F"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McLaren, 2025</w:t>
            </w:r>
          </w:p>
        </w:tc>
        <w:tc>
          <w:tcPr>
            <w:tcW w:w="6945" w:type="dxa"/>
            <w:vAlign w:val="bottom"/>
          </w:tcPr>
          <w:p w14:paraId="169DB934" w14:textId="290ADF02"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As a broad field of research and scholarly inquiry, policy and practice, and activism, public health is concerned with factors shaping health and its inequitable distribution in populations. These include “upstream” social and ecological determinants of health, which can be strengthened via “organized efforts of society” – a phrase common to many definitions of public health.</w:t>
            </w:r>
          </w:p>
        </w:tc>
      </w:tr>
      <w:tr w:rsidR="00492ED1" w:rsidRPr="00EE07E0" w14:paraId="5C9C589C" w14:textId="77777777" w:rsidTr="00ED09CB">
        <w:tc>
          <w:tcPr>
            <w:tcW w:w="2122" w:type="dxa"/>
            <w:vAlign w:val="bottom"/>
          </w:tcPr>
          <w:p w14:paraId="0B3B2C20" w14:textId="4A0D8C33"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 xml:space="preserve">Oswald </w:t>
            </w:r>
            <w:r w:rsidR="001F3EE2">
              <w:rPr>
                <w:rFonts w:ascii="Times New Roman" w:hAnsi="Times New Roman" w:cs="Times New Roman"/>
                <w:color w:val="000000"/>
                <w:sz w:val="16"/>
                <w:szCs w:val="16"/>
              </w:rPr>
              <w:t>Langmaid</w:t>
            </w:r>
            <w:r w:rsidRPr="00492ED1">
              <w:rPr>
                <w:rFonts w:ascii="Times New Roman" w:hAnsi="Times New Roman" w:cs="Times New Roman"/>
                <w:color w:val="000000"/>
                <w:sz w:val="16"/>
                <w:szCs w:val="16"/>
              </w:rPr>
              <w:t>, 2022</w:t>
            </w:r>
          </w:p>
        </w:tc>
        <w:tc>
          <w:tcPr>
            <w:tcW w:w="6945" w:type="dxa"/>
            <w:vAlign w:val="bottom"/>
          </w:tcPr>
          <w:p w14:paraId="78187062" w14:textId="00CB331B"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Social and ecological determinants of health interact with each other and ultimately influence the health of populations.</w:t>
            </w:r>
          </w:p>
        </w:tc>
      </w:tr>
      <w:tr w:rsidR="00492ED1" w:rsidRPr="00EE07E0" w14:paraId="792B5B4D" w14:textId="77777777" w:rsidTr="00C22AE1">
        <w:tc>
          <w:tcPr>
            <w:tcW w:w="2122" w:type="dxa"/>
            <w:vAlign w:val="bottom"/>
          </w:tcPr>
          <w:p w14:paraId="22807ED1" w14:textId="77777777" w:rsidR="00492ED1" w:rsidRPr="00492ED1" w:rsidRDefault="00492ED1" w:rsidP="00C22AE1">
            <w:pPr>
              <w:rPr>
                <w:rFonts w:ascii="Times New Roman" w:hAnsi="Times New Roman" w:cs="Times New Roman"/>
                <w:sz w:val="16"/>
                <w:szCs w:val="16"/>
              </w:rPr>
            </w:pPr>
            <w:r w:rsidRPr="00492ED1">
              <w:rPr>
                <w:rFonts w:ascii="Times New Roman" w:hAnsi="Times New Roman" w:cs="Times New Roman"/>
                <w:color w:val="000000"/>
                <w:sz w:val="16"/>
                <w:szCs w:val="16"/>
              </w:rPr>
              <w:t>Parkes et al, 2020</w:t>
            </w:r>
          </w:p>
        </w:tc>
        <w:tc>
          <w:tcPr>
            <w:tcW w:w="6945" w:type="dxa"/>
            <w:vAlign w:val="bottom"/>
          </w:tcPr>
          <w:p w14:paraId="368DCE2D" w14:textId="77777777" w:rsidR="00492ED1" w:rsidRPr="00492ED1" w:rsidRDefault="00492ED1" w:rsidP="00C22AE1">
            <w:pPr>
              <w:rPr>
                <w:rFonts w:ascii="Times New Roman" w:hAnsi="Times New Roman" w:cs="Times New Roman"/>
                <w:sz w:val="16"/>
                <w:szCs w:val="16"/>
              </w:rPr>
            </w:pPr>
            <w:r w:rsidRPr="00492ED1">
              <w:rPr>
                <w:rFonts w:ascii="Times New Roman" w:hAnsi="Times New Roman" w:cs="Times New Roman"/>
                <w:color w:val="000000"/>
                <w:sz w:val="16"/>
                <w:szCs w:val="16"/>
              </w:rPr>
              <w:t>... We underscore the particular role of education in drawing attention to the ecological determinants of health, as a necessary complement to the social determinants of health, and as part of an integrative, eco-social approach to public health.</w:t>
            </w:r>
          </w:p>
        </w:tc>
      </w:tr>
      <w:tr w:rsidR="00492ED1" w:rsidRPr="00EE07E0" w14:paraId="2086610D" w14:textId="77777777" w:rsidTr="00ED09CB">
        <w:tc>
          <w:tcPr>
            <w:tcW w:w="2122" w:type="dxa"/>
            <w:vAlign w:val="bottom"/>
          </w:tcPr>
          <w:p w14:paraId="75003FFF" w14:textId="39D4F851"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Rahman</w:t>
            </w:r>
            <w:r w:rsidR="001F3EE2">
              <w:rPr>
                <w:rFonts w:ascii="Times New Roman" w:hAnsi="Times New Roman" w:cs="Times New Roman"/>
                <w:color w:val="000000"/>
                <w:sz w:val="16"/>
                <w:szCs w:val="16"/>
              </w:rPr>
              <w:t xml:space="preserve"> and Willott,</w:t>
            </w:r>
            <w:r w:rsidRPr="00492ED1">
              <w:rPr>
                <w:rFonts w:ascii="Times New Roman" w:hAnsi="Times New Roman" w:cs="Times New Roman"/>
                <w:color w:val="000000"/>
                <w:sz w:val="16"/>
                <w:szCs w:val="16"/>
              </w:rPr>
              <w:t xml:space="preserve"> 2025</w:t>
            </w:r>
          </w:p>
        </w:tc>
        <w:tc>
          <w:tcPr>
            <w:tcW w:w="6945" w:type="dxa"/>
            <w:vAlign w:val="bottom"/>
          </w:tcPr>
          <w:p w14:paraId="25A405FC" w14:textId="1DDE8E84"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Since social DHs and ecological DHs are themselves interlinked, this paper refers to these determinants collectively as social and ecological determinants of health (SEDHs).</w:t>
            </w:r>
          </w:p>
        </w:tc>
      </w:tr>
      <w:tr w:rsidR="00192313" w:rsidRPr="00EE07E0" w14:paraId="7D82250B" w14:textId="77777777" w:rsidTr="00C22AE1">
        <w:tc>
          <w:tcPr>
            <w:tcW w:w="9067" w:type="dxa"/>
            <w:gridSpan w:val="2"/>
          </w:tcPr>
          <w:p w14:paraId="2DFA7C5F" w14:textId="7F6CFCF6" w:rsidR="00192313" w:rsidRPr="00EE07E0" w:rsidRDefault="00192313" w:rsidP="00C22AE1">
            <w:pPr>
              <w:rPr>
                <w:rFonts w:ascii="Times New Roman" w:hAnsi="Times New Roman" w:cs="Times New Roman"/>
                <w:b/>
                <w:bCs/>
                <w:sz w:val="16"/>
                <w:szCs w:val="16"/>
              </w:rPr>
            </w:pPr>
            <w:r>
              <w:rPr>
                <w:rFonts w:ascii="Times New Roman" w:hAnsi="Times New Roman" w:cs="Times New Roman"/>
                <w:b/>
                <w:bCs/>
                <w:sz w:val="16"/>
                <w:szCs w:val="16"/>
              </w:rPr>
              <w:t>Relationships between Ecl</w:t>
            </w:r>
            <w:r w:rsidRPr="00EE07E0">
              <w:rPr>
                <w:rFonts w:ascii="Times New Roman" w:hAnsi="Times New Roman" w:cs="Times New Roman"/>
                <w:b/>
                <w:bCs/>
                <w:sz w:val="16"/>
                <w:szCs w:val="16"/>
              </w:rPr>
              <w:t xml:space="preserve">DoH </w:t>
            </w:r>
            <w:r>
              <w:rPr>
                <w:rFonts w:ascii="Times New Roman" w:hAnsi="Times New Roman" w:cs="Times New Roman"/>
                <w:b/>
                <w:bCs/>
                <w:sz w:val="16"/>
                <w:szCs w:val="16"/>
              </w:rPr>
              <w:t>and other determinants of health</w:t>
            </w:r>
          </w:p>
        </w:tc>
      </w:tr>
      <w:tr w:rsidR="00492ED1" w:rsidRPr="00EE07E0" w14:paraId="73777EA8" w14:textId="77777777" w:rsidTr="004D7F51">
        <w:tc>
          <w:tcPr>
            <w:tcW w:w="2122" w:type="dxa"/>
            <w:vAlign w:val="bottom"/>
          </w:tcPr>
          <w:p w14:paraId="04D423B7" w14:textId="180C20E3"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Buse et al, 2023</w:t>
            </w:r>
          </w:p>
        </w:tc>
        <w:tc>
          <w:tcPr>
            <w:tcW w:w="6945" w:type="dxa"/>
            <w:vAlign w:val="bottom"/>
          </w:tcPr>
          <w:p w14:paraId="596ADB9A" w14:textId="3974A469"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Ecological determinants are fundamental to all other determinants of health, especially in rural and remote communities subjected to boom</w:t>
            </w:r>
            <w:r>
              <w:rPr>
                <w:rFonts w:ascii="Times New Roman" w:hAnsi="Times New Roman" w:cs="Times New Roman"/>
                <w:color w:val="000000"/>
                <w:sz w:val="16"/>
                <w:szCs w:val="16"/>
              </w:rPr>
              <w:t>-</w:t>
            </w:r>
            <w:r w:rsidRPr="00492ED1">
              <w:rPr>
                <w:rFonts w:ascii="Times New Roman" w:hAnsi="Times New Roman" w:cs="Times New Roman"/>
                <w:color w:val="000000"/>
                <w:sz w:val="16"/>
                <w:szCs w:val="16"/>
              </w:rPr>
              <w:t>and-bust economic cycles of resource extraction, and which are differentially vulnerable to climate change impacts.</w:t>
            </w:r>
          </w:p>
        </w:tc>
      </w:tr>
      <w:tr w:rsidR="00492ED1" w:rsidRPr="00EE07E0" w14:paraId="09216878" w14:textId="77777777" w:rsidTr="004D7F51">
        <w:tc>
          <w:tcPr>
            <w:tcW w:w="2122" w:type="dxa"/>
            <w:vAlign w:val="bottom"/>
          </w:tcPr>
          <w:p w14:paraId="4A42D975" w14:textId="77476488" w:rsidR="00492ED1" w:rsidRPr="00492ED1" w:rsidRDefault="00B8224A" w:rsidP="00492ED1">
            <w:pPr>
              <w:rPr>
                <w:rFonts w:ascii="Times New Roman" w:hAnsi="Times New Roman" w:cs="Times New Roman"/>
                <w:sz w:val="16"/>
                <w:szCs w:val="16"/>
              </w:rPr>
            </w:pPr>
            <w:r w:rsidRPr="008C797A">
              <w:rPr>
                <w:rFonts w:ascii="Times New Roman" w:eastAsia="Times New Roman" w:hAnsi="Times New Roman" w:cs="Times New Roman"/>
                <w:kern w:val="0"/>
                <w:sz w:val="16"/>
                <w:szCs w:val="16"/>
                <w:lang w:eastAsia="en-GB"/>
                <w14:ligatures w14:val="none"/>
              </w:rPr>
              <w:t xml:space="preserve">Inayatulloh </w:t>
            </w:r>
            <w:r w:rsidR="00157795">
              <w:rPr>
                <w:rFonts w:ascii="Times New Roman" w:eastAsia="Times New Roman" w:hAnsi="Times New Roman" w:cs="Times New Roman"/>
                <w:kern w:val="0"/>
                <w:sz w:val="16"/>
                <w:szCs w:val="16"/>
                <w:lang w:eastAsia="en-GB"/>
                <w14:ligatures w14:val="none"/>
              </w:rPr>
              <w:t>and Theresia</w:t>
            </w:r>
            <w:r>
              <w:rPr>
                <w:rFonts w:ascii="Times New Roman" w:eastAsia="Times New Roman" w:hAnsi="Times New Roman" w:cs="Times New Roman"/>
                <w:kern w:val="0"/>
                <w:sz w:val="16"/>
                <w:szCs w:val="16"/>
                <w:lang w:eastAsia="en-GB"/>
                <w14:ligatures w14:val="none"/>
              </w:rPr>
              <w:t xml:space="preserve">, </w:t>
            </w:r>
            <w:r w:rsidR="00492ED1" w:rsidRPr="00492ED1">
              <w:rPr>
                <w:rFonts w:ascii="Times New Roman" w:hAnsi="Times New Roman" w:cs="Times New Roman"/>
                <w:color w:val="000000"/>
                <w:sz w:val="16"/>
                <w:szCs w:val="16"/>
              </w:rPr>
              <w:t>2016</w:t>
            </w:r>
          </w:p>
        </w:tc>
        <w:tc>
          <w:tcPr>
            <w:tcW w:w="6945" w:type="dxa"/>
            <w:vAlign w:val="bottom"/>
          </w:tcPr>
          <w:p w14:paraId="019D4309" w14:textId="23692B52"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Climatic DoH separated from ecological DoH</w:t>
            </w:r>
          </w:p>
        </w:tc>
      </w:tr>
      <w:tr w:rsidR="00492ED1" w:rsidRPr="00EE07E0" w14:paraId="15AF5F4B" w14:textId="77777777" w:rsidTr="004D7F51">
        <w:tc>
          <w:tcPr>
            <w:tcW w:w="2122" w:type="dxa"/>
            <w:vAlign w:val="bottom"/>
          </w:tcPr>
          <w:p w14:paraId="61B17FE9" w14:textId="14AFA7E2"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Vold et al, 2022</w:t>
            </w:r>
          </w:p>
        </w:tc>
        <w:tc>
          <w:tcPr>
            <w:tcW w:w="6945" w:type="dxa"/>
            <w:vAlign w:val="bottom"/>
          </w:tcPr>
          <w:p w14:paraId="7184FB73" w14:textId="69728F51" w:rsidR="00492ED1" w:rsidRPr="00492ED1" w:rsidRDefault="00492ED1" w:rsidP="00492ED1">
            <w:pPr>
              <w:rPr>
                <w:rFonts w:ascii="Times New Roman" w:hAnsi="Times New Roman" w:cs="Times New Roman"/>
                <w:sz w:val="16"/>
                <w:szCs w:val="16"/>
              </w:rPr>
            </w:pPr>
            <w:r w:rsidRPr="00492ED1">
              <w:rPr>
                <w:rFonts w:ascii="Times New Roman" w:hAnsi="Times New Roman" w:cs="Times New Roman"/>
                <w:color w:val="000000"/>
                <w:sz w:val="16"/>
                <w:szCs w:val="16"/>
              </w:rPr>
              <w:t>Framing and integrating the ecological determinants of health, along with the social determinants of health, is a helpful and necessary contribute to an evolving and responsive training. Understanding how ecological determinants amplify or mitigate the effects of biological, behavioural, social, and physical determinants of health, as well as contribute to health equity can provide novel insights into how ecological determinants affect health and health equity in different populations.</w:t>
            </w:r>
          </w:p>
        </w:tc>
      </w:tr>
    </w:tbl>
    <w:p w14:paraId="455682BF" w14:textId="77777777" w:rsidR="00E65662" w:rsidRPr="00402F9D" w:rsidRDefault="00E65662" w:rsidP="00E65662">
      <w:pPr>
        <w:spacing w:line="240" w:lineRule="auto"/>
        <w:rPr>
          <w:rFonts w:ascii="Times New Roman" w:hAnsi="Times New Roman" w:cs="Times New Roman"/>
          <w:sz w:val="24"/>
          <w:szCs w:val="24"/>
        </w:rPr>
      </w:pPr>
    </w:p>
    <w:bookmarkEnd w:id="0"/>
    <w:p w14:paraId="11983269" w14:textId="77777777" w:rsidR="00DE6C16" w:rsidRPr="006F382B" w:rsidRDefault="00DE6C16" w:rsidP="006F382B">
      <w:pPr>
        <w:spacing w:line="240" w:lineRule="auto"/>
        <w:rPr>
          <w:rFonts w:ascii="Times New Roman" w:hAnsi="Times New Roman" w:cs="Times New Roman"/>
          <w:sz w:val="16"/>
          <w:szCs w:val="16"/>
        </w:rPr>
      </w:pPr>
    </w:p>
    <w:sectPr w:rsidR="00DE6C16" w:rsidRPr="006F382B">
      <w:footerReference w:type="even" r:id="rId259"/>
      <w:footerReference w:type="default" r:id="rId2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0F70" w14:textId="77777777" w:rsidR="00A25D5E" w:rsidRDefault="00A25D5E" w:rsidP="00D05783">
      <w:pPr>
        <w:spacing w:after="0" w:line="240" w:lineRule="auto"/>
      </w:pPr>
      <w:r>
        <w:separator/>
      </w:r>
    </w:p>
  </w:endnote>
  <w:endnote w:type="continuationSeparator" w:id="0">
    <w:p w14:paraId="042FE9E5" w14:textId="77777777" w:rsidR="00A25D5E" w:rsidRDefault="00A25D5E" w:rsidP="00D05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haris SIL">
    <w:altName w:val="Calibri"/>
    <w:panose1 w:val="020B0604020202020204"/>
    <w:charset w:val="00"/>
    <w:family w:val="swiss"/>
    <w:pitch w:val="default"/>
    <w:sig w:usb0="00000003" w:usb1="00000000" w:usb2="00000000" w:usb3="00000000" w:csb0="00000001" w:csb1="00000000"/>
  </w:font>
  <w:font w:name="Museo Sans">
    <w:altName w:val="Calibri"/>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6088877"/>
      <w:docPartObj>
        <w:docPartGallery w:val="Page Numbers (Bottom of Page)"/>
        <w:docPartUnique/>
      </w:docPartObj>
    </w:sdtPr>
    <w:sdtContent>
      <w:p w14:paraId="5FB8D031" w14:textId="3B4F9809" w:rsidR="00D05783" w:rsidRDefault="00D05783" w:rsidP="00341C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2565A2" w14:textId="77777777" w:rsidR="00D05783" w:rsidRDefault="00D05783" w:rsidP="00D057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3664678"/>
      <w:docPartObj>
        <w:docPartGallery w:val="Page Numbers (Bottom of Page)"/>
        <w:docPartUnique/>
      </w:docPartObj>
    </w:sdtPr>
    <w:sdtContent>
      <w:p w14:paraId="5AC99C03" w14:textId="2D4E3351" w:rsidR="00D05783" w:rsidRDefault="00D05783" w:rsidP="00341C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14:paraId="28CCFB18" w14:textId="77777777" w:rsidR="00D05783" w:rsidRDefault="00D05783" w:rsidP="00D057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0AF71" w14:textId="77777777" w:rsidR="00A25D5E" w:rsidRDefault="00A25D5E" w:rsidP="00D05783">
      <w:pPr>
        <w:spacing w:after="0" w:line="240" w:lineRule="auto"/>
      </w:pPr>
      <w:r>
        <w:separator/>
      </w:r>
    </w:p>
  </w:footnote>
  <w:footnote w:type="continuationSeparator" w:id="0">
    <w:p w14:paraId="74502D95" w14:textId="77777777" w:rsidR="00A25D5E" w:rsidRDefault="00A25D5E" w:rsidP="00D05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72E"/>
    <w:multiLevelType w:val="multilevel"/>
    <w:tmpl w:val="F7484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E22E0"/>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FD02E2"/>
    <w:multiLevelType w:val="multilevel"/>
    <w:tmpl w:val="96C0B6AE"/>
    <w:lvl w:ilvl="0">
      <w:start w:val="1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067CF"/>
    <w:multiLevelType w:val="multilevel"/>
    <w:tmpl w:val="7C48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457C2"/>
    <w:multiLevelType w:val="hybridMultilevel"/>
    <w:tmpl w:val="F0B62CBE"/>
    <w:lvl w:ilvl="0" w:tplc="8368BD8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753D6"/>
    <w:multiLevelType w:val="hybridMultilevel"/>
    <w:tmpl w:val="23CE13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F50F6D"/>
    <w:multiLevelType w:val="hybridMultilevel"/>
    <w:tmpl w:val="DD302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B675AB"/>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BC4D30"/>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3323B0"/>
    <w:multiLevelType w:val="multilevel"/>
    <w:tmpl w:val="817C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70874"/>
    <w:multiLevelType w:val="multilevel"/>
    <w:tmpl w:val="D4EE3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2E6E3E"/>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567458"/>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550BDC"/>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EF7F30"/>
    <w:multiLevelType w:val="hybridMultilevel"/>
    <w:tmpl w:val="72662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E202B9"/>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1D1EEB"/>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2D7036"/>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C205B2"/>
    <w:multiLevelType w:val="multilevel"/>
    <w:tmpl w:val="392CB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83B2F3"/>
    <w:multiLevelType w:val="hybridMultilevel"/>
    <w:tmpl w:val="4B2ADA14"/>
    <w:lvl w:ilvl="0" w:tplc="EE8E5AE0">
      <w:start w:val="1"/>
      <w:numFmt w:val="bullet"/>
      <w:lvlText w:val=""/>
      <w:lvlJc w:val="left"/>
      <w:pPr>
        <w:ind w:left="720" w:hanging="360"/>
      </w:pPr>
      <w:rPr>
        <w:rFonts w:ascii="Symbol" w:hAnsi="Symbol" w:hint="default"/>
      </w:rPr>
    </w:lvl>
    <w:lvl w:ilvl="1" w:tplc="C988054E">
      <w:start w:val="1"/>
      <w:numFmt w:val="bullet"/>
      <w:lvlText w:val="o"/>
      <w:lvlJc w:val="left"/>
      <w:pPr>
        <w:ind w:left="1440" w:hanging="360"/>
      </w:pPr>
      <w:rPr>
        <w:rFonts w:ascii="Courier New" w:hAnsi="Courier New" w:hint="default"/>
      </w:rPr>
    </w:lvl>
    <w:lvl w:ilvl="2" w:tplc="02BAD2F8">
      <w:start w:val="1"/>
      <w:numFmt w:val="bullet"/>
      <w:lvlText w:val=""/>
      <w:lvlJc w:val="left"/>
      <w:pPr>
        <w:ind w:left="2160" w:hanging="360"/>
      </w:pPr>
      <w:rPr>
        <w:rFonts w:ascii="Wingdings" w:hAnsi="Wingdings" w:hint="default"/>
      </w:rPr>
    </w:lvl>
    <w:lvl w:ilvl="3" w:tplc="ED125DF2">
      <w:start w:val="1"/>
      <w:numFmt w:val="bullet"/>
      <w:lvlText w:val=""/>
      <w:lvlJc w:val="left"/>
      <w:pPr>
        <w:ind w:left="2880" w:hanging="360"/>
      </w:pPr>
      <w:rPr>
        <w:rFonts w:ascii="Symbol" w:hAnsi="Symbol" w:hint="default"/>
      </w:rPr>
    </w:lvl>
    <w:lvl w:ilvl="4" w:tplc="895AEC82">
      <w:start w:val="1"/>
      <w:numFmt w:val="bullet"/>
      <w:lvlText w:val="o"/>
      <w:lvlJc w:val="left"/>
      <w:pPr>
        <w:ind w:left="3600" w:hanging="360"/>
      </w:pPr>
      <w:rPr>
        <w:rFonts w:ascii="Courier New" w:hAnsi="Courier New" w:hint="default"/>
      </w:rPr>
    </w:lvl>
    <w:lvl w:ilvl="5" w:tplc="FB5C99D2">
      <w:start w:val="1"/>
      <w:numFmt w:val="bullet"/>
      <w:lvlText w:val=""/>
      <w:lvlJc w:val="left"/>
      <w:pPr>
        <w:ind w:left="4320" w:hanging="360"/>
      </w:pPr>
      <w:rPr>
        <w:rFonts w:ascii="Wingdings" w:hAnsi="Wingdings" w:hint="default"/>
      </w:rPr>
    </w:lvl>
    <w:lvl w:ilvl="6" w:tplc="AB4E3B96">
      <w:start w:val="1"/>
      <w:numFmt w:val="bullet"/>
      <w:lvlText w:val=""/>
      <w:lvlJc w:val="left"/>
      <w:pPr>
        <w:ind w:left="5040" w:hanging="360"/>
      </w:pPr>
      <w:rPr>
        <w:rFonts w:ascii="Symbol" w:hAnsi="Symbol" w:hint="default"/>
      </w:rPr>
    </w:lvl>
    <w:lvl w:ilvl="7" w:tplc="53D6B6E2">
      <w:start w:val="1"/>
      <w:numFmt w:val="bullet"/>
      <w:lvlText w:val="o"/>
      <w:lvlJc w:val="left"/>
      <w:pPr>
        <w:ind w:left="5760" w:hanging="360"/>
      </w:pPr>
      <w:rPr>
        <w:rFonts w:ascii="Courier New" w:hAnsi="Courier New" w:hint="default"/>
      </w:rPr>
    </w:lvl>
    <w:lvl w:ilvl="8" w:tplc="6CA0BA88">
      <w:start w:val="1"/>
      <w:numFmt w:val="bullet"/>
      <w:lvlText w:val=""/>
      <w:lvlJc w:val="left"/>
      <w:pPr>
        <w:ind w:left="6480" w:hanging="360"/>
      </w:pPr>
      <w:rPr>
        <w:rFonts w:ascii="Wingdings" w:hAnsi="Wingdings" w:hint="default"/>
      </w:rPr>
    </w:lvl>
  </w:abstractNum>
  <w:abstractNum w:abstractNumId="20" w15:restartNumberingAfterBreak="0">
    <w:nsid w:val="3C401E36"/>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077CF2"/>
    <w:multiLevelType w:val="hybridMultilevel"/>
    <w:tmpl w:val="2828CB74"/>
    <w:lvl w:ilvl="0" w:tplc="0809000F">
      <w:start w:val="1"/>
      <w:numFmt w:val="decimal"/>
      <w:lvlText w:val="%1."/>
      <w:lvlJc w:val="left"/>
      <w:pPr>
        <w:ind w:left="720" w:hanging="360"/>
      </w:pPr>
    </w:lvl>
    <w:lvl w:ilvl="1" w:tplc="B53667C4">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A05A1F"/>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D01C44"/>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BC4306"/>
    <w:multiLevelType w:val="hybridMultilevel"/>
    <w:tmpl w:val="F46A0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047D81"/>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DF5358"/>
    <w:multiLevelType w:val="hybridMultilevel"/>
    <w:tmpl w:val="BB0E9A76"/>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025970"/>
    <w:multiLevelType w:val="hybridMultilevel"/>
    <w:tmpl w:val="A36E1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C66CEB"/>
    <w:multiLevelType w:val="hybridMultilevel"/>
    <w:tmpl w:val="7FA4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1B31A6"/>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5C7566"/>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794460F"/>
    <w:multiLevelType w:val="hybridMultilevel"/>
    <w:tmpl w:val="672EDE08"/>
    <w:lvl w:ilvl="0" w:tplc="F822CDD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124673"/>
    <w:multiLevelType w:val="hybridMultilevel"/>
    <w:tmpl w:val="DAD229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706E62"/>
    <w:multiLevelType w:val="hybridMultilevel"/>
    <w:tmpl w:val="4690795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854007"/>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491804"/>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6874DC"/>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1B081E"/>
    <w:multiLevelType w:val="hybridMultilevel"/>
    <w:tmpl w:val="13642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F1BA0"/>
    <w:multiLevelType w:val="hybridMultilevel"/>
    <w:tmpl w:val="E020A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DC69EF"/>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B773D48"/>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E23694"/>
    <w:multiLevelType w:val="multilevel"/>
    <w:tmpl w:val="96C0B6AE"/>
    <w:lvl w:ilvl="0">
      <w:start w:val="1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1F50D3"/>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B71AED"/>
    <w:multiLevelType w:val="multilevel"/>
    <w:tmpl w:val="96C0B6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884E73"/>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897940"/>
    <w:multiLevelType w:val="hybridMultilevel"/>
    <w:tmpl w:val="D9FE952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A75C07"/>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C87ED5"/>
    <w:multiLevelType w:val="hybridMultilevel"/>
    <w:tmpl w:val="5E9037B8"/>
    <w:lvl w:ilvl="0" w:tplc="FFFFFFFF">
      <w:start w:val="1"/>
      <w:numFmt w:val="decimal"/>
      <w:lvlText w:val="%1."/>
      <w:lvlJc w:val="left"/>
      <w:pPr>
        <w:ind w:left="720" w:hanging="360"/>
      </w:pPr>
    </w:lvl>
    <w:lvl w:ilvl="1" w:tplc="F66668AA">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7655D08"/>
    <w:multiLevelType w:val="hybridMultilevel"/>
    <w:tmpl w:val="2828CB74"/>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B0B52E2"/>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CB6912"/>
    <w:multiLevelType w:val="hybridMultilevel"/>
    <w:tmpl w:val="292E1A4C"/>
    <w:lvl w:ilvl="0" w:tplc="76865818">
      <w:start w:val="1"/>
      <w:numFmt w:val="decimal"/>
      <w:lvlText w:val="%1."/>
      <w:lvlJc w:val="left"/>
      <w:pPr>
        <w:ind w:left="770" w:hanging="4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750B06"/>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2EF1CC0"/>
    <w:multiLevelType w:val="hybridMultilevel"/>
    <w:tmpl w:val="BB543980"/>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CD33EE"/>
    <w:multiLevelType w:val="hybridMultilevel"/>
    <w:tmpl w:val="EDF0A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DE2C2C"/>
    <w:multiLevelType w:val="multilevel"/>
    <w:tmpl w:val="96C0B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A23733C"/>
    <w:multiLevelType w:val="multilevel"/>
    <w:tmpl w:val="098C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AC358E6"/>
    <w:multiLevelType w:val="hybridMultilevel"/>
    <w:tmpl w:val="BCDCD9D0"/>
    <w:lvl w:ilvl="0" w:tplc="76865818">
      <w:start w:val="1"/>
      <w:numFmt w:val="decimal"/>
      <w:lvlText w:val="%1."/>
      <w:lvlJc w:val="left"/>
      <w:pPr>
        <w:ind w:left="770" w:hanging="4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BFB1930"/>
    <w:multiLevelType w:val="hybridMultilevel"/>
    <w:tmpl w:val="F434F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6982044">
    <w:abstractNumId w:val="19"/>
  </w:num>
  <w:num w:numId="2" w16cid:durableId="1808666406">
    <w:abstractNumId w:val="28"/>
  </w:num>
  <w:num w:numId="3" w16cid:durableId="1810439826">
    <w:abstractNumId w:val="31"/>
  </w:num>
  <w:num w:numId="4" w16cid:durableId="390690061">
    <w:abstractNumId w:val="4"/>
  </w:num>
  <w:num w:numId="5" w16cid:durableId="36006872">
    <w:abstractNumId w:val="56"/>
  </w:num>
  <w:num w:numId="6" w16cid:durableId="579413217">
    <w:abstractNumId w:val="50"/>
  </w:num>
  <w:num w:numId="7" w16cid:durableId="284192973">
    <w:abstractNumId w:val="24"/>
  </w:num>
  <w:num w:numId="8" w16cid:durableId="1875998794">
    <w:abstractNumId w:val="0"/>
  </w:num>
  <w:num w:numId="9" w16cid:durableId="1152134622">
    <w:abstractNumId w:val="3"/>
  </w:num>
  <w:num w:numId="10" w16cid:durableId="2003777583">
    <w:abstractNumId w:val="55"/>
  </w:num>
  <w:num w:numId="11" w16cid:durableId="1948196185">
    <w:abstractNumId w:val="6"/>
  </w:num>
  <w:num w:numId="12" w16cid:durableId="973679895">
    <w:abstractNumId w:val="10"/>
  </w:num>
  <w:num w:numId="13" w16cid:durableId="1143741985">
    <w:abstractNumId w:val="18"/>
  </w:num>
  <w:num w:numId="14" w16cid:durableId="774401378">
    <w:abstractNumId w:val="14"/>
  </w:num>
  <w:num w:numId="15" w16cid:durableId="207568932">
    <w:abstractNumId w:val="37"/>
  </w:num>
  <w:num w:numId="16" w16cid:durableId="1487624399">
    <w:abstractNumId w:val="38"/>
  </w:num>
  <w:num w:numId="17" w16cid:durableId="435562029">
    <w:abstractNumId w:val="21"/>
  </w:num>
  <w:num w:numId="18" w16cid:durableId="685594633">
    <w:abstractNumId w:val="33"/>
  </w:num>
  <w:num w:numId="19" w16cid:durableId="172231999">
    <w:abstractNumId w:val="32"/>
  </w:num>
  <w:num w:numId="20" w16cid:durableId="640430455">
    <w:abstractNumId w:val="52"/>
  </w:num>
  <w:num w:numId="21" w16cid:durableId="717514638">
    <w:abstractNumId w:val="53"/>
  </w:num>
  <w:num w:numId="22" w16cid:durableId="304436858">
    <w:abstractNumId w:val="26"/>
  </w:num>
  <w:num w:numId="23" w16cid:durableId="1766536673">
    <w:abstractNumId w:val="54"/>
  </w:num>
  <w:num w:numId="24" w16cid:durableId="1586720747">
    <w:abstractNumId w:val="8"/>
  </w:num>
  <w:num w:numId="25" w16cid:durableId="633607338">
    <w:abstractNumId w:val="30"/>
  </w:num>
  <w:num w:numId="26" w16cid:durableId="2025085331">
    <w:abstractNumId w:val="35"/>
  </w:num>
  <w:num w:numId="27" w16cid:durableId="1092434998">
    <w:abstractNumId w:val="20"/>
  </w:num>
  <w:num w:numId="28" w16cid:durableId="288903841">
    <w:abstractNumId w:val="15"/>
  </w:num>
  <w:num w:numId="29" w16cid:durableId="1029455149">
    <w:abstractNumId w:val="39"/>
  </w:num>
  <w:num w:numId="30" w16cid:durableId="896668075">
    <w:abstractNumId w:val="46"/>
  </w:num>
  <w:num w:numId="31" w16cid:durableId="577206633">
    <w:abstractNumId w:val="12"/>
  </w:num>
  <w:num w:numId="32" w16cid:durableId="426075485">
    <w:abstractNumId w:val="13"/>
  </w:num>
  <w:num w:numId="33" w16cid:durableId="938173684">
    <w:abstractNumId w:val="40"/>
  </w:num>
  <w:num w:numId="34" w16cid:durableId="555312392">
    <w:abstractNumId w:val="22"/>
  </w:num>
  <w:num w:numId="35" w16cid:durableId="185293552">
    <w:abstractNumId w:val="11"/>
  </w:num>
  <w:num w:numId="36" w16cid:durableId="1127236381">
    <w:abstractNumId w:val="48"/>
  </w:num>
  <w:num w:numId="37" w16cid:durableId="447093028">
    <w:abstractNumId w:val="1"/>
  </w:num>
  <w:num w:numId="38" w16cid:durableId="1420298786">
    <w:abstractNumId w:val="16"/>
  </w:num>
  <w:num w:numId="39" w16cid:durableId="158159125">
    <w:abstractNumId w:val="23"/>
  </w:num>
  <w:num w:numId="40" w16cid:durableId="367603856">
    <w:abstractNumId w:val="25"/>
  </w:num>
  <w:num w:numId="41" w16cid:durableId="2099324022">
    <w:abstractNumId w:val="36"/>
  </w:num>
  <w:num w:numId="42" w16cid:durableId="418016980">
    <w:abstractNumId w:val="34"/>
  </w:num>
  <w:num w:numId="43" w16cid:durableId="412045878">
    <w:abstractNumId w:val="17"/>
  </w:num>
  <w:num w:numId="44" w16cid:durableId="1678459417">
    <w:abstractNumId w:val="42"/>
  </w:num>
  <w:num w:numId="45" w16cid:durableId="172771371">
    <w:abstractNumId w:val="45"/>
  </w:num>
  <w:num w:numId="46" w16cid:durableId="1668748798">
    <w:abstractNumId w:val="47"/>
  </w:num>
  <w:num w:numId="47" w16cid:durableId="205408674">
    <w:abstractNumId w:val="5"/>
  </w:num>
  <w:num w:numId="48" w16cid:durableId="1222714291">
    <w:abstractNumId w:val="44"/>
  </w:num>
  <w:num w:numId="49" w16cid:durableId="125634786">
    <w:abstractNumId w:val="51"/>
  </w:num>
  <w:num w:numId="50" w16cid:durableId="2010522099">
    <w:abstractNumId w:val="29"/>
  </w:num>
  <w:num w:numId="51" w16cid:durableId="264505312">
    <w:abstractNumId w:val="43"/>
  </w:num>
  <w:num w:numId="52" w16cid:durableId="924337911">
    <w:abstractNumId w:val="9"/>
  </w:num>
  <w:num w:numId="53" w16cid:durableId="240600611">
    <w:abstractNumId w:val="49"/>
  </w:num>
  <w:num w:numId="54" w16cid:durableId="1959291589">
    <w:abstractNumId w:val="27"/>
  </w:num>
  <w:num w:numId="55" w16cid:durableId="1905020459">
    <w:abstractNumId w:val="57"/>
  </w:num>
  <w:num w:numId="56" w16cid:durableId="918170978">
    <w:abstractNumId w:val="2"/>
  </w:num>
  <w:num w:numId="57" w16cid:durableId="155343714">
    <w:abstractNumId w:val="41"/>
  </w:num>
  <w:num w:numId="58" w16cid:durableId="21249601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9C"/>
    <w:rsid w:val="00005B17"/>
    <w:rsid w:val="00015ECB"/>
    <w:rsid w:val="000242B2"/>
    <w:rsid w:val="000254AB"/>
    <w:rsid w:val="00075E7D"/>
    <w:rsid w:val="000A1B2B"/>
    <w:rsid w:val="000C537D"/>
    <w:rsid w:val="000D7D4B"/>
    <w:rsid w:val="000E3B0D"/>
    <w:rsid w:val="000E5B7C"/>
    <w:rsid w:val="00105A9A"/>
    <w:rsid w:val="001165D4"/>
    <w:rsid w:val="00124B29"/>
    <w:rsid w:val="0013267C"/>
    <w:rsid w:val="0014239D"/>
    <w:rsid w:val="00157795"/>
    <w:rsid w:val="00192313"/>
    <w:rsid w:val="001A1116"/>
    <w:rsid w:val="001E0C83"/>
    <w:rsid w:val="001E223F"/>
    <w:rsid w:val="001F3EE2"/>
    <w:rsid w:val="001F4CB5"/>
    <w:rsid w:val="00202C63"/>
    <w:rsid w:val="00213121"/>
    <w:rsid w:val="002152B0"/>
    <w:rsid w:val="0022418D"/>
    <w:rsid w:val="00225F0B"/>
    <w:rsid w:val="00256ACF"/>
    <w:rsid w:val="00262EA3"/>
    <w:rsid w:val="00273385"/>
    <w:rsid w:val="002E5CA5"/>
    <w:rsid w:val="002F64F1"/>
    <w:rsid w:val="00302A86"/>
    <w:rsid w:val="00324954"/>
    <w:rsid w:val="00347FD5"/>
    <w:rsid w:val="00353B7B"/>
    <w:rsid w:val="0036198E"/>
    <w:rsid w:val="00382F91"/>
    <w:rsid w:val="00385ADF"/>
    <w:rsid w:val="003A3B6E"/>
    <w:rsid w:val="003A5E14"/>
    <w:rsid w:val="003B099A"/>
    <w:rsid w:val="003B2712"/>
    <w:rsid w:val="003D18F5"/>
    <w:rsid w:val="003D1A2F"/>
    <w:rsid w:val="004011EB"/>
    <w:rsid w:val="0040646A"/>
    <w:rsid w:val="0041509F"/>
    <w:rsid w:val="00432ABD"/>
    <w:rsid w:val="004365A5"/>
    <w:rsid w:val="00444DBF"/>
    <w:rsid w:val="00452DF8"/>
    <w:rsid w:val="00453C2D"/>
    <w:rsid w:val="00457F4A"/>
    <w:rsid w:val="00492ED1"/>
    <w:rsid w:val="004B5248"/>
    <w:rsid w:val="004D71DC"/>
    <w:rsid w:val="004D71F6"/>
    <w:rsid w:val="004F3208"/>
    <w:rsid w:val="0052632D"/>
    <w:rsid w:val="005625E1"/>
    <w:rsid w:val="00580854"/>
    <w:rsid w:val="00582B98"/>
    <w:rsid w:val="005A2BC1"/>
    <w:rsid w:val="005B6EA5"/>
    <w:rsid w:val="00600926"/>
    <w:rsid w:val="00622792"/>
    <w:rsid w:val="0065112F"/>
    <w:rsid w:val="00665256"/>
    <w:rsid w:val="0067507F"/>
    <w:rsid w:val="00685618"/>
    <w:rsid w:val="006B4B1C"/>
    <w:rsid w:val="006D62AF"/>
    <w:rsid w:val="006F382B"/>
    <w:rsid w:val="007017B7"/>
    <w:rsid w:val="00707A4A"/>
    <w:rsid w:val="00751F84"/>
    <w:rsid w:val="007528D1"/>
    <w:rsid w:val="007546AC"/>
    <w:rsid w:val="00764470"/>
    <w:rsid w:val="00767784"/>
    <w:rsid w:val="007818DB"/>
    <w:rsid w:val="00796D04"/>
    <w:rsid w:val="007C3046"/>
    <w:rsid w:val="007C5D91"/>
    <w:rsid w:val="007C6D00"/>
    <w:rsid w:val="007D0F66"/>
    <w:rsid w:val="00807F6C"/>
    <w:rsid w:val="008202FC"/>
    <w:rsid w:val="0084739A"/>
    <w:rsid w:val="008558FA"/>
    <w:rsid w:val="00860A6B"/>
    <w:rsid w:val="00867E6A"/>
    <w:rsid w:val="008817AE"/>
    <w:rsid w:val="008850BB"/>
    <w:rsid w:val="00886831"/>
    <w:rsid w:val="00894891"/>
    <w:rsid w:val="008A7DD7"/>
    <w:rsid w:val="008B38E8"/>
    <w:rsid w:val="008C4657"/>
    <w:rsid w:val="008C5264"/>
    <w:rsid w:val="008C797A"/>
    <w:rsid w:val="008E6C6D"/>
    <w:rsid w:val="009042DB"/>
    <w:rsid w:val="009108EB"/>
    <w:rsid w:val="00922F88"/>
    <w:rsid w:val="00960531"/>
    <w:rsid w:val="00962619"/>
    <w:rsid w:val="00964AE7"/>
    <w:rsid w:val="00984615"/>
    <w:rsid w:val="00995257"/>
    <w:rsid w:val="009B53F9"/>
    <w:rsid w:val="009C0218"/>
    <w:rsid w:val="009D14FA"/>
    <w:rsid w:val="009E185D"/>
    <w:rsid w:val="00A10114"/>
    <w:rsid w:val="00A12C5A"/>
    <w:rsid w:val="00A25D5E"/>
    <w:rsid w:val="00A50DEA"/>
    <w:rsid w:val="00A51FC1"/>
    <w:rsid w:val="00A57E83"/>
    <w:rsid w:val="00A620D6"/>
    <w:rsid w:val="00A8102E"/>
    <w:rsid w:val="00A90DA1"/>
    <w:rsid w:val="00A959DA"/>
    <w:rsid w:val="00AA0783"/>
    <w:rsid w:val="00AA0D72"/>
    <w:rsid w:val="00AB0A5E"/>
    <w:rsid w:val="00AC048E"/>
    <w:rsid w:val="00AC439C"/>
    <w:rsid w:val="00AC6236"/>
    <w:rsid w:val="00AF2679"/>
    <w:rsid w:val="00AF5118"/>
    <w:rsid w:val="00B1660E"/>
    <w:rsid w:val="00B2702E"/>
    <w:rsid w:val="00B54869"/>
    <w:rsid w:val="00B71612"/>
    <w:rsid w:val="00B8224A"/>
    <w:rsid w:val="00B84792"/>
    <w:rsid w:val="00B8701B"/>
    <w:rsid w:val="00BA1E7D"/>
    <w:rsid w:val="00BD0B1A"/>
    <w:rsid w:val="00BD335C"/>
    <w:rsid w:val="00BD3738"/>
    <w:rsid w:val="00C0681C"/>
    <w:rsid w:val="00C10EF7"/>
    <w:rsid w:val="00C1481B"/>
    <w:rsid w:val="00C308DA"/>
    <w:rsid w:val="00C33926"/>
    <w:rsid w:val="00C410BA"/>
    <w:rsid w:val="00C41A1D"/>
    <w:rsid w:val="00C61376"/>
    <w:rsid w:val="00C767B0"/>
    <w:rsid w:val="00C86BA2"/>
    <w:rsid w:val="00CE3A08"/>
    <w:rsid w:val="00CE5C37"/>
    <w:rsid w:val="00D05381"/>
    <w:rsid w:val="00D05783"/>
    <w:rsid w:val="00D15800"/>
    <w:rsid w:val="00D15CC9"/>
    <w:rsid w:val="00D32B7A"/>
    <w:rsid w:val="00D34475"/>
    <w:rsid w:val="00D5752B"/>
    <w:rsid w:val="00D7442D"/>
    <w:rsid w:val="00DA3B5C"/>
    <w:rsid w:val="00DC4E7B"/>
    <w:rsid w:val="00DE4304"/>
    <w:rsid w:val="00DE6C16"/>
    <w:rsid w:val="00E13E3E"/>
    <w:rsid w:val="00E161CC"/>
    <w:rsid w:val="00E16CAE"/>
    <w:rsid w:val="00E36933"/>
    <w:rsid w:val="00E45A2C"/>
    <w:rsid w:val="00E6427C"/>
    <w:rsid w:val="00E65662"/>
    <w:rsid w:val="00E7564B"/>
    <w:rsid w:val="00E825BB"/>
    <w:rsid w:val="00EC3CCB"/>
    <w:rsid w:val="00EC617B"/>
    <w:rsid w:val="00ED1D6D"/>
    <w:rsid w:val="00EE4163"/>
    <w:rsid w:val="00F12C45"/>
    <w:rsid w:val="00F31EB8"/>
    <w:rsid w:val="00F37C96"/>
    <w:rsid w:val="00F658E8"/>
    <w:rsid w:val="00F714BD"/>
    <w:rsid w:val="00FB4BF2"/>
    <w:rsid w:val="00FB6CEB"/>
    <w:rsid w:val="00FB6FF5"/>
    <w:rsid w:val="00FF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CAAE"/>
  <w15:chartTrackingRefBased/>
  <w15:docId w15:val="{D17981C3-ECF0-4AB9-8923-C0C38CDA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800"/>
  </w:style>
  <w:style w:type="paragraph" w:styleId="Heading1">
    <w:name w:val="heading 1"/>
    <w:basedOn w:val="Normal"/>
    <w:next w:val="Normal"/>
    <w:link w:val="Heading1Char"/>
    <w:uiPriority w:val="9"/>
    <w:qFormat/>
    <w:rsid w:val="00AC4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39C"/>
    <w:rPr>
      <w:rFonts w:eastAsiaTheme="majorEastAsia" w:cstheme="majorBidi"/>
      <w:color w:val="272727" w:themeColor="text1" w:themeTint="D8"/>
    </w:rPr>
  </w:style>
  <w:style w:type="paragraph" w:styleId="Title">
    <w:name w:val="Title"/>
    <w:basedOn w:val="Normal"/>
    <w:next w:val="Normal"/>
    <w:link w:val="TitleChar"/>
    <w:uiPriority w:val="10"/>
    <w:qFormat/>
    <w:rsid w:val="00AC4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39C"/>
    <w:pPr>
      <w:spacing w:before="160"/>
      <w:jc w:val="center"/>
    </w:pPr>
    <w:rPr>
      <w:i/>
      <w:iCs/>
      <w:color w:val="404040" w:themeColor="text1" w:themeTint="BF"/>
    </w:rPr>
  </w:style>
  <w:style w:type="character" w:customStyle="1" w:styleId="QuoteChar">
    <w:name w:val="Quote Char"/>
    <w:basedOn w:val="DefaultParagraphFont"/>
    <w:link w:val="Quote"/>
    <w:uiPriority w:val="29"/>
    <w:rsid w:val="00AC439C"/>
    <w:rPr>
      <w:i/>
      <w:iCs/>
      <w:color w:val="404040" w:themeColor="text1" w:themeTint="BF"/>
    </w:rPr>
  </w:style>
  <w:style w:type="paragraph" w:styleId="ListParagraph">
    <w:name w:val="List Paragraph"/>
    <w:basedOn w:val="Normal"/>
    <w:uiPriority w:val="34"/>
    <w:qFormat/>
    <w:rsid w:val="00AC439C"/>
    <w:pPr>
      <w:ind w:left="720"/>
      <w:contextualSpacing/>
    </w:pPr>
  </w:style>
  <w:style w:type="character" w:styleId="IntenseEmphasis">
    <w:name w:val="Intense Emphasis"/>
    <w:basedOn w:val="DefaultParagraphFont"/>
    <w:uiPriority w:val="21"/>
    <w:qFormat/>
    <w:rsid w:val="00AC439C"/>
    <w:rPr>
      <w:i/>
      <w:iCs/>
      <w:color w:val="0F4761" w:themeColor="accent1" w:themeShade="BF"/>
    </w:rPr>
  </w:style>
  <w:style w:type="paragraph" w:styleId="IntenseQuote">
    <w:name w:val="Intense Quote"/>
    <w:basedOn w:val="Normal"/>
    <w:next w:val="Normal"/>
    <w:link w:val="IntenseQuoteChar"/>
    <w:uiPriority w:val="30"/>
    <w:qFormat/>
    <w:rsid w:val="00AC4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39C"/>
    <w:rPr>
      <w:i/>
      <w:iCs/>
      <w:color w:val="0F4761" w:themeColor="accent1" w:themeShade="BF"/>
    </w:rPr>
  </w:style>
  <w:style w:type="character" w:styleId="IntenseReference">
    <w:name w:val="Intense Reference"/>
    <w:basedOn w:val="DefaultParagraphFont"/>
    <w:uiPriority w:val="32"/>
    <w:qFormat/>
    <w:rsid w:val="00AC439C"/>
    <w:rPr>
      <w:b/>
      <w:bCs/>
      <w:smallCaps/>
      <w:color w:val="0F4761" w:themeColor="accent1" w:themeShade="BF"/>
      <w:spacing w:val="5"/>
    </w:rPr>
  </w:style>
  <w:style w:type="character" w:styleId="PlaceholderText">
    <w:name w:val="Placeholder Text"/>
    <w:basedOn w:val="DefaultParagraphFont"/>
    <w:uiPriority w:val="99"/>
    <w:semiHidden/>
    <w:rsid w:val="00AC439C"/>
    <w:rPr>
      <w:color w:val="666666"/>
    </w:rPr>
  </w:style>
  <w:style w:type="paragraph" w:styleId="NormalWeb">
    <w:name w:val="Normal (Web)"/>
    <w:basedOn w:val="Normal"/>
    <w:uiPriority w:val="99"/>
    <w:unhideWhenUsed/>
    <w:rsid w:val="00AC439C"/>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ui-provider">
    <w:name w:val="ui-provider"/>
    <w:basedOn w:val="DefaultParagraphFont"/>
    <w:rsid w:val="00AC439C"/>
  </w:style>
  <w:style w:type="table" w:styleId="TableGrid">
    <w:name w:val="Table Grid"/>
    <w:basedOn w:val="TableNormal"/>
    <w:uiPriority w:val="39"/>
    <w:rsid w:val="00AC4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439C"/>
    <w:rPr>
      <w:b/>
      <w:bCs/>
    </w:rPr>
  </w:style>
  <w:style w:type="paragraph" w:styleId="Header">
    <w:name w:val="header"/>
    <w:basedOn w:val="Normal"/>
    <w:link w:val="HeaderChar"/>
    <w:uiPriority w:val="99"/>
    <w:unhideWhenUsed/>
    <w:rsid w:val="00AC4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39C"/>
  </w:style>
  <w:style w:type="paragraph" w:styleId="Footer">
    <w:name w:val="footer"/>
    <w:basedOn w:val="Normal"/>
    <w:link w:val="FooterChar"/>
    <w:uiPriority w:val="99"/>
    <w:unhideWhenUsed/>
    <w:rsid w:val="00AC4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39C"/>
  </w:style>
  <w:style w:type="character" w:styleId="CommentReference">
    <w:name w:val="annotation reference"/>
    <w:basedOn w:val="DefaultParagraphFont"/>
    <w:uiPriority w:val="99"/>
    <w:semiHidden/>
    <w:unhideWhenUsed/>
    <w:rsid w:val="00AC439C"/>
    <w:rPr>
      <w:sz w:val="16"/>
      <w:szCs w:val="16"/>
    </w:rPr>
  </w:style>
  <w:style w:type="paragraph" w:styleId="CommentText">
    <w:name w:val="annotation text"/>
    <w:basedOn w:val="Normal"/>
    <w:link w:val="CommentTextChar"/>
    <w:uiPriority w:val="99"/>
    <w:unhideWhenUsed/>
    <w:rsid w:val="00AC439C"/>
    <w:pPr>
      <w:spacing w:line="240" w:lineRule="auto"/>
    </w:pPr>
    <w:rPr>
      <w:sz w:val="20"/>
      <w:szCs w:val="20"/>
    </w:rPr>
  </w:style>
  <w:style w:type="character" w:customStyle="1" w:styleId="CommentTextChar">
    <w:name w:val="Comment Text Char"/>
    <w:basedOn w:val="DefaultParagraphFont"/>
    <w:link w:val="CommentText"/>
    <w:uiPriority w:val="99"/>
    <w:rsid w:val="00AC439C"/>
    <w:rPr>
      <w:sz w:val="20"/>
      <w:szCs w:val="20"/>
    </w:rPr>
  </w:style>
  <w:style w:type="paragraph" w:styleId="CommentSubject">
    <w:name w:val="annotation subject"/>
    <w:basedOn w:val="CommentText"/>
    <w:next w:val="CommentText"/>
    <w:link w:val="CommentSubjectChar"/>
    <w:uiPriority w:val="99"/>
    <w:semiHidden/>
    <w:unhideWhenUsed/>
    <w:rsid w:val="00AC439C"/>
    <w:rPr>
      <w:b/>
      <w:bCs/>
    </w:rPr>
  </w:style>
  <w:style w:type="character" w:customStyle="1" w:styleId="CommentSubjectChar">
    <w:name w:val="Comment Subject Char"/>
    <w:basedOn w:val="CommentTextChar"/>
    <w:link w:val="CommentSubject"/>
    <w:uiPriority w:val="99"/>
    <w:semiHidden/>
    <w:rsid w:val="00AC439C"/>
    <w:rPr>
      <w:b/>
      <w:bCs/>
      <w:sz w:val="20"/>
      <w:szCs w:val="20"/>
    </w:rPr>
  </w:style>
  <w:style w:type="paragraph" w:styleId="Revision">
    <w:name w:val="Revision"/>
    <w:hidden/>
    <w:uiPriority w:val="99"/>
    <w:semiHidden/>
    <w:rsid w:val="00AC439C"/>
    <w:pPr>
      <w:spacing w:after="0" w:line="240" w:lineRule="auto"/>
    </w:pPr>
  </w:style>
  <w:style w:type="paragraph" w:customStyle="1" w:styleId="msonormal0">
    <w:name w:val="msonormal"/>
    <w:basedOn w:val="Normal"/>
    <w:rsid w:val="00B7161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71612"/>
    <w:rPr>
      <w:color w:val="467886" w:themeColor="hyperlink"/>
      <w:u w:val="single"/>
    </w:rPr>
  </w:style>
  <w:style w:type="character" w:styleId="UnresolvedMention">
    <w:name w:val="Unresolved Mention"/>
    <w:basedOn w:val="DefaultParagraphFont"/>
    <w:uiPriority w:val="99"/>
    <w:semiHidden/>
    <w:unhideWhenUsed/>
    <w:rsid w:val="00B71612"/>
    <w:rPr>
      <w:color w:val="605E5C"/>
      <w:shd w:val="clear" w:color="auto" w:fill="E1DFDD"/>
    </w:rPr>
  </w:style>
  <w:style w:type="character" w:customStyle="1" w:styleId="apple-converted-space">
    <w:name w:val="apple-converted-space"/>
    <w:basedOn w:val="DefaultParagraphFont"/>
    <w:rsid w:val="00453C2D"/>
  </w:style>
  <w:style w:type="character" w:styleId="Emphasis">
    <w:name w:val="Emphasis"/>
    <w:basedOn w:val="DefaultParagraphFont"/>
    <w:uiPriority w:val="20"/>
    <w:qFormat/>
    <w:rsid w:val="00453C2D"/>
    <w:rPr>
      <w:i/>
      <w:iCs/>
    </w:rPr>
  </w:style>
  <w:style w:type="character" w:customStyle="1" w:styleId="ms-1">
    <w:name w:val="ms-1"/>
    <w:basedOn w:val="DefaultParagraphFont"/>
    <w:rsid w:val="00124B29"/>
  </w:style>
  <w:style w:type="character" w:customStyle="1" w:styleId="max-w-15ch">
    <w:name w:val="max-w-[15ch]"/>
    <w:basedOn w:val="DefaultParagraphFont"/>
    <w:rsid w:val="00124B29"/>
  </w:style>
  <w:style w:type="character" w:styleId="FollowedHyperlink">
    <w:name w:val="FollowedHyperlink"/>
    <w:basedOn w:val="DefaultParagraphFont"/>
    <w:uiPriority w:val="99"/>
    <w:semiHidden/>
    <w:unhideWhenUsed/>
    <w:rsid w:val="00D15800"/>
    <w:rPr>
      <w:color w:val="96607D" w:themeColor="followedHyperlink"/>
      <w:u w:val="single"/>
    </w:rPr>
  </w:style>
  <w:style w:type="paragraph" w:customStyle="1" w:styleId="Default">
    <w:name w:val="Default"/>
    <w:rsid w:val="00E6427C"/>
    <w:pPr>
      <w:autoSpaceDE w:val="0"/>
      <w:autoSpaceDN w:val="0"/>
      <w:adjustRightInd w:val="0"/>
      <w:spacing w:after="0" w:line="240" w:lineRule="auto"/>
    </w:pPr>
    <w:rPr>
      <w:rFonts w:ascii="Charis SIL" w:hAnsi="Charis SIL" w:cs="Charis SIL"/>
      <w:color w:val="000000"/>
      <w:kern w:val="0"/>
      <w:sz w:val="24"/>
      <w:szCs w:val="24"/>
    </w:rPr>
  </w:style>
  <w:style w:type="paragraph" w:customStyle="1" w:styleId="Pa8">
    <w:name w:val="Pa8"/>
    <w:basedOn w:val="Default"/>
    <w:next w:val="Default"/>
    <w:uiPriority w:val="99"/>
    <w:rsid w:val="00C308DA"/>
    <w:pPr>
      <w:spacing w:line="141" w:lineRule="atLeast"/>
    </w:pPr>
    <w:rPr>
      <w:rFonts w:ascii="Museo Sans" w:hAnsi="Museo Sans" w:cstheme="minorBidi"/>
      <w:color w:val="auto"/>
    </w:rPr>
  </w:style>
  <w:style w:type="character" w:styleId="PageNumber">
    <w:name w:val="page number"/>
    <w:basedOn w:val="DefaultParagraphFont"/>
    <w:uiPriority w:val="99"/>
    <w:semiHidden/>
    <w:unhideWhenUsed/>
    <w:rsid w:val="00D05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4934">
      <w:bodyDiv w:val="1"/>
      <w:marLeft w:val="0"/>
      <w:marRight w:val="0"/>
      <w:marTop w:val="0"/>
      <w:marBottom w:val="0"/>
      <w:divBdr>
        <w:top w:val="none" w:sz="0" w:space="0" w:color="auto"/>
        <w:left w:val="none" w:sz="0" w:space="0" w:color="auto"/>
        <w:bottom w:val="none" w:sz="0" w:space="0" w:color="auto"/>
        <w:right w:val="none" w:sz="0" w:space="0" w:color="auto"/>
      </w:divBdr>
    </w:div>
    <w:div w:id="232352393">
      <w:bodyDiv w:val="1"/>
      <w:marLeft w:val="0"/>
      <w:marRight w:val="0"/>
      <w:marTop w:val="0"/>
      <w:marBottom w:val="0"/>
      <w:divBdr>
        <w:top w:val="none" w:sz="0" w:space="0" w:color="auto"/>
        <w:left w:val="none" w:sz="0" w:space="0" w:color="auto"/>
        <w:bottom w:val="none" w:sz="0" w:space="0" w:color="auto"/>
        <w:right w:val="none" w:sz="0" w:space="0" w:color="auto"/>
      </w:divBdr>
    </w:div>
    <w:div w:id="272248027">
      <w:bodyDiv w:val="1"/>
      <w:marLeft w:val="0"/>
      <w:marRight w:val="0"/>
      <w:marTop w:val="0"/>
      <w:marBottom w:val="0"/>
      <w:divBdr>
        <w:top w:val="none" w:sz="0" w:space="0" w:color="auto"/>
        <w:left w:val="none" w:sz="0" w:space="0" w:color="auto"/>
        <w:bottom w:val="none" w:sz="0" w:space="0" w:color="auto"/>
        <w:right w:val="none" w:sz="0" w:space="0" w:color="auto"/>
      </w:divBdr>
    </w:div>
    <w:div w:id="614757342">
      <w:bodyDiv w:val="1"/>
      <w:marLeft w:val="0"/>
      <w:marRight w:val="0"/>
      <w:marTop w:val="0"/>
      <w:marBottom w:val="0"/>
      <w:divBdr>
        <w:top w:val="none" w:sz="0" w:space="0" w:color="auto"/>
        <w:left w:val="none" w:sz="0" w:space="0" w:color="auto"/>
        <w:bottom w:val="none" w:sz="0" w:space="0" w:color="auto"/>
        <w:right w:val="none" w:sz="0" w:space="0" w:color="auto"/>
      </w:divBdr>
    </w:div>
    <w:div w:id="1033766637">
      <w:bodyDiv w:val="1"/>
      <w:marLeft w:val="0"/>
      <w:marRight w:val="0"/>
      <w:marTop w:val="0"/>
      <w:marBottom w:val="0"/>
      <w:divBdr>
        <w:top w:val="none" w:sz="0" w:space="0" w:color="auto"/>
        <w:left w:val="none" w:sz="0" w:space="0" w:color="auto"/>
        <w:bottom w:val="none" w:sz="0" w:space="0" w:color="auto"/>
        <w:right w:val="none" w:sz="0" w:space="0" w:color="auto"/>
      </w:divBdr>
    </w:div>
    <w:div w:id="146362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jemep.2025.101142" TargetMode="External"/><Relationship Id="rId21" Type="http://schemas.openxmlformats.org/officeDocument/2006/relationships/hyperlink" Target="https://doi.org/10.1111/issj.12459" TargetMode="External"/><Relationship Id="rId63" Type="http://schemas.openxmlformats.org/officeDocument/2006/relationships/hyperlink" Target="https://doi.org/10.4337/9781783478996.00009" TargetMode="External"/><Relationship Id="rId159" Type="http://schemas.openxmlformats.org/officeDocument/2006/relationships/hyperlink" Target="https://doi.org/10.1016/j.actatropica.2013.05.010" TargetMode="External"/><Relationship Id="rId170" Type="http://schemas.openxmlformats.org/officeDocument/2006/relationships/hyperlink" Target="https://doi.org/10.1007/s40475-024-00315-1" TargetMode="External"/><Relationship Id="rId191" Type="http://schemas.openxmlformats.org/officeDocument/2006/relationships/hyperlink" Target="https://doi.org/10.17269/s41997-021-00504-3" TargetMode="External"/><Relationship Id="rId205" Type="http://schemas.openxmlformats.org/officeDocument/2006/relationships/hyperlink" Target="https://doi.org/10.1177/1757975917747448" TargetMode="External"/><Relationship Id="rId226" Type="http://schemas.openxmlformats.org/officeDocument/2006/relationships/hyperlink" Target="https://doi.org/10.1186/s12879-021-06805-1" TargetMode="External"/><Relationship Id="rId247" Type="http://schemas.openxmlformats.org/officeDocument/2006/relationships/hyperlink" Target="https://doi.org/10.1186/s12992-023-00905-0" TargetMode="External"/><Relationship Id="rId107" Type="http://schemas.openxmlformats.org/officeDocument/2006/relationships/hyperlink" Target="https://doi.org/10.1177/01939459251314943" TargetMode="External"/><Relationship Id="rId11" Type="http://schemas.openxmlformats.org/officeDocument/2006/relationships/hyperlink" Target="https://doi.org/10.2196/14737" TargetMode="External"/><Relationship Id="rId32" Type="http://schemas.openxmlformats.org/officeDocument/2006/relationships/hyperlink" Target="https://doi.org/10.1089/jayao.2019.0169" TargetMode="External"/><Relationship Id="rId53" Type="http://schemas.openxmlformats.org/officeDocument/2006/relationships/hyperlink" Target="https://search.ebscohost.com/login.aspx?direct=true&amp;db=psyh&amp;AN=2009-06784-009&amp;site=ehost-live" TargetMode="External"/><Relationship Id="rId74" Type="http://schemas.openxmlformats.org/officeDocument/2006/relationships/hyperlink" Target="https://doi.org/10.1016/B978-0-08-097086-8.91004-3" TargetMode="External"/><Relationship Id="rId128" Type="http://schemas.openxmlformats.org/officeDocument/2006/relationships/hyperlink" Target="https://doi.org/10.1016/j.jgo.2019.06.003" TargetMode="External"/><Relationship Id="rId149" Type="http://schemas.openxmlformats.org/officeDocument/2006/relationships/hyperlink" Target="https://doi.org/10.24144/27886018.2024.05.62" TargetMode="External"/><Relationship Id="rId5" Type="http://schemas.openxmlformats.org/officeDocument/2006/relationships/footnotes" Target="footnotes.xml"/><Relationship Id="rId95" Type="http://schemas.openxmlformats.org/officeDocument/2006/relationships/hyperlink" Target="https://doi.org/10.1002/hpja.225" TargetMode="External"/><Relationship Id="rId160" Type="http://schemas.openxmlformats.org/officeDocument/2006/relationships/hyperlink" Target="https://doi.org/10.1007/9783319221236_5" TargetMode="External"/><Relationship Id="rId181" Type="http://schemas.openxmlformats.org/officeDocument/2006/relationships/hyperlink" Target="https://doi.org/10.3892/mmr.2021.12139" TargetMode="External"/><Relationship Id="rId216" Type="http://schemas.openxmlformats.org/officeDocument/2006/relationships/hyperlink" Target="https://doi.org/10.1007/s11356-015-5707-9" TargetMode="External"/><Relationship Id="rId237" Type="http://schemas.openxmlformats.org/officeDocument/2006/relationships/hyperlink" Target="https://doi.org/10.3389/fpsyg.2023.1123456" TargetMode="External"/><Relationship Id="rId258" Type="http://schemas.openxmlformats.org/officeDocument/2006/relationships/chart" Target="charts/chart1.xml"/><Relationship Id="rId22" Type="http://schemas.openxmlformats.org/officeDocument/2006/relationships/hyperlink" Target="https://doi.org/10.14512/gaia.34.1.7" TargetMode="External"/><Relationship Id="rId43" Type="http://schemas.openxmlformats.org/officeDocument/2006/relationships/hyperlink" Target="https://doi.org/10.1007/978-3-030-45103-5_11" TargetMode="External"/><Relationship Id="rId64" Type="http://schemas.openxmlformats.org/officeDocument/2006/relationships/hyperlink" Target="https://doi.org/10.1093/geront/gnae151" TargetMode="External"/><Relationship Id="rId118" Type="http://schemas.openxmlformats.org/officeDocument/2006/relationships/hyperlink" Target="https://doi.org/10.3390/ijerph19052663" TargetMode="External"/><Relationship Id="rId139" Type="http://schemas.openxmlformats.org/officeDocument/2006/relationships/hyperlink" Target="https://doi.org/10.1016/j.pmedr.2020.101240" TargetMode="External"/><Relationship Id="rId85" Type="http://schemas.openxmlformats.org/officeDocument/2006/relationships/hyperlink" Target="https://doi.org/10.1016/j.aogh.2015.08.002" TargetMode="External"/><Relationship Id="rId150" Type="http://schemas.openxmlformats.org/officeDocument/2006/relationships/hyperlink" Target="https://doi.org/10.24908/iqurcp19033" TargetMode="External"/><Relationship Id="rId171" Type="http://schemas.openxmlformats.org/officeDocument/2006/relationships/hyperlink" Target="https://doi.org/10.55131/jphd/2024/220321" TargetMode="External"/><Relationship Id="rId192" Type="http://schemas.openxmlformats.org/officeDocument/2006/relationships/hyperlink" Target="https://doi.org/10.1016/j.ecoinf.2024.102860" TargetMode="External"/><Relationship Id="rId206" Type="http://schemas.openxmlformats.org/officeDocument/2006/relationships/hyperlink" Target="https://doi.org/10.1186/s12978-015-0097-5" TargetMode="External"/><Relationship Id="rId227" Type="http://schemas.openxmlformats.org/officeDocument/2006/relationships/hyperlink" Target="https://doi.org/10.1002/hpja.560" TargetMode="External"/><Relationship Id="rId248" Type="http://schemas.openxmlformats.org/officeDocument/2006/relationships/hyperlink" Target="https://doi.org/10.33137/utjph.v2i1.34761" TargetMode="External"/><Relationship Id="rId12" Type="http://schemas.openxmlformats.org/officeDocument/2006/relationships/hyperlink" Target="https://doi.org/10.1002/nop2.70058" TargetMode="External"/><Relationship Id="rId33" Type="http://schemas.openxmlformats.org/officeDocument/2006/relationships/hyperlink" Target="https://doi.org/10.1016/j.meegid.2024.105683" TargetMode="External"/><Relationship Id="rId108" Type="http://schemas.openxmlformats.org/officeDocument/2006/relationships/hyperlink" Target="https://doi.org/10.4324/9781315805863-11" TargetMode="External"/><Relationship Id="rId129" Type="http://schemas.openxmlformats.org/officeDocument/2006/relationships/hyperlink" Target="https://doi.org/10.1111/ina.12707" TargetMode="External"/><Relationship Id="rId54" Type="http://schemas.openxmlformats.org/officeDocument/2006/relationships/hyperlink" Target="https://www.scopus.com/inward/record.uri?eid=2-s2.0-0027933037&amp;partnerID=40&amp;md5=9ef733cc25009d50513e52ce73bd5dbe" TargetMode="External"/><Relationship Id="rId75" Type="http://schemas.openxmlformats.org/officeDocument/2006/relationships/hyperlink" Target="https://doi.org/10.1186/s12889-019-7108-3" TargetMode="External"/><Relationship Id="rId96" Type="http://schemas.openxmlformats.org/officeDocument/2006/relationships/hyperlink" Target="https://doi.org/10.1111/phn.12958" TargetMode="External"/><Relationship Id="rId140" Type="http://schemas.openxmlformats.org/officeDocument/2006/relationships/hyperlink" Target="https://doi.org/10.20043/j.cnki.MPM.202307463" TargetMode="External"/><Relationship Id="rId161" Type="http://schemas.openxmlformats.org/officeDocument/2006/relationships/hyperlink" Target="https://doi.org/10.13140/RG.2.2.12554.82883" TargetMode="External"/><Relationship Id="rId182" Type="http://schemas.openxmlformats.org/officeDocument/2006/relationships/hyperlink" Target="https://doi.org/10.3390/ijerph182312437" TargetMode="External"/><Relationship Id="rId217" Type="http://schemas.openxmlformats.org/officeDocument/2006/relationships/hyperlink" Target="https://doi.org/10.1371/journal.pmed.1003114" TargetMode="External"/><Relationship Id="rId6" Type="http://schemas.openxmlformats.org/officeDocument/2006/relationships/endnotes" Target="endnotes.xml"/><Relationship Id="rId238" Type="http://schemas.openxmlformats.org/officeDocument/2006/relationships/hyperlink" Target="https://doi.org/10.1093/heapro/daac026" TargetMode="External"/><Relationship Id="rId259" Type="http://schemas.openxmlformats.org/officeDocument/2006/relationships/footer" Target="footer1.xml"/><Relationship Id="rId23" Type="http://schemas.openxmlformats.org/officeDocument/2006/relationships/hyperlink" Target="https://doi.org/10.1155/2024/4775361" TargetMode="External"/><Relationship Id="rId119" Type="http://schemas.openxmlformats.org/officeDocument/2006/relationships/hyperlink" Target="https://doi.org/10.4103/ijph.ijph_1017_22" TargetMode="External"/><Relationship Id="rId44" Type="http://schemas.openxmlformats.org/officeDocument/2006/relationships/hyperlink" Target="https://doi.org/10.1016/j.cegh.2023.101386" TargetMode="External"/><Relationship Id="rId65" Type="http://schemas.openxmlformats.org/officeDocument/2006/relationships/hyperlink" Target="https://doi.org/10.1007/BF02692239" TargetMode="External"/><Relationship Id="rId86" Type="http://schemas.openxmlformats.org/officeDocument/2006/relationships/hyperlink" Target="https://doi.org/10.1002/9781118818824.ch6" TargetMode="External"/><Relationship Id="rId130" Type="http://schemas.openxmlformats.org/officeDocument/2006/relationships/hyperlink" Target="https://doi.org/10.1128/AEM.01576-08" TargetMode="External"/><Relationship Id="rId151" Type="http://schemas.openxmlformats.org/officeDocument/2006/relationships/hyperlink" Target="http://www.cpha.ca/uploads/policy/edhdiscussion_e.pdf" TargetMode="External"/><Relationship Id="rId172" Type="http://schemas.openxmlformats.org/officeDocument/2006/relationships/hyperlink" Target="https://doi.org/10.1017/ash.2024.375" TargetMode="External"/><Relationship Id="rId193" Type="http://schemas.openxmlformats.org/officeDocument/2006/relationships/hyperlink" Target="https://doi.org/10.1017/S0033291712001511" TargetMode="External"/><Relationship Id="rId207" Type="http://schemas.openxmlformats.org/officeDocument/2006/relationships/hyperlink" Target="https://doi:10.36469/jheor.2021.22978" TargetMode="External"/><Relationship Id="rId228" Type="http://schemas.openxmlformats.org/officeDocument/2006/relationships/hyperlink" Target="https://doi.org/10.5694/mja2.51020" TargetMode="External"/><Relationship Id="rId249" Type="http://schemas.openxmlformats.org/officeDocument/2006/relationships/hyperlink" Target="https://doi.org/10.17269/s41997-022-00731-8" TargetMode="External"/><Relationship Id="rId13" Type="http://schemas.openxmlformats.org/officeDocument/2006/relationships/hyperlink" Target="https://doi.org/10.1016/j.prevetmed.2019.104729" TargetMode="External"/><Relationship Id="rId109" Type="http://schemas.openxmlformats.org/officeDocument/2006/relationships/hyperlink" Target="https://doi.org/10.1002/hpja.460" TargetMode="External"/><Relationship Id="rId260" Type="http://schemas.openxmlformats.org/officeDocument/2006/relationships/footer" Target="footer2.xml"/><Relationship Id="rId34" Type="http://schemas.openxmlformats.org/officeDocument/2006/relationships/hyperlink" Target="https://doi.org/10.4324/9781003174417-19" TargetMode="External"/><Relationship Id="rId55" Type="http://schemas.openxmlformats.org/officeDocument/2006/relationships/hyperlink" Target="https://doi.org/10.1007/978-1-4614-6852-3_3" TargetMode="External"/><Relationship Id="rId76" Type="http://schemas.openxmlformats.org/officeDocument/2006/relationships/hyperlink" Target="https://doi.org/10.1016/B978-0-08-102295-5.10433-0" TargetMode="External"/><Relationship Id="rId97" Type="http://schemas.openxmlformats.org/officeDocument/2006/relationships/hyperlink" Target="https://doi.org/10.1186/s12889-024-20236-y" TargetMode="External"/><Relationship Id="rId120" Type="http://schemas.openxmlformats.org/officeDocument/2006/relationships/hyperlink" Target="https://doi.org/10.1097/ACI.0000000000000975" TargetMode="External"/><Relationship Id="rId141" Type="http://schemas.openxmlformats.org/officeDocument/2006/relationships/hyperlink" Target="https://doi.org/10.1186/s12889-020-09458-y" TargetMode="External"/><Relationship Id="rId7" Type="http://schemas.openxmlformats.org/officeDocument/2006/relationships/hyperlink" Target="https://doi.org/10.1371/journal.pntd.0009278" TargetMode="External"/><Relationship Id="rId162" Type="http://schemas.openxmlformats.org/officeDocument/2006/relationships/hyperlink" Target="https://doi.org/10.25904/1912/4028" TargetMode="External"/><Relationship Id="rId183" Type="http://schemas.openxmlformats.org/officeDocument/2006/relationships/hyperlink" Target="https://doi.org/10.3390/ijerph16162915" TargetMode="External"/><Relationship Id="rId218" Type="http://schemas.openxmlformats.org/officeDocument/2006/relationships/hyperlink" Target="https://doi.org/10.15212/ZOONOSES-2022-0043" TargetMode="External"/><Relationship Id="rId239" Type="http://schemas.openxmlformats.org/officeDocument/2006/relationships/hyperlink" Target="https://doi.org/10.14746/eip.2014.2.11" TargetMode="External"/><Relationship Id="rId250" Type="http://schemas.openxmlformats.org/officeDocument/2006/relationships/hyperlink" Target="https://doi.org/10.3390/ijerph15081688" TargetMode="External"/><Relationship Id="rId24" Type="http://schemas.openxmlformats.org/officeDocument/2006/relationships/hyperlink" Target="https://doi.org/10.31557/APJCP.2023.24.1.307" TargetMode="External"/><Relationship Id="rId45" Type="http://schemas.openxmlformats.org/officeDocument/2006/relationships/hyperlink" Target="https://doi.org/10.1093/heapro/daw063" TargetMode="External"/><Relationship Id="rId66" Type="http://schemas.openxmlformats.org/officeDocument/2006/relationships/hyperlink" Target="https://doi.org/10.1017/S0021932021000614" TargetMode="External"/><Relationship Id="rId87" Type="http://schemas.openxmlformats.org/officeDocument/2006/relationships/hyperlink" Target="https://doi.org/10.3390/ijerph16193730" TargetMode="External"/><Relationship Id="rId110" Type="http://schemas.openxmlformats.org/officeDocument/2006/relationships/hyperlink" Target="https://doi.org/10.1001/jama.275.3.217" TargetMode="External"/><Relationship Id="rId131" Type="http://schemas.openxmlformats.org/officeDocument/2006/relationships/hyperlink" Target="https://doi.org/10.1128/9781555818364.ch29" TargetMode="External"/><Relationship Id="rId152" Type="http://schemas.openxmlformats.org/officeDocument/2006/relationships/hyperlink" Target="https://doi.org/10.1111/13652656.12805" TargetMode="External"/><Relationship Id="rId173" Type="http://schemas.openxmlformats.org/officeDocument/2006/relationships/hyperlink" Target="https://doi.org/10.1136/jech.54.5.367" TargetMode="External"/><Relationship Id="rId194" Type="http://schemas.openxmlformats.org/officeDocument/2006/relationships/hyperlink" Target="https://doi.org/10.3390/microorganisms10030643" TargetMode="External"/><Relationship Id="rId208" Type="http://schemas.openxmlformats.org/officeDocument/2006/relationships/hyperlink" Target="https://doi.org/10.1016/j.chiabu.2023.106029" TargetMode="External"/><Relationship Id="rId229" Type="http://schemas.openxmlformats.org/officeDocument/2006/relationships/hyperlink" Target="https://doi.org/10.17269/s41997-019-00263-8" TargetMode="External"/><Relationship Id="rId240" Type="http://schemas.openxmlformats.org/officeDocument/2006/relationships/hyperlink" Target="https://doi:10.1016/j.pt.2017.06.002" TargetMode="External"/><Relationship Id="rId261" Type="http://schemas.openxmlformats.org/officeDocument/2006/relationships/fontTable" Target="fontTable.xml"/><Relationship Id="rId14" Type="http://schemas.openxmlformats.org/officeDocument/2006/relationships/hyperlink" Target="https://doi.org/10.1016/j.envsci.2024.103677" TargetMode="External"/><Relationship Id="rId35" Type="http://schemas.openxmlformats.org/officeDocument/2006/relationships/hyperlink" Target="https://doi.org/10.1016/j.healthplace.2006.01.005" TargetMode="External"/><Relationship Id="rId56" Type="http://schemas.openxmlformats.org/officeDocument/2006/relationships/hyperlink" Target="https://doi.org/10.1371/journal.pntd.0003608" TargetMode="External"/><Relationship Id="rId77" Type="http://schemas.openxmlformats.org/officeDocument/2006/relationships/hyperlink" Target="https://pubmed.ncbi.nlm.nih.gov/12613698/" TargetMode="External"/><Relationship Id="rId100" Type="http://schemas.openxmlformats.org/officeDocument/2006/relationships/hyperlink" Target="https://doi.org/10.1002/hpja.249" TargetMode="External"/><Relationship Id="rId8" Type="http://schemas.openxmlformats.org/officeDocument/2006/relationships/hyperlink" Target="https://doi.org/10.2105/AJPH.2017.304214" TargetMode="External"/><Relationship Id="rId98" Type="http://schemas.openxmlformats.org/officeDocument/2006/relationships/hyperlink" Target="https://doi.org/10.1371/journal.pgph.0000089" TargetMode="External"/><Relationship Id="rId121" Type="http://schemas.openxmlformats.org/officeDocument/2006/relationships/hyperlink" Target="https://doi.org/10.1016/j.socscimed.2024.116700" TargetMode="External"/><Relationship Id="rId142" Type="http://schemas.openxmlformats.org/officeDocument/2006/relationships/hyperlink" Target="https://doi.org/10.1177/0890117118767717" TargetMode="External"/><Relationship Id="rId163" Type="http://schemas.openxmlformats.org/officeDocument/2006/relationships/hyperlink" Target="https://doi.org/10.2105/AJPH.2017.304214" TargetMode="External"/><Relationship Id="rId184" Type="http://schemas.openxmlformats.org/officeDocument/2006/relationships/hyperlink" Target="http://dx.doi.org/10.1016/j.socscimed.2012.12.024" TargetMode="External"/><Relationship Id="rId219" Type="http://schemas.openxmlformats.org/officeDocument/2006/relationships/hyperlink" Target="https://doi.org/10.1016/j.joclim.2024.100301" TargetMode="External"/><Relationship Id="rId230" Type="http://schemas.openxmlformats.org/officeDocument/2006/relationships/hyperlink" Target="https://doi.org/10.1016/j.wss.2024.100227" TargetMode="External"/><Relationship Id="rId251" Type="http://schemas.openxmlformats.org/officeDocument/2006/relationships/hyperlink" Target="https://doi.org/10.3389/fsci.2024.1383921" TargetMode="External"/><Relationship Id="rId25" Type="http://schemas.openxmlformats.org/officeDocument/2006/relationships/hyperlink" Target="https://doi.org/10.1016/j.jsat.2016.08.004" TargetMode="External"/><Relationship Id="rId46" Type="http://schemas.openxmlformats.org/officeDocument/2006/relationships/hyperlink" Target="https://doi.org/10.3389/fpubh.2020.00123" TargetMode="External"/><Relationship Id="rId67" Type="http://schemas.openxmlformats.org/officeDocument/2006/relationships/hyperlink" Target="https://doi.org/10.1093/jphsr/rmab011" TargetMode="External"/><Relationship Id="rId88" Type="http://schemas.openxmlformats.org/officeDocument/2006/relationships/hyperlink" Target="https://doi.org/10.1089/heq.2020.0142" TargetMode="External"/><Relationship Id="rId111" Type="http://schemas.openxmlformats.org/officeDocument/2006/relationships/hyperlink" Target="https://doi.org/10.1177/0886260518779599" TargetMode="External"/><Relationship Id="rId132" Type="http://schemas.openxmlformats.org/officeDocument/2006/relationships/hyperlink" Target="https://doi.org/10.1186/s12884-020-2786-5" TargetMode="External"/><Relationship Id="rId153" Type="http://schemas.openxmlformats.org/officeDocument/2006/relationships/hyperlink" Target="https://doi.org/10.24095/hpcdp.44.2.04" TargetMode="External"/><Relationship Id="rId174" Type="http://schemas.openxmlformats.org/officeDocument/2006/relationships/hyperlink" Target="https://doi.org/10.1080/08964289.2019.1585324" TargetMode="External"/><Relationship Id="rId195" Type="http://schemas.openxmlformats.org/officeDocument/2006/relationships/hyperlink" Target="https://doi.org/10.1186/s13071-020-04182-3" TargetMode="External"/><Relationship Id="rId209" Type="http://schemas.openxmlformats.org/officeDocument/2006/relationships/hyperlink" Target="https://doi.org/10.3389/fpubh.2024.1309186" TargetMode="External"/><Relationship Id="rId220" Type="http://schemas.openxmlformats.org/officeDocument/2006/relationships/hyperlink" Target="https://doi.org/10.1093/tropej/43.6.341" TargetMode="External"/><Relationship Id="rId241" Type="http://schemas.openxmlformats.org/officeDocument/2006/relationships/hyperlink" Target="https://doi.org/10.1186/s12889-022-14686-5" TargetMode="External"/><Relationship Id="rId15" Type="http://schemas.openxmlformats.org/officeDocument/2006/relationships/hyperlink" Target="https://doi.org/10.1186/1472-6874-4-S1-S6" TargetMode="External"/><Relationship Id="rId36" Type="http://schemas.openxmlformats.org/officeDocument/2006/relationships/hyperlink" Target="https://doi.org/10.1016/j.vaccine.2024.01.001" TargetMode="External"/><Relationship Id="rId57" Type="http://schemas.openxmlformats.org/officeDocument/2006/relationships/hyperlink" Target="https://doi.org/10.1080/08952841.2021.1996195" TargetMode="External"/><Relationship Id="rId262" Type="http://schemas.openxmlformats.org/officeDocument/2006/relationships/theme" Target="theme/theme1.xml"/><Relationship Id="rId78" Type="http://schemas.openxmlformats.org/officeDocument/2006/relationships/hyperlink" Target="https://doi.org/10.1017/S0031182004005220" TargetMode="External"/><Relationship Id="rId99" Type="http://schemas.openxmlformats.org/officeDocument/2006/relationships/hyperlink" Target="https://doi.org/10.1093/heapro/daz119" TargetMode="External"/><Relationship Id="rId101" Type="http://schemas.openxmlformats.org/officeDocument/2006/relationships/hyperlink" Target="https://doi.org/10.1007/s10461-023-04055-7" TargetMode="External"/><Relationship Id="rId122" Type="http://schemas.openxmlformats.org/officeDocument/2006/relationships/hyperlink" Target="https://doi.org/10.1371/journal.pone.0156386" TargetMode="External"/><Relationship Id="rId143" Type="http://schemas.openxmlformats.org/officeDocument/2006/relationships/hyperlink" Target="https://doi.org/10.1093/heapro/daw011" TargetMode="External"/><Relationship Id="rId164" Type="http://schemas.openxmlformats.org/officeDocument/2006/relationships/hyperlink" Target="https://doi.org/10.1002/hpja.48" TargetMode="External"/><Relationship Id="rId185" Type="http://schemas.openxmlformats.org/officeDocument/2006/relationships/hyperlink" Target="https://doi.org/10.1007/s13280-022-01765-5" TargetMode="External"/><Relationship Id="rId9" Type="http://schemas.openxmlformats.org/officeDocument/2006/relationships/hyperlink" Target="https://doi.org/10.1016/j.ygcen.2017.07.007" TargetMode="External"/><Relationship Id="rId210" Type="http://schemas.openxmlformats.org/officeDocument/2006/relationships/hyperlink" Target="https://doi.org/10.1089/hs.2016.0072" TargetMode="External"/><Relationship Id="rId26" Type="http://schemas.openxmlformats.org/officeDocument/2006/relationships/hyperlink" Target="https://doi.org/10.1177/15598276251351585" TargetMode="External"/><Relationship Id="rId231" Type="http://schemas.openxmlformats.org/officeDocument/2006/relationships/hyperlink" Target="https://doi.org/10.3390/ijerph110606571" TargetMode="External"/><Relationship Id="rId252" Type="http://schemas.openxmlformats.org/officeDocument/2006/relationships/hyperlink" Target="https://doi.org/10.34172/ijhpm.8877" TargetMode="External"/><Relationship Id="rId47" Type="http://schemas.openxmlformats.org/officeDocument/2006/relationships/hyperlink" Target="https://www.scopus.com/inward/record.uri?eid=2-s2.0-79960108839&amp;partnerID=40&amp;md5=6d5adb0cc702120000fe91fb71f7cd86" TargetMode="External"/><Relationship Id="rId68" Type="http://schemas.openxmlformats.org/officeDocument/2006/relationships/hyperlink" Target="https://doi.org/10.48327/mtsi.v4i2.2024.512" TargetMode="External"/><Relationship Id="rId89" Type="http://schemas.openxmlformats.org/officeDocument/2006/relationships/hyperlink" Target="https://doi.org/10.1016/B978-0-12-397169-2.00083-4" TargetMode="External"/><Relationship Id="rId112" Type="http://schemas.openxmlformats.org/officeDocument/2006/relationships/hyperlink" Target="https://doi.org/10.1093/abm/kaab008" TargetMode="External"/><Relationship Id="rId133" Type="http://schemas.openxmlformats.org/officeDocument/2006/relationships/hyperlink" Target="https://doi.org/10.3389/ijph.2022.1604351" TargetMode="External"/><Relationship Id="rId154" Type="http://schemas.openxmlformats.org/officeDocument/2006/relationships/hyperlink" Target="https://doi.org/10.1177/1757975915598503" TargetMode="External"/><Relationship Id="rId175" Type="http://schemas.openxmlformats.org/officeDocument/2006/relationships/hyperlink" Target="https://doi.org/10.3390/v17081022" TargetMode="External"/><Relationship Id="rId196" Type="http://schemas.openxmlformats.org/officeDocument/2006/relationships/hyperlink" Target="https://doi.org/10.1177/097206340700900305" TargetMode="External"/><Relationship Id="rId200" Type="http://schemas.openxmlformats.org/officeDocument/2006/relationships/hyperlink" Target="https://doi.org/10.1007/9783030958565" TargetMode="External"/><Relationship Id="rId16" Type="http://schemas.openxmlformats.org/officeDocument/2006/relationships/hyperlink" Target="https://doi.org/10.1016/j.jneb.2024.05.109" TargetMode="External"/><Relationship Id="rId221" Type="http://schemas.openxmlformats.org/officeDocument/2006/relationships/hyperlink" Target="https://doi.org/10.18502/jovr.v14i3.4790" TargetMode="External"/><Relationship Id="rId242" Type="http://schemas.openxmlformats.org/officeDocument/2006/relationships/hyperlink" Target="https://doi.org/10.1371/journal.pone.0114047" TargetMode="External"/><Relationship Id="rId37" Type="http://schemas.openxmlformats.org/officeDocument/2006/relationships/hyperlink" Target="https://doi.org/10.1038/s41598-023-30715-8" TargetMode="External"/><Relationship Id="rId58" Type="http://schemas.openxmlformats.org/officeDocument/2006/relationships/hyperlink" Target="https://doi.org/10.1016/B978-0-08-102295-5.10991-6" TargetMode="External"/><Relationship Id="rId79" Type="http://schemas.openxmlformats.org/officeDocument/2006/relationships/hyperlink" Target="https://doi.org/10.1007/978-3-030-27001-8_14" TargetMode="External"/><Relationship Id="rId102" Type="http://schemas.openxmlformats.org/officeDocument/2006/relationships/hyperlink" Target="https://doi.org/10.1108/JHR-09-2018-0095" TargetMode="External"/><Relationship Id="rId123" Type="http://schemas.openxmlformats.org/officeDocument/2006/relationships/hyperlink" Target="https://doi.org/10.1093/sleep/zsad260" TargetMode="External"/><Relationship Id="rId144" Type="http://schemas.openxmlformats.org/officeDocument/2006/relationships/hyperlink" Target="https://doi.org/10.1007/s11121-023-01578-2" TargetMode="External"/><Relationship Id="rId90" Type="http://schemas.openxmlformats.org/officeDocument/2006/relationships/hyperlink" Target="https://doi.org/10.1332/175795921X16424353247247" TargetMode="External"/><Relationship Id="rId165" Type="http://schemas.openxmlformats.org/officeDocument/2006/relationships/hyperlink" Target="https://doi.org/10.1016/S25425196(18)302419" TargetMode="External"/><Relationship Id="rId186" Type="http://schemas.openxmlformats.org/officeDocument/2006/relationships/hyperlink" Target="https://doi.org/10.1111/mve.12741" TargetMode="External"/><Relationship Id="rId211" Type="http://schemas.openxmlformats.org/officeDocument/2006/relationships/hyperlink" Target="https://doi.org/10.1002/hpja.434" TargetMode="External"/><Relationship Id="rId232" Type="http://schemas.openxmlformats.org/officeDocument/2006/relationships/hyperlink" Target="https://doi.org/10.1016/j.actatropica.2018.12.030" TargetMode="External"/><Relationship Id="rId253" Type="http://schemas.openxmlformats.org/officeDocument/2006/relationships/hyperlink" Target="https://doi.org/10.1002/hpja.460" TargetMode="External"/><Relationship Id="rId27" Type="http://schemas.openxmlformats.org/officeDocument/2006/relationships/hyperlink" Target="https://doi.org/10.7752/jpes.2023.01028" TargetMode="External"/><Relationship Id="rId48" Type="http://schemas.openxmlformats.org/officeDocument/2006/relationships/hyperlink" Target="https://www.scopus.com/inward/record.uri?eid=2-s2.0-66249139916&amp;partnerID=40&amp;md5=c256561912aeb9cf11fe6c4182d3e9be" TargetMode="External"/><Relationship Id="rId69" Type="http://schemas.openxmlformats.org/officeDocument/2006/relationships/hyperlink" Target="https://doi.org/10.1016/j.healthplace.2021.102667" TargetMode="External"/><Relationship Id="rId113" Type="http://schemas.openxmlformats.org/officeDocument/2006/relationships/hyperlink" Target="https://doi.org/10.1016/bs.apar.2020.04.005" TargetMode="External"/><Relationship Id="rId134" Type="http://schemas.openxmlformats.org/officeDocument/2006/relationships/hyperlink" Target="https://doi.org/10.1016/j.apgeog.2017.05.005" TargetMode="External"/><Relationship Id="rId80" Type="http://schemas.openxmlformats.org/officeDocument/2006/relationships/hyperlink" Target="https://doi.org/10.1007/978-3-030-02438-3_54" TargetMode="External"/><Relationship Id="rId155" Type="http://schemas.openxmlformats.org/officeDocument/2006/relationships/hyperlink" Target="https://doi.org/10.17269/s41997024009261" TargetMode="External"/><Relationship Id="rId176" Type="http://schemas.openxmlformats.org/officeDocument/2006/relationships/hyperlink" Target="https://doi.org/10.17269/s41997-022-00720-x" TargetMode="External"/><Relationship Id="rId197" Type="http://schemas.openxmlformats.org/officeDocument/2006/relationships/hyperlink" Target="https://doi.org/10.3390/ijerph18094573" TargetMode="External"/><Relationship Id="rId201" Type="http://schemas.openxmlformats.org/officeDocument/2006/relationships/hyperlink" Target="https://doi.org/10.1007/978-3-030-95856-5_14" TargetMode="External"/><Relationship Id="rId222" Type="http://schemas.openxmlformats.org/officeDocument/2006/relationships/hyperlink" Target="https://doi.org/10.1371/journal.pone.0139315" TargetMode="External"/><Relationship Id="rId243" Type="http://schemas.openxmlformats.org/officeDocument/2006/relationships/hyperlink" Target="https://doi.org/10.1007/s11920-021-01296-y" TargetMode="External"/><Relationship Id="rId17" Type="http://schemas.openxmlformats.org/officeDocument/2006/relationships/hyperlink" Target="https://doi.org/10.3389/fpubh.2016.00028" TargetMode="External"/><Relationship Id="rId38" Type="http://schemas.openxmlformats.org/officeDocument/2006/relationships/hyperlink" Target="https://doi.org/10.1186/s13071-016-1474-9" TargetMode="External"/><Relationship Id="rId59" Type="http://schemas.openxmlformats.org/officeDocument/2006/relationships/hyperlink" Target="https://doi.org/10.1093/heapro/daab120" TargetMode="External"/><Relationship Id="rId103" Type="http://schemas.openxmlformats.org/officeDocument/2006/relationships/hyperlink" Target="https://doi.org/10.1093/heapro/daae024" TargetMode="External"/><Relationship Id="rId124" Type="http://schemas.openxmlformats.org/officeDocument/2006/relationships/hyperlink" Target="https://doi.org/10.1002/hpja.865" TargetMode="External"/><Relationship Id="rId70" Type="http://schemas.openxmlformats.org/officeDocument/2006/relationships/hyperlink" Target="https://doi.org/10.24095/hpcdp.44.2.04" TargetMode="External"/><Relationship Id="rId91" Type="http://schemas.openxmlformats.org/officeDocument/2006/relationships/hyperlink" Target="https://www.scopus.com/inward/record.uri?eid=2-s2.0-0345743617&amp;partnerID=40&amp;md5=4bde343ce35bb73540777e8823989e31" TargetMode="External"/><Relationship Id="rId145" Type="http://schemas.openxmlformats.org/officeDocument/2006/relationships/hyperlink" Target="https://doi.org/10.1007/s11121-023-01578-2" TargetMode="External"/><Relationship Id="rId166" Type="http://schemas.openxmlformats.org/officeDocument/2006/relationships/hyperlink" Target="https://summit.sfu.ca/item/39633?utm_source=chatgpt.com" TargetMode="External"/><Relationship Id="rId187" Type="http://schemas.openxmlformats.org/officeDocument/2006/relationships/hyperlink" Target="http://dx.doi.org/10.1016/j.gloenvcha.2014.09.007" TargetMode="External"/><Relationship Id="rId1" Type="http://schemas.openxmlformats.org/officeDocument/2006/relationships/numbering" Target="numbering.xml"/><Relationship Id="rId212" Type="http://schemas.openxmlformats.org/officeDocument/2006/relationships/hyperlink" Target="https://doi.org/10.1016/S1473-3099(15)00113-6" TargetMode="External"/><Relationship Id="rId233" Type="http://schemas.openxmlformats.org/officeDocument/2006/relationships/hyperlink" Target="https://doi.org/10.1177/00207640241242017" TargetMode="External"/><Relationship Id="rId254" Type="http://schemas.openxmlformats.org/officeDocument/2006/relationships/hyperlink" Target="https://doi.org/10.3390/challe16030037" TargetMode="External"/><Relationship Id="rId28" Type="http://schemas.openxmlformats.org/officeDocument/2006/relationships/hyperlink" Target="https://doi.org/10.1093/eurpub/cki085" TargetMode="External"/><Relationship Id="rId49" Type="http://schemas.openxmlformats.org/officeDocument/2006/relationships/hyperlink" Target="https://doi.org/10.1007/s10393-010-0357-3" TargetMode="External"/><Relationship Id="rId114" Type="http://schemas.openxmlformats.org/officeDocument/2006/relationships/hyperlink" Target="https://doi.org/10.1176/appi.ps.201800577" TargetMode="External"/><Relationship Id="rId60" Type="http://schemas.openxmlformats.org/officeDocument/2006/relationships/hyperlink" Target="https://doi.org/10.1007/s10461-025-04639-5" TargetMode="External"/><Relationship Id="rId81" Type="http://schemas.openxmlformats.org/officeDocument/2006/relationships/hyperlink" Target="https://doi.org/10.1109/REW56159.2022.00014" TargetMode="External"/><Relationship Id="rId135" Type="http://schemas.openxmlformats.org/officeDocument/2006/relationships/hyperlink" Target="https://doi.org/10.1017/S0021932000003837" TargetMode="External"/><Relationship Id="rId156" Type="http://schemas.openxmlformats.org/officeDocument/2006/relationships/hyperlink" Target="https://doi.org/10.1136/bmj.e5466" TargetMode="External"/><Relationship Id="rId177" Type="http://schemas.openxmlformats.org/officeDocument/2006/relationships/hyperlink" Target="https://doi.org/10.1016/B978-0-323-91799-5.00011-5" TargetMode="External"/><Relationship Id="rId198" Type="http://schemas.openxmlformats.org/officeDocument/2006/relationships/hyperlink" Target="http://dx.doi.org/10.1016/j.puhe.2014.08.017" TargetMode="External"/><Relationship Id="rId202" Type="http://schemas.openxmlformats.org/officeDocument/2006/relationships/hyperlink" Target="https://doi.org/10.1017/9781009252904.022" TargetMode="External"/><Relationship Id="rId223" Type="http://schemas.openxmlformats.org/officeDocument/2006/relationships/hyperlink" Target="https://doi.org/10.3390/su14158975" TargetMode="External"/><Relationship Id="rId244" Type="http://schemas.openxmlformats.org/officeDocument/2006/relationships/hyperlink" Target="https://doi.org/10.1080/14635240.2020.1780930" TargetMode="External"/><Relationship Id="rId18" Type="http://schemas.openxmlformats.org/officeDocument/2006/relationships/hyperlink" Target="https://doi.org/10.4021/jocmr2009.12.1285" TargetMode="External"/><Relationship Id="rId39" Type="http://schemas.openxmlformats.org/officeDocument/2006/relationships/hyperlink" Target="https://doi.org/10.1177/2165079920938298" TargetMode="External"/><Relationship Id="rId50" Type="http://schemas.openxmlformats.org/officeDocument/2006/relationships/hyperlink" Target="https://doi.org/10.1016/j.drugpo.2019.07.016" TargetMode="External"/><Relationship Id="rId104" Type="http://schemas.openxmlformats.org/officeDocument/2006/relationships/hyperlink" Target="https://doi.org/10.1093/heapro/daae084" TargetMode="External"/><Relationship Id="rId125" Type="http://schemas.openxmlformats.org/officeDocument/2006/relationships/hyperlink" Target="https://doi.org/10.1177/1524838020979844" TargetMode="External"/><Relationship Id="rId146" Type="http://schemas.openxmlformats.org/officeDocument/2006/relationships/hyperlink" Target="https://doi.org/10.1080/09581596.2017.1384796" TargetMode="External"/><Relationship Id="rId167" Type="http://schemas.openxmlformats.org/officeDocument/2006/relationships/hyperlink" Target="https://doi.org/10.17269/s41997019001971" TargetMode="External"/><Relationship Id="rId188" Type="http://schemas.openxmlformats.org/officeDocument/2006/relationships/hyperlink" Target="https://doi.org/10.1016/j.pmedr.2019.100855" TargetMode="External"/><Relationship Id="rId71" Type="http://schemas.openxmlformats.org/officeDocument/2006/relationships/hyperlink" Target="https://doi.org/10.56294/hl2024.392" TargetMode="External"/><Relationship Id="rId92" Type="http://schemas.openxmlformats.org/officeDocument/2006/relationships/hyperlink" Target="https://doi.org/10.1371/journal.pone.0287248" TargetMode="External"/><Relationship Id="rId213" Type="http://schemas.openxmlformats.org/officeDocument/2006/relationships/hyperlink" Target="https://doi.org/10.1016/S1473-3099(16)30397-8" TargetMode="External"/><Relationship Id="rId234" Type="http://schemas.openxmlformats.org/officeDocument/2006/relationships/hyperlink" Target="https://doi.org/10.1016/j.vacun.2024.02.002" TargetMode="External"/><Relationship Id="rId2" Type="http://schemas.openxmlformats.org/officeDocument/2006/relationships/styles" Target="styles.xml"/><Relationship Id="rId29" Type="http://schemas.openxmlformats.org/officeDocument/2006/relationships/hyperlink" Target="https://doi.org/10.1159/000329669" TargetMode="External"/><Relationship Id="rId255" Type="http://schemas.openxmlformats.org/officeDocument/2006/relationships/hyperlink" Target="https://doi.org/10.1155/2015/580718" TargetMode="External"/><Relationship Id="rId40" Type="http://schemas.openxmlformats.org/officeDocument/2006/relationships/hyperlink" Target="https://doi.org/10.1186/s12982-025-00634-2" TargetMode="External"/><Relationship Id="rId115" Type="http://schemas.openxmlformats.org/officeDocument/2006/relationships/hyperlink" Target="https://doi.org/10.3389/fpubh.2020.00251" TargetMode="External"/><Relationship Id="rId136" Type="http://schemas.openxmlformats.org/officeDocument/2006/relationships/hyperlink" Target="https://doi.org/10.1186/1479-5868-11-62" TargetMode="External"/><Relationship Id="rId157" Type="http://schemas.openxmlformats.org/officeDocument/2006/relationships/hyperlink" Target="https://doi.org/10.1177/1010539511418819" TargetMode="External"/><Relationship Id="rId178" Type="http://schemas.openxmlformats.org/officeDocument/2006/relationships/hyperlink" Target="https://doi.org/10.1186/s40246-023-00560-x" TargetMode="External"/><Relationship Id="rId61" Type="http://schemas.openxmlformats.org/officeDocument/2006/relationships/hyperlink" Target="https://doi.org/10.1016/j.joclim.2024.100314" TargetMode="External"/><Relationship Id="rId82" Type="http://schemas.openxmlformats.org/officeDocument/2006/relationships/hyperlink" Target="https://doi.org/10.7554/eLife.29820" TargetMode="External"/><Relationship Id="rId199" Type="http://schemas.openxmlformats.org/officeDocument/2006/relationships/hyperlink" Target="https://doi.org/10.17269/CJPH.106.5161" TargetMode="External"/><Relationship Id="rId203" Type="http://schemas.openxmlformats.org/officeDocument/2006/relationships/hyperlink" Target="https://doi.org/10.3390/stresses5020028" TargetMode="External"/><Relationship Id="rId19" Type="http://schemas.openxmlformats.org/officeDocument/2006/relationships/hyperlink" Target="https://doi.org/10.1007/s11883-023-01111-4" TargetMode="External"/><Relationship Id="rId224" Type="http://schemas.openxmlformats.org/officeDocument/2006/relationships/hyperlink" Target="https://doi.org/10.1177/27551938231152996" TargetMode="External"/><Relationship Id="rId245" Type="http://schemas.openxmlformats.org/officeDocument/2006/relationships/hyperlink" Target="https://doi.org/10.1186/s12916-022-02613-9" TargetMode="External"/><Relationship Id="rId30" Type="http://schemas.openxmlformats.org/officeDocument/2006/relationships/hyperlink" Target="https://doi.org/10.3934/mbe.2021422" TargetMode="External"/><Relationship Id="rId105" Type="http://schemas.openxmlformats.org/officeDocument/2006/relationships/hyperlink" Target="https://doi.org/10.1016/j.mporth.2022.07.005" TargetMode="External"/><Relationship Id="rId126" Type="http://schemas.openxmlformats.org/officeDocument/2006/relationships/hyperlink" Target="https://doi.org/10.1177/1359105318782594" TargetMode="External"/><Relationship Id="rId147" Type="http://schemas.openxmlformats.org/officeDocument/2006/relationships/hyperlink" Target="https://doi.org/10.1111/1747-0080.12580" TargetMode="External"/><Relationship Id="rId168" Type="http://schemas.openxmlformats.org/officeDocument/2006/relationships/hyperlink" Target="https://doi.org/10.1093/mmy/myx037" TargetMode="External"/><Relationship Id="rId51" Type="http://schemas.openxmlformats.org/officeDocument/2006/relationships/hyperlink" Target="https://search.ebscohost.com/login.aspx?direct=true&amp;db=psyh&amp;AN=2018-40417-020&amp;site=ehost-live" TargetMode="External"/><Relationship Id="rId72" Type="http://schemas.openxmlformats.org/officeDocument/2006/relationships/hyperlink" Target="https://doi.org/10.4103/1995-7645.332810" TargetMode="External"/><Relationship Id="rId93" Type="http://schemas.openxmlformats.org/officeDocument/2006/relationships/hyperlink" Target="https://doi.org/10.1016/j.childyouth.2014.03.033" TargetMode="External"/><Relationship Id="rId189" Type="http://schemas.openxmlformats.org/officeDocument/2006/relationships/hyperlink" Target="https://doi.org/10.1016/j.meegid.2022.105291" TargetMode="External"/><Relationship Id="rId3" Type="http://schemas.openxmlformats.org/officeDocument/2006/relationships/settings" Target="settings.xml"/><Relationship Id="rId214" Type="http://schemas.openxmlformats.org/officeDocument/2006/relationships/hyperlink" Target="https://doi.org/10.1073/pnas.1507151112" TargetMode="External"/><Relationship Id="rId235" Type="http://schemas.openxmlformats.org/officeDocument/2006/relationships/hyperlink" Target="https://doi.org/10.3389/fpsyg.2023.1294026" TargetMode="External"/><Relationship Id="rId256" Type="http://schemas.openxmlformats.org/officeDocument/2006/relationships/hyperlink" Target="https://doi.org/10.1159/000445581" TargetMode="External"/><Relationship Id="rId116" Type="http://schemas.openxmlformats.org/officeDocument/2006/relationships/hyperlink" Target="https://doi.org/10.1016/j.socscimed.2019.04.009" TargetMode="External"/><Relationship Id="rId137" Type="http://schemas.openxmlformats.org/officeDocument/2006/relationships/hyperlink" Target="https://doi.org/10.1186/s12889-021-11353-z" TargetMode="External"/><Relationship Id="rId158" Type="http://schemas.openxmlformats.org/officeDocument/2006/relationships/hyperlink" Target="https://doi.org/10.24095/hpcdp.43.4.05" TargetMode="External"/><Relationship Id="rId20" Type="http://schemas.openxmlformats.org/officeDocument/2006/relationships/hyperlink" Target="https://doi.org/10.1001/amajethics.2024.147" TargetMode="External"/><Relationship Id="rId41" Type="http://schemas.openxmlformats.org/officeDocument/2006/relationships/hyperlink" Target="https://doi.org/10.1177/1363461517748814" TargetMode="External"/><Relationship Id="rId62" Type="http://schemas.openxmlformats.org/officeDocument/2006/relationships/hyperlink" Target="https://doi.org/10.1055/a-1276-0847" TargetMode="External"/><Relationship Id="rId83" Type="http://schemas.openxmlformats.org/officeDocument/2006/relationships/hyperlink" Target="https://doi.org/10.1186/s12966-016-0420-8" TargetMode="External"/><Relationship Id="rId179" Type="http://schemas.openxmlformats.org/officeDocument/2006/relationships/hyperlink" Target="https://doi.org/10.1016/j.nurpra.2025.105512" TargetMode="External"/><Relationship Id="rId190" Type="http://schemas.openxmlformats.org/officeDocument/2006/relationships/hyperlink" Target="https://doi.org/10.1080/09581596.2018.1468870" TargetMode="External"/><Relationship Id="rId204" Type="http://schemas.openxmlformats.org/officeDocument/2006/relationships/hyperlink" Target="https://doi.org/10.1186/1744-8603-1-14" TargetMode="External"/><Relationship Id="rId225" Type="http://schemas.openxmlformats.org/officeDocument/2006/relationships/hyperlink" Target="https://doi.org/10.1016/j.envres.2022.114537" TargetMode="External"/><Relationship Id="rId246" Type="http://schemas.openxmlformats.org/officeDocument/2006/relationships/hyperlink" Target="https://doi.org/10.1371/journal.pntd.0007519" TargetMode="External"/><Relationship Id="rId106" Type="http://schemas.openxmlformats.org/officeDocument/2006/relationships/hyperlink" Target="https://doi.org/10.3390/healthcare10050770" TargetMode="External"/><Relationship Id="rId127" Type="http://schemas.openxmlformats.org/officeDocument/2006/relationships/hyperlink" Target="https://doi.org/10.1186/s12889-025-22618-2" TargetMode="External"/><Relationship Id="rId10" Type="http://schemas.openxmlformats.org/officeDocument/2006/relationships/hyperlink" Target="https://doi.org/10.1016/j.ecoinf.2023.101986" TargetMode="External"/><Relationship Id="rId31" Type="http://schemas.openxmlformats.org/officeDocument/2006/relationships/hyperlink" Target="https://doi.org/10.2196/48705" TargetMode="External"/><Relationship Id="rId52" Type="http://schemas.openxmlformats.org/officeDocument/2006/relationships/hyperlink" Target="https://doi.org/10.3389/fpubh.2023.1148758" TargetMode="External"/><Relationship Id="rId73" Type="http://schemas.openxmlformats.org/officeDocument/2006/relationships/hyperlink" Target="https://doi.org/10.4102/jphia.v16i3.709" TargetMode="External"/><Relationship Id="rId94" Type="http://schemas.openxmlformats.org/officeDocument/2006/relationships/hyperlink" Target="https://doi.org/10.1186/s12954-019-0281-y" TargetMode="External"/><Relationship Id="rId148" Type="http://schemas.openxmlformats.org/officeDocument/2006/relationships/hyperlink" Target="https://doi.org/10.1186/s12889-024-19486-7" TargetMode="External"/><Relationship Id="rId169" Type="http://schemas.openxmlformats.org/officeDocument/2006/relationships/hyperlink" Target="https://doi.org/10.1371/journal.pone.0185551" TargetMode="External"/><Relationship Id="rId4" Type="http://schemas.openxmlformats.org/officeDocument/2006/relationships/webSettings" Target="webSettings.xml"/><Relationship Id="rId180" Type="http://schemas.openxmlformats.org/officeDocument/2006/relationships/hyperlink" Target="https://doi.org/10.1177/0022034519830686" TargetMode="External"/><Relationship Id="rId215" Type="http://schemas.openxmlformats.org/officeDocument/2006/relationships/hyperlink" Target="https://doi.org/10.1093/ije/dyq085" TargetMode="External"/><Relationship Id="rId236" Type="http://schemas.openxmlformats.org/officeDocument/2006/relationships/hyperlink" Target="https://doi.org/10.3390/ijerph14060557" TargetMode="External"/><Relationship Id="rId257" Type="http://schemas.openxmlformats.org/officeDocument/2006/relationships/hyperlink" Target="http://dx.doi.org/10.1016/S0140-6736(15)60901-1" TargetMode="External"/><Relationship Id="rId42" Type="http://schemas.openxmlformats.org/officeDocument/2006/relationships/hyperlink" Target="https://doi.org/10.4324/9781032701356-4" TargetMode="External"/><Relationship Id="rId84" Type="http://schemas.openxmlformats.org/officeDocument/2006/relationships/hyperlink" Target="https://doi.org/10.1186/s12888-024-05634-1" TargetMode="External"/><Relationship Id="rId138" Type="http://schemas.openxmlformats.org/officeDocument/2006/relationships/hyperlink" Target="https://doi.org/10.1109/ICCIC.2017.852415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3B987196B97C000E/Documents/Ecologic%20DoH%20articles%20master%20fi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Year!$E$1:$E$35</c:f>
              <c:numCache>
                <c:formatCode>General</c:formatCode>
                <c:ptCount val="35"/>
                <c:pt idx="0">
                  <c:v>1971</c:v>
                </c:pt>
                <c:pt idx="1">
                  <c:v>1991</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pt idx="30">
                  <c:v>2021</c:v>
                </c:pt>
                <c:pt idx="31">
                  <c:v>2022</c:v>
                </c:pt>
                <c:pt idx="32">
                  <c:v>2023</c:v>
                </c:pt>
                <c:pt idx="33">
                  <c:v>2024</c:v>
                </c:pt>
                <c:pt idx="34">
                  <c:v>2025</c:v>
                </c:pt>
              </c:numCache>
            </c:numRef>
          </c:cat>
          <c:val>
            <c:numRef>
              <c:f>Year!$F$1:$F$35</c:f>
              <c:numCache>
                <c:formatCode>General</c:formatCode>
                <c:ptCount val="35"/>
                <c:pt idx="0">
                  <c:v>1</c:v>
                </c:pt>
                <c:pt idx="1">
                  <c:v>1</c:v>
                </c:pt>
                <c:pt idx="2">
                  <c:v>1</c:v>
                </c:pt>
                <c:pt idx="3">
                  <c:v>0</c:v>
                </c:pt>
                <c:pt idx="4">
                  <c:v>0</c:v>
                </c:pt>
                <c:pt idx="5">
                  <c:v>0</c:v>
                </c:pt>
                <c:pt idx="6">
                  <c:v>1</c:v>
                </c:pt>
                <c:pt idx="7">
                  <c:v>1</c:v>
                </c:pt>
                <c:pt idx="8">
                  <c:v>0</c:v>
                </c:pt>
                <c:pt idx="9">
                  <c:v>1</c:v>
                </c:pt>
                <c:pt idx="10">
                  <c:v>0</c:v>
                </c:pt>
                <c:pt idx="11">
                  <c:v>0</c:v>
                </c:pt>
                <c:pt idx="12">
                  <c:v>0</c:v>
                </c:pt>
                <c:pt idx="13">
                  <c:v>0</c:v>
                </c:pt>
                <c:pt idx="14">
                  <c:v>1</c:v>
                </c:pt>
                <c:pt idx="15">
                  <c:v>0</c:v>
                </c:pt>
                <c:pt idx="16">
                  <c:v>1</c:v>
                </c:pt>
                <c:pt idx="17">
                  <c:v>0</c:v>
                </c:pt>
                <c:pt idx="18">
                  <c:v>0</c:v>
                </c:pt>
                <c:pt idx="19">
                  <c:v>0</c:v>
                </c:pt>
                <c:pt idx="20">
                  <c:v>0</c:v>
                </c:pt>
                <c:pt idx="21">
                  <c:v>1</c:v>
                </c:pt>
                <c:pt idx="22">
                  <c:v>2</c:v>
                </c:pt>
                <c:pt idx="23">
                  <c:v>5</c:v>
                </c:pt>
                <c:pt idx="24">
                  <c:v>8</c:v>
                </c:pt>
                <c:pt idx="25">
                  <c:v>3</c:v>
                </c:pt>
                <c:pt idx="26">
                  <c:v>8</c:v>
                </c:pt>
                <c:pt idx="27">
                  <c:v>2</c:v>
                </c:pt>
                <c:pt idx="28">
                  <c:v>8</c:v>
                </c:pt>
                <c:pt idx="29">
                  <c:v>4</c:v>
                </c:pt>
                <c:pt idx="30">
                  <c:v>9</c:v>
                </c:pt>
                <c:pt idx="31">
                  <c:v>10</c:v>
                </c:pt>
                <c:pt idx="32">
                  <c:v>12</c:v>
                </c:pt>
                <c:pt idx="33">
                  <c:v>13</c:v>
                </c:pt>
                <c:pt idx="34">
                  <c:v>7</c:v>
                </c:pt>
              </c:numCache>
            </c:numRef>
          </c:val>
          <c:extLst>
            <c:ext xmlns:c16="http://schemas.microsoft.com/office/drawing/2014/chart" uri="{C3380CC4-5D6E-409C-BE32-E72D297353CC}">
              <c16:uniqueId val="{00000000-7CBE-A543-8608-50892289165D}"/>
            </c:ext>
          </c:extLst>
        </c:ser>
        <c:dLbls>
          <c:showLegendKey val="0"/>
          <c:showVal val="0"/>
          <c:showCatName val="0"/>
          <c:showSerName val="0"/>
          <c:showPercent val="0"/>
          <c:showBubbleSize val="0"/>
        </c:dLbls>
        <c:gapWidth val="219"/>
        <c:overlap val="-27"/>
        <c:axId val="1610073855"/>
        <c:axId val="1610087743"/>
      </c:barChart>
      <c:catAx>
        <c:axId val="1610073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RS"/>
          </a:p>
        </c:txPr>
        <c:crossAx val="1610087743"/>
        <c:crosses val="autoZero"/>
        <c:auto val="1"/>
        <c:lblAlgn val="ctr"/>
        <c:lblOffset val="100"/>
        <c:noMultiLvlLbl val="0"/>
      </c:catAx>
      <c:valAx>
        <c:axId val="1610087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publications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RS"/>
          </a:p>
        </c:txPr>
        <c:crossAx val="16100738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24</Pages>
  <Words>17264</Words>
  <Characters>107387</Characters>
  <Application>Microsoft Office Word</Application>
  <DocSecurity>0</DocSecurity>
  <Lines>1988</Lines>
  <Paragraphs>944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Duric, Predrag</dc:creator>
  <cp:keywords/>
  <dc:description/>
  <cp:lastModifiedBy>Anonymous</cp:lastModifiedBy>
  <cp:revision>28</cp:revision>
  <dcterms:created xsi:type="dcterms:W3CDTF">2025-12-20T13:13:00Z</dcterms:created>
  <dcterms:modified xsi:type="dcterms:W3CDTF">2026-04-10T12:01:00Z</dcterms:modified>
</cp:coreProperties>
</file>