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5E3594">
      <w:pPr>
        <w:jc w:val="center"/>
      </w:pPr>
      <w:r>
        <w:rPr>
          <w:rFonts w:ascii="Times New Roman" w:hAnsi="Times New Roman" w:eastAsia="Times New Roman"/>
          <w:b/>
          <w:i w:val="0"/>
          <w:sz w:val="22"/>
        </w:rPr>
        <w:t>Supplementary Table S5</w:t>
      </w:r>
      <w:r>
        <w:rPr>
          <w:rFonts w:hint="eastAsia" w:eastAsia="宋体"/>
          <w:b/>
          <w:i w:val="0"/>
          <w:sz w:val="22"/>
          <w:lang w:val="en-US" w:eastAsia="zh-CN"/>
        </w:rPr>
        <w:t xml:space="preserve">  </w:t>
      </w:r>
      <w:r>
        <w:rPr>
          <w:rFonts w:ascii="Times New Roman" w:hAnsi="Times New Roman" w:eastAsia="Times New Roman"/>
          <w:b/>
          <w:i w:val="0"/>
          <w:sz w:val="22"/>
        </w:rPr>
        <w:t>High-start rerun s</w:t>
      </w:r>
      <w:bookmarkStart w:id="0" w:name="_GoBack"/>
      <w:bookmarkEnd w:id="0"/>
      <w:r>
        <w:rPr>
          <w:rFonts w:ascii="Times New Roman" w:hAnsi="Times New Roman" w:eastAsia="Times New Roman"/>
          <w:b/>
          <w:i w:val="0"/>
          <w:sz w:val="22"/>
        </w:rPr>
        <w:t>upporting stability of the four-profile solution</w:t>
      </w:r>
    </w:p>
    <w:tbl>
      <w:tblPr>
        <w:tblStyle w:val="33"/>
        <w:tblW w:w="0" w:type="auto"/>
        <w:jc w:val="center"/>
        <w:tblBorders>
          <w:top w:val="single" w:color="333333" w:sz="12" w:space="0"/>
          <w:left w:val="single" w:color="BBBBBB" w:sz="6" w:space="0"/>
          <w:bottom w:val="single" w:color="333333" w:sz="12" w:space="0"/>
          <w:right w:val="single" w:color="BBBBBB" w:sz="6" w:space="0"/>
          <w:insideH w:val="single" w:color="D9D9D9" w:sz="6" w:space="0"/>
          <w:insideV w:val="single" w:color="D9D9D9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3"/>
        <w:gridCol w:w="2520"/>
        <w:gridCol w:w="1273"/>
        <w:gridCol w:w="1468"/>
        <w:gridCol w:w="1833"/>
        <w:gridCol w:w="954"/>
        <w:gridCol w:w="2073"/>
        <w:gridCol w:w="2542"/>
      </w:tblGrid>
      <w:tr w14:paraId="6650CDE0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088" w:type="dxa"/>
            <w:tcBorders>
              <w:top w:val="single" w:color="333333" w:sz="8" w:space="0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00D894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Analysis</w:t>
            </w:r>
          </w:p>
        </w:tc>
        <w:tc>
          <w:tcPr>
            <w:tcW w:w="2952" w:type="dxa"/>
            <w:tcBorders>
              <w:top w:val="single" w:color="333333" w:sz="8" w:space="0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AFBEB4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Software / implementation</w:t>
            </w:r>
          </w:p>
        </w:tc>
        <w:tc>
          <w:tcPr>
            <w:tcW w:w="1440" w:type="dxa"/>
            <w:tcBorders>
              <w:top w:val="single" w:color="333333" w:sz="8" w:space="0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DED3D4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Random starts</w:t>
            </w:r>
          </w:p>
        </w:tc>
        <w:tc>
          <w:tcPr>
            <w:tcW w:w="1584" w:type="dxa"/>
            <w:tcBorders>
              <w:top w:val="single" w:color="333333" w:sz="8" w:space="0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B67AF8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Best loglikelihood</w:t>
            </w:r>
          </w:p>
        </w:tc>
        <w:tc>
          <w:tcPr>
            <w:tcW w:w="2088" w:type="dxa"/>
            <w:tcBorders>
              <w:top w:val="single" w:color="333333" w:sz="8" w:space="0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F565F4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Replication of best loglikelihood</w:t>
            </w:r>
          </w:p>
        </w:tc>
        <w:tc>
          <w:tcPr>
            <w:tcW w:w="1008" w:type="dxa"/>
            <w:tcBorders>
              <w:top w:val="single" w:color="333333" w:sz="8" w:space="0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F461CE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Entropy</w:t>
            </w:r>
          </w:p>
        </w:tc>
        <w:tc>
          <w:tcPr>
            <w:tcW w:w="2448" w:type="dxa"/>
            <w:tcBorders>
              <w:top w:val="single" w:color="333333" w:sz="8" w:space="0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5F2C72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Ordered class proportions</w:t>
            </w:r>
          </w:p>
        </w:tc>
        <w:tc>
          <w:tcPr>
            <w:tcW w:w="3096" w:type="dxa"/>
            <w:tcBorders>
              <w:top w:val="single" w:color="333333" w:sz="8" w:space="0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1AAE5C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Comment</w:t>
            </w:r>
          </w:p>
        </w:tc>
      </w:tr>
      <w:tr w14:paraId="49388741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8" w:type="dxa"/>
            <w:tcBorders>
              <w:top w:val="single" w:color="333333" w:sz="8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1CBB46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Original four-class Mplus solution</w:t>
            </w:r>
          </w:p>
        </w:tc>
        <w:tc>
          <w:tcPr>
            <w:tcW w:w="2952" w:type="dxa"/>
            <w:tcBorders>
              <w:top w:val="single" w:color="333333" w:sz="8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B3C676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Mplus 8.3</w:t>
            </w:r>
          </w:p>
        </w:tc>
        <w:tc>
          <w:tcPr>
            <w:tcW w:w="1440" w:type="dxa"/>
            <w:tcBorders>
              <w:top w:val="single" w:color="333333" w:sz="8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8B3991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20 initial / 4 final</w:t>
            </w:r>
          </w:p>
        </w:tc>
        <w:tc>
          <w:tcPr>
            <w:tcW w:w="1584" w:type="dxa"/>
            <w:tcBorders>
              <w:top w:val="single" w:color="333333" w:sz="8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A6E7B7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-2350.252</w:t>
            </w:r>
          </w:p>
        </w:tc>
        <w:tc>
          <w:tcPr>
            <w:tcW w:w="2088" w:type="dxa"/>
            <w:tcBorders>
              <w:top w:val="single" w:color="333333" w:sz="8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D47287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Replicated across 4 final-stage optimizations</w:t>
            </w:r>
          </w:p>
        </w:tc>
        <w:tc>
          <w:tcPr>
            <w:tcW w:w="1008" w:type="dxa"/>
            <w:tcBorders>
              <w:top w:val="single" w:color="333333" w:sz="8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DE56E2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0.930</w:t>
            </w:r>
          </w:p>
        </w:tc>
        <w:tc>
          <w:tcPr>
            <w:tcW w:w="2448" w:type="dxa"/>
            <w:tcBorders>
              <w:top w:val="single" w:color="333333" w:sz="8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CDD3B4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Minimal 0.2197; Mild 0.2709; Moderate 0.2472; Severe 0.2622</w:t>
            </w:r>
          </w:p>
        </w:tc>
        <w:tc>
          <w:tcPr>
            <w:tcW w:w="3096" w:type="dxa"/>
            <w:tcBorders>
              <w:top w:val="single" w:color="333333" w:sz="8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8BFD9C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Reference solution from the original manuscript workflow.</w:t>
            </w:r>
          </w:p>
        </w:tc>
      </w:tr>
      <w:tr w14:paraId="6E383B3D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8" w:type="dxa"/>
            <w:tcBorders>
              <w:top w:val="nil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68D9EB3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Equivalent high-start rerun</w:t>
            </w:r>
          </w:p>
        </w:tc>
        <w:tc>
          <w:tcPr>
            <w:tcW w:w="2952" w:type="dxa"/>
            <w:tcBorders>
              <w:top w:val="nil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26D0B0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Custom EM (Python) implementing the same four-class Gaussian mixture specification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657162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200 starts</w:t>
            </w:r>
          </w:p>
        </w:tc>
        <w:tc>
          <w:tcPr>
            <w:tcW w:w="1584" w:type="dxa"/>
            <w:tcBorders>
              <w:top w:val="nil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88082B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-2350.252445</w:t>
            </w:r>
          </w:p>
        </w:tc>
        <w:tc>
          <w:tcPr>
            <w:tcW w:w="2088" w:type="dxa"/>
            <w:tcBorders>
              <w:top w:val="nil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7BFF88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Replicated across 200/200 starts</w:t>
            </w:r>
          </w:p>
        </w:tc>
        <w:tc>
          <w:tcPr>
            <w:tcW w:w="1008" w:type="dxa"/>
            <w:tcBorders>
              <w:top w:val="nil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F99377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0.930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68D428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Minimal 0.2197; Mild 0.2709; Moderate 0.2472; Severe 0.2622</w:t>
            </w:r>
          </w:p>
        </w:tc>
        <w:tc>
          <w:tcPr>
            <w:tcW w:w="3096" w:type="dxa"/>
            <w:tcBorders>
              <w:top w:val="nil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B5B5CC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Best loglikelihood matched the original Mplus value to 3 decimals; maximum absolute mean difference vs Mplus was 0.0005.</w:t>
            </w:r>
          </w:p>
        </w:tc>
      </w:tr>
    </w:tbl>
    <w:p w14:paraId="35646076">
      <w:pPr>
        <w:spacing w:before="80"/>
        <w:jc w:val="both"/>
        <w:rPr>
          <w:rFonts w:hint="eastAsia" w:eastAsia="宋体"/>
          <w:lang w:val="en-US" w:eastAsia="zh-CN"/>
        </w:rPr>
      </w:pPr>
      <w:r>
        <w:rPr>
          <w:rFonts w:ascii="Times New Roman" w:hAnsi="Times New Roman" w:eastAsia="Times New Roman"/>
          <w:b/>
          <w:i w:val="0"/>
          <w:sz w:val="17"/>
        </w:rPr>
        <w:t xml:space="preserve">Note. </w:t>
      </w:r>
      <w:r>
        <w:rPr>
          <w:rFonts w:ascii="Times New Roman" w:hAnsi="Times New Roman" w:eastAsia="Times New Roman"/>
          <w:b w:val="0"/>
          <w:i w:val="0"/>
          <w:sz w:val="17"/>
        </w:rPr>
        <w:t>The original Mplus output already showed replication of the best loglikelihood across all four final-stage optimizations. To strengthen the stability check, an equivalent high-start rerun was conducted using a custom expectation-maximization implementation of the same four-class Gaussian mixture specification (class-specific means, shared diagonal variances, and zero within-class covariances) on the seven PSQI components. The high-start rerun reproduced the same optimum to three decimals and yielded virtually identical ordered class proportions and profile-specific means, supporting local stability of the retained four-profile solution.</w:t>
      </w:r>
      <w:r>
        <w:rPr>
          <w:rFonts w:hint="eastAsia" w:eastAsia="宋体"/>
          <w:b w:val="0"/>
          <w:i w:val="0"/>
          <w:sz w:val="17"/>
          <w:lang w:val="en-US" w:eastAsia="zh-CN"/>
        </w:rPr>
        <w:t xml:space="preserve"> High-start stability check for the retained four-profile LPA solution.</w:t>
      </w:r>
    </w:p>
    <w:sectPr>
      <w:pgSz w:w="15840" w:h="12240" w:orient="landscape"/>
      <w:pgMar w:top="792" w:right="792" w:bottom="792" w:left="792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9351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theme="minorBidi"/>
      <w:sz w:val="19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199</Words>
  <Characters>1359</Characters>
  <Lines>0</Lines>
  <Paragraphs>0</Paragraphs>
  <TotalTime>0</TotalTime>
  <ScaleCrop>false</ScaleCrop>
  <LinksUpToDate>false</LinksUpToDate>
  <CharactersWithSpaces>1531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Beacon</cp:lastModifiedBy>
  <dcterms:modified xsi:type="dcterms:W3CDTF">2026-03-29T06:34:38Z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eyJoZGlkIjoiNGM4YTc1Mjc4YzA1Y2QzY2ViMTY2ZDlhNWM4Zjg0MzkiLCJ1c2VySWQiOiI1MTYxMjgxODMifQ==</vt:lpwstr>
  </property>
  <property fmtid="{D5CDD505-2E9C-101B-9397-08002B2CF9AE}" pid="3" name="KSOProductBuildVer">
    <vt:lpwstr>2052-12.1.0.20784</vt:lpwstr>
  </property>
  <property fmtid="{D5CDD505-2E9C-101B-9397-08002B2CF9AE}" pid="4" name="ICV">
    <vt:lpwstr>09913B9B57A44E67940E4B49EE437402_12</vt:lpwstr>
  </property>
</Properties>
</file>