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2FF92" w14:textId="08F39987" w:rsidR="0052216E" w:rsidRDefault="00CD1544" w:rsidP="00D7627B">
      <w:pPr>
        <w:pStyle w:val="Caption"/>
        <w:rPr>
          <w:b/>
          <w:bCs/>
          <w:i w:val="0"/>
          <w:iCs w:val="0"/>
          <w:color w:val="auto"/>
        </w:rPr>
      </w:pPr>
      <w:r>
        <w:rPr>
          <w:b/>
          <w:bCs/>
          <w:i w:val="0"/>
          <w:iCs w:val="0"/>
          <w:color w:val="auto"/>
        </w:rPr>
        <w:t>Narrative summary:</w:t>
      </w:r>
    </w:p>
    <w:p w14:paraId="045579A2" w14:textId="5D8C59AD" w:rsidR="00CD1544" w:rsidRDefault="006F7B61" w:rsidP="00CD1544">
      <w:r>
        <w:t>A total of</w:t>
      </w:r>
      <w:r w:rsidR="00CD1544">
        <w:t xml:space="preserve"> 12 grey documents </w:t>
      </w:r>
      <w:r>
        <w:t>addressing AMR were reviewed</w:t>
      </w:r>
      <w:r w:rsidR="00CD1544">
        <w:t xml:space="preserve">. </w:t>
      </w:r>
      <w:r>
        <w:t>The key</w:t>
      </w:r>
      <w:r w:rsidR="00CD1544">
        <w:t xml:space="preserve"> pattern of all documents </w:t>
      </w:r>
      <w:r w:rsidR="003840FB">
        <w:t>is</w:t>
      </w:r>
      <w:r w:rsidR="00CD1544">
        <w:t xml:space="preserve"> </w:t>
      </w:r>
      <w:r>
        <w:t xml:space="preserve">the </w:t>
      </w:r>
      <w:r w:rsidR="00CD1544">
        <w:t>same</w:t>
      </w:r>
      <w:r>
        <w:t>;</w:t>
      </w:r>
      <w:r w:rsidR="00CD1544">
        <w:t xml:space="preserve"> none of them acknowledge </w:t>
      </w:r>
      <w:r>
        <w:t xml:space="preserve">the </w:t>
      </w:r>
      <w:r w:rsidR="00CD1544">
        <w:t>gender dimension</w:t>
      </w:r>
      <w:r>
        <w:t>,</w:t>
      </w:r>
      <w:r w:rsidR="00EB0B21">
        <w:t xml:space="preserve"> and </w:t>
      </w:r>
      <w:r>
        <w:t>all</w:t>
      </w:r>
      <w:r w:rsidR="00EB0B21">
        <w:t xml:space="preserve"> of the documents are Gender-blind</w:t>
      </w:r>
      <w:r>
        <w:t xml:space="preserve"> </w:t>
      </w:r>
      <w:r>
        <w:t xml:space="preserve">because of common gaps across the documents, which are mentioned below: </w:t>
      </w:r>
    </w:p>
    <w:p w14:paraId="2E55E88A" w14:textId="30C6D25F" w:rsidR="0068034B" w:rsidRDefault="0068034B" w:rsidP="00CD1544"/>
    <w:p w14:paraId="3A0CE8E1" w14:textId="41D4FB49" w:rsidR="0068034B" w:rsidRPr="00D95886" w:rsidRDefault="0068034B" w:rsidP="0068034B">
      <w:pPr>
        <w:pStyle w:val="ListParagraph"/>
        <w:numPr>
          <w:ilvl w:val="0"/>
          <w:numId w:val="5"/>
        </w:numPr>
        <w:spacing w:after="160" w:line="259" w:lineRule="auto"/>
      </w:pPr>
      <w:r w:rsidRPr="00D95886">
        <w:t>Ignores gender norms, roles</w:t>
      </w:r>
      <w:r w:rsidR="006F7B61">
        <w:t>,</w:t>
      </w:r>
      <w:r w:rsidRPr="00D95886">
        <w:t xml:space="preserve"> and relations</w:t>
      </w:r>
      <w:r>
        <w:t xml:space="preserve">, </w:t>
      </w:r>
      <w:r w:rsidR="006F7B61">
        <w:t xml:space="preserve">with </w:t>
      </w:r>
      <w:r>
        <w:t>no requirement for gender-disaggregated AMR surveillance data</w:t>
      </w:r>
    </w:p>
    <w:p w14:paraId="1C4ED9F4" w14:textId="642D2D27" w:rsidR="0068034B" w:rsidRPr="00D95886" w:rsidRDefault="0068034B" w:rsidP="0068034B">
      <w:pPr>
        <w:pStyle w:val="ListParagraph"/>
        <w:numPr>
          <w:ilvl w:val="0"/>
          <w:numId w:val="5"/>
        </w:numPr>
        <w:spacing w:after="160" w:line="259" w:lineRule="auto"/>
      </w:pPr>
      <w:r w:rsidRPr="00D95886">
        <w:t>Very often reinforces gender-based discrimination</w:t>
      </w:r>
      <w:r>
        <w:t xml:space="preserve">, no attention to gender norms that influence </w:t>
      </w:r>
      <w:r w:rsidR="006F7B61">
        <w:t>antibiotic-related</w:t>
      </w:r>
      <w:r>
        <w:t xml:space="preserve"> health-seeking </w:t>
      </w:r>
      <w:proofErr w:type="spellStart"/>
      <w:r>
        <w:t>behaviour</w:t>
      </w:r>
      <w:proofErr w:type="spellEnd"/>
      <w:r w:rsidR="006F7B61">
        <w:t>,</w:t>
      </w:r>
      <w:r>
        <w:t xml:space="preserve"> and vulnerability to infection.</w:t>
      </w:r>
    </w:p>
    <w:p w14:paraId="762AF770" w14:textId="5AF2B26F" w:rsidR="0068034B" w:rsidRDefault="0068034B" w:rsidP="0068034B">
      <w:pPr>
        <w:pStyle w:val="ListParagraph"/>
        <w:numPr>
          <w:ilvl w:val="0"/>
          <w:numId w:val="5"/>
        </w:numPr>
        <w:spacing w:after="160" w:line="259" w:lineRule="auto"/>
      </w:pPr>
      <w:r w:rsidRPr="00D95886">
        <w:t>Ignores differences in opportunities and resource allocation for women and men</w:t>
      </w:r>
      <w:r>
        <w:t xml:space="preserve">, </w:t>
      </w:r>
      <w:r w:rsidR="006F7B61">
        <w:t>especially</w:t>
      </w:r>
      <w:r>
        <w:t>, no discussion on gender based occupational exposure.</w:t>
      </w:r>
    </w:p>
    <w:p w14:paraId="568150FD" w14:textId="0786D0D3" w:rsidR="0068034B" w:rsidRPr="00CD1544" w:rsidRDefault="0068034B" w:rsidP="0068034B">
      <w:pPr>
        <w:pStyle w:val="ListParagraph"/>
        <w:numPr>
          <w:ilvl w:val="0"/>
          <w:numId w:val="5"/>
        </w:numPr>
        <w:spacing w:after="160" w:line="259" w:lineRule="auto"/>
      </w:pPr>
      <w:r>
        <w:t>All</w:t>
      </w:r>
      <w:r w:rsidRPr="00D95886">
        <w:t xml:space="preserve"> constructed based on the principle of being “fair” by treating everyone the same</w:t>
      </w:r>
      <w:r>
        <w:t xml:space="preserve">, no </w:t>
      </w:r>
      <w:r w:rsidR="00EF21AE">
        <w:t>gender-based</w:t>
      </w:r>
      <w:r>
        <w:t xml:space="preserve"> communication or </w:t>
      </w:r>
      <w:proofErr w:type="spellStart"/>
      <w:r>
        <w:t>behaviour</w:t>
      </w:r>
      <w:proofErr w:type="spellEnd"/>
      <w:r>
        <w:t xml:space="preserve"> change strategies.</w:t>
      </w:r>
    </w:p>
    <w:p w14:paraId="09FF8232" w14:textId="77777777" w:rsidR="0052216E" w:rsidRDefault="0052216E" w:rsidP="00D7627B">
      <w:pPr>
        <w:pStyle w:val="Caption"/>
        <w:rPr>
          <w:b/>
          <w:bCs/>
          <w:i w:val="0"/>
          <w:iCs w:val="0"/>
          <w:color w:val="auto"/>
        </w:rPr>
      </w:pPr>
    </w:p>
    <w:p w14:paraId="471F60A1" w14:textId="17E36752" w:rsidR="00B92CB9" w:rsidRPr="00160DFE" w:rsidRDefault="002222C1" w:rsidP="00D7627B">
      <w:pPr>
        <w:pStyle w:val="Caption"/>
        <w:rPr>
          <w:rFonts w:eastAsia="Times New Roman" w:cs="Times New Roman"/>
          <w:b/>
          <w:bCs/>
          <w:i w:val="0"/>
          <w:iCs w:val="0"/>
          <w:color w:val="auto"/>
          <w:szCs w:val="24"/>
        </w:rPr>
      </w:pPr>
      <w:r w:rsidRPr="00160DFE">
        <w:rPr>
          <w:b/>
          <w:bCs/>
          <w:i w:val="0"/>
          <w:iCs w:val="0"/>
          <w:color w:val="auto"/>
        </w:rPr>
        <w:t>Additional</w:t>
      </w:r>
      <w:r w:rsidR="00D7627B" w:rsidRPr="00160DFE">
        <w:rPr>
          <w:b/>
          <w:bCs/>
          <w:i w:val="0"/>
          <w:iCs w:val="0"/>
          <w:color w:val="auto"/>
        </w:rPr>
        <w:t xml:space="preserve"> </w:t>
      </w:r>
      <w:r w:rsidRPr="00160DFE">
        <w:rPr>
          <w:b/>
          <w:bCs/>
          <w:i w:val="0"/>
          <w:iCs w:val="0"/>
          <w:color w:val="auto"/>
        </w:rPr>
        <w:t>File</w:t>
      </w:r>
      <w:r w:rsidR="00D7627B" w:rsidRPr="00160DFE">
        <w:rPr>
          <w:b/>
          <w:bCs/>
          <w:i w:val="0"/>
          <w:iCs w:val="0"/>
          <w:color w:val="auto"/>
        </w:rPr>
        <w:t xml:space="preserve"> </w:t>
      </w:r>
      <w:r w:rsidR="00A672F5" w:rsidRPr="00160DFE">
        <w:rPr>
          <w:b/>
          <w:bCs/>
          <w:i w:val="0"/>
          <w:iCs w:val="0"/>
          <w:color w:val="auto"/>
        </w:rPr>
        <w:t>4</w:t>
      </w:r>
      <w:r w:rsidR="00D7627B" w:rsidRPr="00160DFE">
        <w:rPr>
          <w:rFonts w:cs="Times New Roman"/>
          <w:b/>
          <w:bCs/>
          <w:i w:val="0"/>
          <w:iCs w:val="0"/>
          <w:color w:val="auto"/>
          <w:szCs w:val="24"/>
        </w:rPr>
        <w:t xml:space="preserve">: Policy documents and grey articles </w:t>
      </w:r>
      <w:r w:rsidR="002C0266" w:rsidRPr="00160DFE">
        <w:rPr>
          <w:rFonts w:cs="Times New Roman"/>
          <w:b/>
          <w:bCs/>
          <w:i w:val="0"/>
          <w:iCs w:val="0"/>
          <w:color w:val="auto"/>
          <w:szCs w:val="24"/>
        </w:rPr>
        <w:t>in</w:t>
      </w:r>
      <w:r w:rsidR="00D7627B" w:rsidRPr="00160DFE">
        <w:rPr>
          <w:rFonts w:cs="Times New Roman"/>
          <w:b/>
          <w:bCs/>
          <w:i w:val="0"/>
          <w:iCs w:val="0"/>
          <w:color w:val="auto"/>
          <w:szCs w:val="24"/>
        </w:rPr>
        <w:t xml:space="preserve"> Bangladesh</w:t>
      </w:r>
      <w:r w:rsidR="002C0266" w:rsidRPr="00160DFE">
        <w:rPr>
          <w:rFonts w:cs="Times New Roman"/>
          <w:b/>
          <w:bCs/>
          <w:i w:val="0"/>
          <w:iCs w:val="0"/>
          <w:color w:val="auto"/>
          <w:szCs w:val="24"/>
        </w:rPr>
        <w:t xml:space="preserve"> that addressed AMR</w:t>
      </w:r>
    </w:p>
    <w:tbl>
      <w:tblPr>
        <w:tblStyle w:val="aa"/>
        <w:tblW w:w="8617" w:type="dxa"/>
        <w:tblInd w:w="15" w:type="dxa"/>
        <w:tblLayout w:type="fixed"/>
        <w:tblLook w:val="0400" w:firstRow="0" w:lastRow="0" w:firstColumn="0" w:lastColumn="0" w:noHBand="0" w:noVBand="1"/>
      </w:tblPr>
      <w:tblGrid>
        <w:gridCol w:w="5197"/>
        <w:gridCol w:w="900"/>
        <w:gridCol w:w="1260"/>
        <w:gridCol w:w="1260"/>
      </w:tblGrid>
      <w:tr w:rsidR="00CD1544" w14:paraId="4B61F9C9" w14:textId="4D3DB7BA" w:rsidTr="00CD1544">
        <w:trPr>
          <w:trHeight w:val="300"/>
        </w:trPr>
        <w:tc>
          <w:tcPr>
            <w:tcW w:w="5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9CACC18" w14:textId="3B35C9EC" w:rsidR="00CD1544" w:rsidRDefault="00CD15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NAP/Policy/ Guideline/ Framework/Report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FFC5" w14:textId="29362486" w:rsidR="00CD1544" w:rsidRDefault="00CD15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847031" w14:textId="12C2CED8" w:rsidR="00CD1544" w:rsidRDefault="00CD15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AMR status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9D0D401" w14:textId="7983D120" w:rsidR="00CD1544" w:rsidRDefault="00CD15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Gender Responsive Assessment Scale from AMR perspective</w:t>
            </w:r>
          </w:p>
        </w:tc>
      </w:tr>
      <w:tr w:rsidR="00CD1544" w14:paraId="74C3C45C" w14:textId="444C220A" w:rsidTr="00CD1544">
        <w:trPr>
          <w:trHeight w:val="300"/>
        </w:trPr>
        <w:tc>
          <w:tcPr>
            <w:tcW w:w="51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8B8828B" w14:textId="14DC6D51" w:rsidR="00CD1544" w:rsidRPr="00ED24CB" w:rsidRDefault="00CD1544" w:rsidP="00ED24CB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>The National Action Plan 2017-2022 (</w:t>
            </w:r>
            <w:proofErr w:type="gramStart"/>
            <w:r w:rsidRPr="00ED24C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https://faolex.fao.org/docs/pdf/bgd169585.pdf</w:t>
            </w:r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DD1C" w14:textId="02C073AF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201B526" w14:textId="6DB21775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Addressed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68F5BDA" w14:textId="77777777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Gender Blind </w:t>
            </w:r>
          </w:p>
        </w:tc>
      </w:tr>
      <w:tr w:rsidR="00CD1544" w14:paraId="250F0B87" w14:textId="42BF8263" w:rsidTr="00CD1544">
        <w:trPr>
          <w:trHeight w:val="300"/>
        </w:trPr>
        <w:tc>
          <w:tcPr>
            <w:tcW w:w="51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550FB87" w14:textId="12EE4951" w:rsidR="00CD1544" w:rsidRPr="00ED24CB" w:rsidRDefault="00CD1544" w:rsidP="00ED24CB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National Antimicrobial Resistance (AMR) Surveillance Strategy of Bangladesh 2020-2025 </w:t>
            </w:r>
            <w:proofErr w:type="gramStart"/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r w:rsidRPr="00ED24C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https://amr.cdc.gov.bd/amr-nap-2020-2025-draft/</w:t>
            </w:r>
            <w:proofErr w:type="gramEnd"/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707C" w14:textId="5DB2A909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338031" w14:textId="414173E2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Addressed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1C9C81F" w14:textId="77777777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 Blind</w:t>
            </w:r>
          </w:p>
        </w:tc>
      </w:tr>
      <w:tr w:rsidR="00CD1544" w14:paraId="61B6D4D6" w14:textId="5C0978CC" w:rsidTr="00CD1544">
        <w:trPr>
          <w:trHeight w:val="300"/>
        </w:trPr>
        <w:tc>
          <w:tcPr>
            <w:tcW w:w="51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D3A11B5" w14:textId="66429891" w:rsidR="00CD1544" w:rsidRPr="00ED24CB" w:rsidRDefault="00CD1544" w:rsidP="00ED24CB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4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National Patient Safety Strategic Plan in Bangladesh 2018 </w:t>
            </w:r>
            <w:proofErr w:type="gramStart"/>
            <w:r w:rsidRPr="00ED24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r w:rsidRPr="00ED24C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http://qis.gov.bd/wp-content/uploads/2019/05/National-Patient-Safety-Strategic-Plan-in-BD.pdf</w:t>
            </w:r>
            <w:proofErr w:type="gramEnd"/>
            <w:r w:rsidRPr="00ED24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5033" w14:textId="2F803084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7C61281" w14:textId="4372EE2F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Addressed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4C0C0F2" w14:textId="77777777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 Blind</w:t>
            </w:r>
          </w:p>
        </w:tc>
      </w:tr>
      <w:tr w:rsidR="00CD1544" w14:paraId="31958B64" w14:textId="35AF49A4" w:rsidTr="00CD1544">
        <w:trPr>
          <w:trHeight w:val="300"/>
        </w:trPr>
        <w:tc>
          <w:tcPr>
            <w:tcW w:w="51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E0FF62D" w14:textId="5936E4E4" w:rsidR="00CD1544" w:rsidRPr="00ED24CB" w:rsidRDefault="00CD1544" w:rsidP="00ED24CB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204170401"/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Strategic Framework and Action Plan for the </w:t>
            </w:r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Application of a One Health Approach in Bangladesh</w:t>
            </w:r>
            <w:bookmarkEnd w:id="0"/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(2017 – 2021) (</w:t>
            </w:r>
            <w:proofErr w:type="gramStart"/>
            <w:r w:rsidRPr="00ED24C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https://iedcr.portal.gov.bd/sites/default/files/files/iedcr.portal.gov.bd/page/14255b07_1648_4beb_b86f_af1ec91f74ca/2023-05-31-03-17-5f66ed7036d805aae332f882ebb15e74.pdf 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8A3C" w14:textId="4D908003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125E2D1" w14:textId="4499872C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Addressed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57B2DB7" w14:textId="77777777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 Blind</w:t>
            </w:r>
          </w:p>
        </w:tc>
      </w:tr>
      <w:tr w:rsidR="00CD1544" w14:paraId="525D497A" w14:textId="082475B1" w:rsidTr="00CD1544">
        <w:trPr>
          <w:trHeight w:val="300"/>
        </w:trPr>
        <w:tc>
          <w:tcPr>
            <w:tcW w:w="51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11140DC" w14:textId="7034846D" w:rsidR="00CD1544" w:rsidRPr="00ED24CB" w:rsidRDefault="00CD1544" w:rsidP="00ED24CB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4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National Drug Policy 2016 </w:t>
            </w:r>
            <w:proofErr w:type="gramStart"/>
            <w:r w:rsidRPr="00ED24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r w:rsidRPr="00ED24C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http://dgdagov.info/index.php/laws-and-</w:t>
            </w:r>
            <w:r w:rsidRPr="00ED24C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policies/1118-national-drug-policy-2016-english-version/file</w:t>
            </w:r>
            <w:proofErr w:type="gramEnd"/>
            <w:r w:rsidRPr="00ED24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5FF9" w14:textId="4233C3E7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75B26E2" w14:textId="443B052D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Addressed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EEF6E0A" w14:textId="77777777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 Blind</w:t>
            </w:r>
          </w:p>
        </w:tc>
      </w:tr>
      <w:tr w:rsidR="00CD1544" w14:paraId="7DFE695F" w14:textId="63C782A3" w:rsidTr="00CD1544">
        <w:trPr>
          <w:trHeight w:val="300"/>
        </w:trPr>
        <w:tc>
          <w:tcPr>
            <w:tcW w:w="51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FD8B0F9" w14:textId="2888E196" w:rsidR="00CD1544" w:rsidRPr="00ED24CB" w:rsidRDefault="00CD1544" w:rsidP="00ED24CB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4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National anti-microbial stewardship quality improvement framework </w:t>
            </w:r>
            <w:proofErr w:type="gramStart"/>
            <w:r w:rsidRPr="00ED24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r w:rsidRPr="00ED24C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http://qis.gov.bd/wp-content/uploads/2019/05/National-Anti-Microbial-Stewardship-AMS-QI-Framework.pdf</w:t>
            </w:r>
            <w:proofErr w:type="gramEnd"/>
            <w:r w:rsidRPr="00ED24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B303" w14:textId="5C2B1BD2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1647B96" w14:textId="38689804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Addressed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6E5EE93" w14:textId="77777777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 Blind</w:t>
            </w:r>
          </w:p>
        </w:tc>
      </w:tr>
      <w:tr w:rsidR="00CD1544" w14:paraId="1CD438A6" w14:textId="23B9A59E" w:rsidTr="00CD1544">
        <w:trPr>
          <w:trHeight w:val="300"/>
        </w:trPr>
        <w:tc>
          <w:tcPr>
            <w:tcW w:w="51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41D57E7" w14:textId="72ACC1B3" w:rsidR="00CD1544" w:rsidRPr="00ED24CB" w:rsidRDefault="00CD1544" w:rsidP="00ED24CB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Standard Treatment Guidelines (STG) on </w:t>
            </w:r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Antibiotic Use in Common Infectious </w:t>
            </w:r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Diseases of Bangladesh 2021 </w:t>
            </w:r>
            <w:proofErr w:type="gramStart"/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r w:rsidRPr="00ED24C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https://amr.cdc.gov.bd/wp-content/uploads/2018/10/STG-guideline-for-antimicrobial-use-version-1.0-date-1-december21.pdf</w:t>
            </w:r>
            <w:proofErr w:type="gramEnd"/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047F" w14:textId="6AC30484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4B380D6" w14:textId="598C4099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Addressed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56272A0" w14:textId="77777777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 blind</w:t>
            </w:r>
          </w:p>
        </w:tc>
      </w:tr>
      <w:tr w:rsidR="00CD1544" w14:paraId="6F9F8620" w14:textId="17DC2626" w:rsidTr="00CD1544">
        <w:trPr>
          <w:trHeight w:val="300"/>
        </w:trPr>
        <w:tc>
          <w:tcPr>
            <w:tcW w:w="51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48DE796" w14:textId="73258E97" w:rsidR="00CD1544" w:rsidRPr="00ED24CB" w:rsidRDefault="00CD1544" w:rsidP="00ED24CB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f1zjvtjcpi19" w:colFirst="0" w:colLast="0"/>
            <w:bookmarkEnd w:id="1"/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Bangladesh Drug and Cosmetic Act 2023 </w:t>
            </w:r>
            <w:proofErr w:type="gramStart"/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r w:rsidRPr="00ED24C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https://asiaactual.com/wp-content/uploads/2023/10/Bangladesh-Drug-and-Cosmetics-Act-2023-English.pdf</w:t>
            </w:r>
            <w:proofErr w:type="gramEnd"/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FB03" w14:textId="1C0BA070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BE02851" w14:textId="609470F3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Addressed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1777A66" w14:textId="77777777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 blind</w:t>
            </w:r>
          </w:p>
        </w:tc>
      </w:tr>
      <w:tr w:rsidR="00CD1544" w14:paraId="4D456BFC" w14:textId="4ABA56AC" w:rsidTr="00CD1544">
        <w:trPr>
          <w:trHeight w:val="300"/>
        </w:trPr>
        <w:tc>
          <w:tcPr>
            <w:tcW w:w="51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E9691E" w14:textId="55A9273A" w:rsidR="00CD1544" w:rsidRPr="00ED24CB" w:rsidRDefault="00CD1544" w:rsidP="00ED24CB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National Antimicrobial Resistance Surveillance Report, Bangladesh (2016-2023) </w:t>
            </w:r>
            <w:proofErr w:type="gramStart"/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r w:rsidRPr="00ED24C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https://iedcr.portal.gov.bd/sites/default/files/files/iedcr.portal.gov.bd/page/a595993f_f73f_401e_96f9_a8ce489add2c/2023-12-31-07-07-6b7e94a143c4a44a00c9ee0a496501c8.pdf</w:t>
            </w:r>
            <w:proofErr w:type="gramEnd"/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6C5F" w14:textId="78BF2239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25F353A" w14:textId="485368AC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Addressed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989F9EA" w14:textId="77777777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 Blind</w:t>
            </w:r>
          </w:p>
        </w:tc>
      </w:tr>
      <w:tr w:rsidR="00CD1544" w14:paraId="4D41461E" w14:textId="1B0BEF12" w:rsidTr="00CD1544">
        <w:trPr>
          <w:trHeight w:val="300"/>
        </w:trPr>
        <w:tc>
          <w:tcPr>
            <w:tcW w:w="51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B4C848D" w14:textId="62082995" w:rsidR="00CD1544" w:rsidRPr="00ED24CB" w:rsidRDefault="00CD1544" w:rsidP="00ED24CB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CAPTURA AMR Surveillance: Bangladesh Country Report (2019-2022) </w:t>
            </w:r>
            <w:proofErr w:type="gramStart"/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r w:rsidRPr="00ED24C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https://amr.cdc.gov.bd/captura-amr-surveillance-bangladesh-country-report-2019-2022/</w:t>
            </w:r>
            <w:proofErr w:type="gramEnd"/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1322" w14:textId="368C3CE7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673CDA2" w14:textId="29C142D8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Addressed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3A49DAA" w14:textId="77777777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 Blind</w:t>
            </w:r>
          </w:p>
        </w:tc>
      </w:tr>
      <w:tr w:rsidR="00CD1544" w14:paraId="330717C5" w14:textId="15A0DFDF" w:rsidTr="00CD1544">
        <w:trPr>
          <w:trHeight w:val="300"/>
        </w:trPr>
        <w:tc>
          <w:tcPr>
            <w:tcW w:w="51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2BD20D" w14:textId="4A22CE6A" w:rsidR="00CD1544" w:rsidRPr="00ED24CB" w:rsidRDefault="00CD1544" w:rsidP="00ED24CB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Health Bulletin 2022 </w:t>
            </w:r>
            <w:proofErr w:type="gramStart"/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r w:rsidRPr="00ED24C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https://old.dghs.gov.bd/images/docs/vpr/LHB_2022_6_2_2024.pdf</w:t>
            </w:r>
            <w:proofErr w:type="gramEnd"/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4D8A" w14:textId="6428F1CC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406A2B7" w14:textId="60A1082B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Addressed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9D3501" w14:textId="77777777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 Blind</w:t>
            </w:r>
          </w:p>
        </w:tc>
      </w:tr>
      <w:tr w:rsidR="00CD1544" w14:paraId="0FCB0833" w14:textId="72F91915" w:rsidTr="00CD1544">
        <w:trPr>
          <w:trHeight w:val="300"/>
        </w:trPr>
        <w:tc>
          <w:tcPr>
            <w:tcW w:w="51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227A115" w14:textId="51F330F8" w:rsidR="00CD1544" w:rsidRPr="00ED24CB" w:rsidRDefault="00CD1544" w:rsidP="00ED24CB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>Icddr,b</w:t>
            </w:r>
            <w:proofErr w:type="spellEnd"/>
            <w:proofErr w:type="gramEnd"/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annual report 2023 ( </w:t>
            </w:r>
            <w:r w:rsidRPr="00ED24C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https://www.icddrb.org/storage/file/Document/66d81bf629390.pdf</w:t>
            </w:r>
            <w:r w:rsidRPr="00ED2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047A" w14:textId="52F95C29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F66FAE3" w14:textId="0B825A8A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Addressed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CB390E8" w14:textId="77777777" w:rsidR="00CD1544" w:rsidRDefault="00CD15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 Blind</w:t>
            </w:r>
          </w:p>
        </w:tc>
      </w:tr>
    </w:tbl>
    <w:p w14:paraId="5D39A6F3" w14:textId="11D2552E" w:rsidR="00B92CB9" w:rsidRDefault="00B92CB9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shd w:val="clear" w:color="auto" w:fill="EFEFEF"/>
        </w:rPr>
      </w:pPr>
    </w:p>
    <w:sectPr w:rsidR="00B92CB9" w:rsidSect="001C2ED7"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BDDC7" w14:textId="77777777" w:rsidR="00973660" w:rsidRDefault="00973660" w:rsidP="001D73BC">
      <w:pPr>
        <w:spacing w:line="240" w:lineRule="auto"/>
      </w:pPr>
      <w:r>
        <w:separator/>
      </w:r>
    </w:p>
  </w:endnote>
  <w:endnote w:type="continuationSeparator" w:id="0">
    <w:p w14:paraId="26D3A04F" w14:textId="77777777" w:rsidR="00973660" w:rsidRDefault="00973660" w:rsidP="001D73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03787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8AF995" w14:textId="16EF387D" w:rsidR="001D73BC" w:rsidRDefault="001D73B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D4598E" w14:textId="77777777" w:rsidR="001D73BC" w:rsidRDefault="001D73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0BE54" w14:textId="77777777" w:rsidR="00973660" w:rsidRDefault="00973660" w:rsidP="001D73BC">
      <w:pPr>
        <w:spacing w:line="240" w:lineRule="auto"/>
      </w:pPr>
      <w:r>
        <w:separator/>
      </w:r>
    </w:p>
  </w:footnote>
  <w:footnote w:type="continuationSeparator" w:id="0">
    <w:p w14:paraId="671F2D7C" w14:textId="77777777" w:rsidR="00973660" w:rsidRDefault="00973660" w:rsidP="001D73B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1183D"/>
    <w:multiLevelType w:val="multilevel"/>
    <w:tmpl w:val="1ABA94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EF93F07"/>
    <w:multiLevelType w:val="hybridMultilevel"/>
    <w:tmpl w:val="B59473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902DEF"/>
    <w:multiLevelType w:val="hybridMultilevel"/>
    <w:tmpl w:val="E24AF474"/>
    <w:lvl w:ilvl="0" w:tplc="CA9AFF78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35CB8"/>
    <w:multiLevelType w:val="multilevel"/>
    <w:tmpl w:val="AB0C62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64334F2"/>
    <w:multiLevelType w:val="multilevel"/>
    <w:tmpl w:val="F0848D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CB9"/>
    <w:rsid w:val="00042841"/>
    <w:rsid w:val="000601BA"/>
    <w:rsid w:val="0007187A"/>
    <w:rsid w:val="000F75A6"/>
    <w:rsid w:val="00101DD9"/>
    <w:rsid w:val="001078A5"/>
    <w:rsid w:val="00134228"/>
    <w:rsid w:val="00160DFE"/>
    <w:rsid w:val="001C2ED7"/>
    <w:rsid w:val="001D73BC"/>
    <w:rsid w:val="001E1B63"/>
    <w:rsid w:val="001F05E2"/>
    <w:rsid w:val="002033F5"/>
    <w:rsid w:val="002222C1"/>
    <w:rsid w:val="00224EC8"/>
    <w:rsid w:val="0025155E"/>
    <w:rsid w:val="002C0266"/>
    <w:rsid w:val="003840FB"/>
    <w:rsid w:val="00395088"/>
    <w:rsid w:val="003B3B1B"/>
    <w:rsid w:val="003C2487"/>
    <w:rsid w:val="003F0526"/>
    <w:rsid w:val="0045355D"/>
    <w:rsid w:val="0052216E"/>
    <w:rsid w:val="00634835"/>
    <w:rsid w:val="00656C75"/>
    <w:rsid w:val="0068034B"/>
    <w:rsid w:val="006F7B61"/>
    <w:rsid w:val="00723364"/>
    <w:rsid w:val="007765A1"/>
    <w:rsid w:val="007F1FE6"/>
    <w:rsid w:val="00806746"/>
    <w:rsid w:val="00823080"/>
    <w:rsid w:val="008778F0"/>
    <w:rsid w:val="0088177A"/>
    <w:rsid w:val="00890DD0"/>
    <w:rsid w:val="00924649"/>
    <w:rsid w:val="0093523F"/>
    <w:rsid w:val="00955288"/>
    <w:rsid w:val="00973660"/>
    <w:rsid w:val="009E6C98"/>
    <w:rsid w:val="00A0359E"/>
    <w:rsid w:val="00A05E16"/>
    <w:rsid w:val="00A11EFD"/>
    <w:rsid w:val="00A36363"/>
    <w:rsid w:val="00A672F5"/>
    <w:rsid w:val="00AB271A"/>
    <w:rsid w:val="00AC5BA3"/>
    <w:rsid w:val="00B550A7"/>
    <w:rsid w:val="00B730C6"/>
    <w:rsid w:val="00B92CB9"/>
    <w:rsid w:val="00C21DF0"/>
    <w:rsid w:val="00C41D23"/>
    <w:rsid w:val="00CC7B0C"/>
    <w:rsid w:val="00CD1544"/>
    <w:rsid w:val="00D7627B"/>
    <w:rsid w:val="00E10002"/>
    <w:rsid w:val="00E45462"/>
    <w:rsid w:val="00E47E48"/>
    <w:rsid w:val="00E768E3"/>
    <w:rsid w:val="00E77B28"/>
    <w:rsid w:val="00EB0B21"/>
    <w:rsid w:val="00ED24CB"/>
    <w:rsid w:val="00EF21AE"/>
    <w:rsid w:val="00F061B5"/>
    <w:rsid w:val="00F66355"/>
    <w:rsid w:val="00F9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094520"/>
  <w15:docId w15:val="{E2FC9E25-ED0C-413E-95FD-E512E47C4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F22"/>
    <w:rPr>
      <w:lang w:bidi="b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6F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6F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6F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6F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6F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6F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6F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F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F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336F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36F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6F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6F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6F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6F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6F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6F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F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6F22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336F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6F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6F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6F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6F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6F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F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F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6F22"/>
    <w:rPr>
      <w:b/>
      <w:bCs/>
      <w:smallCaps/>
      <w:color w:val="2F5496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336F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6F22"/>
    <w:rPr>
      <w:rFonts w:ascii="Arial" w:eastAsia="Arial" w:hAnsi="Arial" w:cs="Arial"/>
      <w:kern w:val="0"/>
      <w:sz w:val="20"/>
      <w:szCs w:val="20"/>
      <w:lang w:val="en" w:bidi="bn-IN"/>
    </w:rPr>
  </w:style>
  <w:style w:type="character" w:styleId="CommentReference">
    <w:name w:val="annotation reference"/>
    <w:basedOn w:val="DefaultParagraphFont"/>
    <w:uiPriority w:val="99"/>
    <w:semiHidden/>
    <w:unhideWhenUsed/>
    <w:rsid w:val="00336F22"/>
    <w:rPr>
      <w:sz w:val="16"/>
      <w:szCs w:val="16"/>
    </w:rPr>
  </w:style>
  <w:style w:type="table" w:styleId="TableGrid">
    <w:name w:val="Table Grid"/>
    <w:basedOn w:val="TableNormal"/>
    <w:uiPriority w:val="39"/>
    <w:rsid w:val="00336F22"/>
    <w:pPr>
      <w:spacing w:line="240" w:lineRule="auto"/>
    </w:pPr>
    <w:rPr>
      <w:lang w:bidi="b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next w:val="ListParagraph"/>
    <w:uiPriority w:val="34"/>
    <w:qFormat/>
    <w:rsid w:val="00336F22"/>
    <w:pPr>
      <w:spacing w:after="160" w:line="259" w:lineRule="auto"/>
      <w:ind w:left="720"/>
      <w:contextualSpacing/>
    </w:pPr>
    <w:rPr>
      <w:rFonts w:ascii="Calibri" w:eastAsia="Calibri" w:hAnsi="Calibri" w:cs="Times New Roman"/>
      <w:kern w:val="2"/>
      <w:lang w:val="en-US"/>
    </w:rPr>
  </w:style>
  <w:style w:type="character" w:styleId="Hyperlink">
    <w:name w:val="Hyperlink"/>
    <w:basedOn w:val="DefaultParagraphFont"/>
    <w:uiPriority w:val="99"/>
    <w:unhideWhenUsed/>
    <w:rsid w:val="00336F2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6F2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36F2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F22"/>
    <w:rPr>
      <w:rFonts w:ascii="Arial" w:eastAsia="Arial" w:hAnsi="Arial" w:cs="Arial"/>
      <w:kern w:val="0"/>
      <w:lang w:val="en" w:bidi="bn-IN"/>
    </w:rPr>
  </w:style>
  <w:style w:type="paragraph" w:styleId="Footer">
    <w:name w:val="footer"/>
    <w:basedOn w:val="Normal"/>
    <w:link w:val="FooterChar"/>
    <w:uiPriority w:val="99"/>
    <w:unhideWhenUsed/>
    <w:rsid w:val="00336F2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F22"/>
    <w:rPr>
      <w:rFonts w:ascii="Arial" w:eastAsia="Arial" w:hAnsi="Arial" w:cs="Arial"/>
      <w:kern w:val="0"/>
      <w:lang w:val="en" w:bidi="bn-IN"/>
    </w:rPr>
  </w:style>
  <w:style w:type="paragraph" w:customStyle="1" w:styleId="EndNoteBibliographyTitle">
    <w:name w:val="EndNote Bibliography Title"/>
    <w:basedOn w:val="Normal"/>
    <w:link w:val="EndNoteBibliographyTitleChar"/>
    <w:rsid w:val="00336F22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36F22"/>
    <w:rPr>
      <w:rFonts w:ascii="Arial" w:eastAsia="Arial" w:hAnsi="Arial" w:cs="Arial"/>
      <w:noProof/>
      <w:kern w:val="0"/>
      <w:lang w:bidi="bn-IN"/>
    </w:rPr>
  </w:style>
  <w:style w:type="paragraph" w:customStyle="1" w:styleId="EndNoteBibliography">
    <w:name w:val="EndNote Bibliography"/>
    <w:basedOn w:val="Normal"/>
    <w:link w:val="EndNoteBibliographyChar"/>
    <w:rsid w:val="00336F22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36F22"/>
    <w:rPr>
      <w:rFonts w:ascii="Arial" w:eastAsia="Arial" w:hAnsi="Arial" w:cs="Arial"/>
      <w:noProof/>
      <w:kern w:val="0"/>
      <w:lang w:bidi="bn-IN"/>
    </w:rPr>
  </w:style>
  <w:style w:type="paragraph" w:styleId="Revision">
    <w:name w:val="Revision"/>
    <w:hidden/>
    <w:uiPriority w:val="99"/>
    <w:semiHidden/>
    <w:rsid w:val="00336F22"/>
    <w:pPr>
      <w:spacing w:line="240" w:lineRule="auto"/>
    </w:pPr>
    <w:rPr>
      <w:lang w:bidi="b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F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F22"/>
    <w:rPr>
      <w:rFonts w:ascii="Arial" w:eastAsia="Arial" w:hAnsi="Arial" w:cs="Arial"/>
      <w:b/>
      <w:bCs/>
      <w:kern w:val="0"/>
      <w:sz w:val="20"/>
      <w:szCs w:val="20"/>
      <w:lang w:val="en" w:bidi="b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6F22"/>
    <w:pPr>
      <w:spacing w:line="240" w:lineRule="auto"/>
    </w:pPr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F22"/>
    <w:rPr>
      <w:rFonts w:ascii="Segoe UI" w:eastAsia="Arial" w:hAnsi="Segoe UI" w:cs="Segoe UI"/>
      <w:kern w:val="0"/>
      <w:sz w:val="18"/>
      <w:lang w:val="en" w:bidi="bn-IN"/>
    </w:rPr>
  </w:style>
  <w:style w:type="character" w:styleId="UnresolvedMention">
    <w:name w:val="Unresolved Mention"/>
    <w:basedOn w:val="DefaultParagraphFont"/>
    <w:uiPriority w:val="99"/>
    <w:semiHidden/>
    <w:unhideWhenUsed/>
    <w:rsid w:val="00336F22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E77B28"/>
    <w:pPr>
      <w:spacing w:after="200" w:line="240" w:lineRule="auto"/>
    </w:pPr>
    <w:rPr>
      <w:rFonts w:ascii="Times New Roman" w:hAnsi="Times New Roman"/>
      <w:i/>
      <w:iCs/>
      <w:color w:val="44546A" w:themeColor="text2"/>
      <w:sz w:val="24"/>
    </w:rPr>
  </w:style>
  <w:style w:type="paragraph" w:styleId="TableofFigures">
    <w:name w:val="table of figures"/>
    <w:basedOn w:val="Normal"/>
    <w:next w:val="Normal"/>
    <w:uiPriority w:val="99"/>
    <w:unhideWhenUsed/>
    <w:rsid w:val="001D73BC"/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TYItcG5TwsGD7Dkfm3xlfKtbCA==">CgMxLjAaJQoBMBIgCh4IB0IaCg9UaW1lcyBOZXcgUm9tYW4SB0d1bmdzdWgaJQoBMRIgCh4IB0IaCg9UaW1lcyBOZXcgUm9tYW4SB0d1bmdzdWgyDmguZjF6anZ0amNwaTE5Mg5oLmg4cGJnb2t6dDI1aDIOaC4zcm40NmpuMTRuaGM4AHIhMTJLTkw0cElHaGtRWmVQenQwTG9wT0xLVThHN05wZlh0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C06AF4E-28B1-4460-BBE1-C5FD01104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Sneha Paul</dc:creator>
  <cp:lastModifiedBy>Lenovo-ECM-04</cp:lastModifiedBy>
  <cp:revision>2</cp:revision>
  <dcterms:created xsi:type="dcterms:W3CDTF">2026-03-18T19:41:00Z</dcterms:created>
  <dcterms:modified xsi:type="dcterms:W3CDTF">2026-03-18T19:41:00Z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02f74111-154e-4542-a154-8ffbd945cc8e</vt:lpwstr>
  </property>
</Properties>
</file>