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BF067" w14:textId="572405E1" w:rsidR="005D0652" w:rsidRPr="005D0652" w:rsidRDefault="005D0652" w:rsidP="005D0652">
      <w:pPr>
        <w:rPr>
          <w:lang w:val="en-US"/>
        </w:rPr>
      </w:pPr>
      <w:r w:rsidRPr="005D0652">
        <w:rPr>
          <w:b/>
          <w:bCs/>
          <w:lang w:val="en-US"/>
        </w:rPr>
        <w:t xml:space="preserve">Additional file </w:t>
      </w:r>
      <w:r w:rsidR="002412D8">
        <w:rPr>
          <w:b/>
          <w:bCs/>
          <w:lang w:val="en-US"/>
        </w:rPr>
        <w:t>2</w:t>
      </w:r>
      <w:r w:rsidRPr="005D0652">
        <w:rPr>
          <w:b/>
          <w:bCs/>
          <w:lang w:val="en-US"/>
        </w:rPr>
        <w:t> : Concise explanation of the data flow</w:t>
      </w:r>
    </w:p>
    <w:p w14:paraId="11727B6F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Note: The data flow is executed once per year for a maximum duration of seven years.</w:t>
      </w:r>
    </w:p>
    <w:p w14:paraId="6FF606E5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Step 1: Initial Data Selection on the Healthdata Platform</w:t>
      </w:r>
    </w:p>
    <w:p w14:paraId="4C737A86" w14:textId="77777777" w:rsidR="005D0652" w:rsidRPr="003D50F8" w:rsidRDefault="005D0652" w:rsidP="005D0652">
      <w:pPr>
        <w:spacing w:line="240" w:lineRule="auto"/>
        <w:ind w:left="708"/>
        <w:jc w:val="both"/>
        <w:rPr>
          <w:lang w:val="en-US"/>
        </w:rPr>
      </w:pPr>
      <w:r w:rsidRPr="003D50F8">
        <w:rPr>
          <w:lang w:val="en-US"/>
        </w:rPr>
        <w:t xml:space="preserve">1.1 The </w:t>
      </w:r>
      <w:r>
        <w:rPr>
          <w:lang w:val="en-US"/>
        </w:rPr>
        <w:t>Intego</w:t>
      </w:r>
      <w:r w:rsidRPr="003D50F8">
        <w:rPr>
          <w:lang w:val="en-US"/>
        </w:rPr>
        <w:t xml:space="preserve"> database manager (hosted on the Healthdata.be platform) selects all relevant data (Data_INT) based on the project’s selection criteria (all diabetes patients from 2017 onwards), using the database-specific personal identifier (C_INT). A separate list of unique personal identifiers found in this dataset is prepared and transferred, along with the data, to the Healthdata.be administrator.</w:t>
      </w:r>
    </w:p>
    <w:p w14:paraId="05303FEC" w14:textId="77777777" w:rsidR="005D0652" w:rsidRPr="003D50F8" w:rsidRDefault="005D0652" w:rsidP="005D0652">
      <w:pPr>
        <w:spacing w:line="240" w:lineRule="auto"/>
        <w:ind w:left="708"/>
        <w:jc w:val="both"/>
        <w:rPr>
          <w:lang w:val="en-US"/>
        </w:rPr>
      </w:pPr>
      <w:r w:rsidRPr="003D50F8">
        <w:rPr>
          <w:lang w:val="en-US"/>
        </w:rPr>
        <w:t>1.2 Similarly, the I</w:t>
      </w:r>
      <w:r>
        <w:rPr>
          <w:lang w:val="en-US"/>
        </w:rPr>
        <w:t>Q</w:t>
      </w:r>
      <w:r w:rsidRPr="003D50F8">
        <w:rPr>
          <w:lang w:val="en-US"/>
        </w:rPr>
        <w:t>ED/I</w:t>
      </w:r>
      <w:r>
        <w:rPr>
          <w:lang w:val="en-US"/>
        </w:rPr>
        <w:t>QEC</w:t>
      </w:r>
      <w:r w:rsidRPr="003D50F8">
        <w:rPr>
          <w:lang w:val="en-US"/>
        </w:rPr>
        <w:t>AD database manager (IQED database, also hosted on Healthdata.be) selects all necessary data (Data_IQE) based on the same criteria, using a different personal identifier (C_IQE). A separate list of unique personal identifiers is also prepared and transferred to the Healthdata.be administrator.</w:t>
      </w:r>
    </w:p>
    <w:p w14:paraId="27110106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Step 2: Data Processing on Healthdata.be</w:t>
      </w:r>
    </w:p>
    <w:p w14:paraId="5261172C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The Healthdata.be administrator replaces all database-specific personal identifiers (C_INT and C_IQE) in both datasets with a uniform, register-independent code (PsNISS_HD).</w:t>
      </w:r>
      <w:r>
        <w:rPr>
          <w:lang w:val="en-US"/>
        </w:rPr>
        <w:t xml:space="preserve"> </w:t>
      </w:r>
      <w:r w:rsidRPr="003D50F8">
        <w:rPr>
          <w:lang w:val="en-US"/>
        </w:rPr>
        <w:t>T</w:t>
      </w:r>
      <w:r>
        <w:rPr>
          <w:lang w:val="en-US"/>
        </w:rPr>
        <w:t xml:space="preserve">wo </w:t>
      </w:r>
      <w:r w:rsidRPr="003D50F8">
        <w:rPr>
          <w:lang w:val="en-US"/>
        </w:rPr>
        <w:t>new datasets are created: PsNISS_HD/Data_INT and PsNISS_HD/Data_IQE.</w:t>
      </w:r>
    </w:p>
    <w:p w14:paraId="71C2E493" w14:textId="77777777" w:rsidR="005D0652" w:rsidRPr="007D331D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 xml:space="preserve">A consolidated list of unique PsNISS_HD identifiers is generated, indicating whether each identifier appears in the </w:t>
      </w:r>
      <w:r>
        <w:rPr>
          <w:lang w:val="en-US"/>
        </w:rPr>
        <w:t>Intego</w:t>
      </w:r>
      <w:r w:rsidRPr="003D50F8">
        <w:rPr>
          <w:lang w:val="en-US"/>
        </w:rPr>
        <w:t xml:space="preserve"> or IQED databases</w:t>
      </w:r>
      <w:r>
        <w:rPr>
          <w:lang w:val="en-US"/>
        </w:rPr>
        <w:t xml:space="preserve">: </w:t>
      </w:r>
      <w:r w:rsidRPr="007D331D">
        <w:rPr>
          <w:rFonts w:eastAsia="Calibri" w:cs="Arial"/>
          <w:lang w:val="en-US"/>
        </w:rPr>
        <w:t>PsNISS_HD/INT_YN/IQE_YN</w:t>
      </w:r>
      <w:r>
        <w:rPr>
          <w:rFonts w:eastAsia="Calibri" w:cs="Arial"/>
          <w:lang w:val="en-US"/>
        </w:rPr>
        <w:t>.</w:t>
      </w:r>
    </w:p>
    <w:p w14:paraId="5CC7C354" w14:textId="77777777" w:rsidR="005D0652" w:rsidRPr="007D331D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Th</w:t>
      </w:r>
      <w:r>
        <w:rPr>
          <w:lang w:val="en-US"/>
        </w:rPr>
        <w:t>e unique PsNISS_HDs of this</w:t>
      </w:r>
      <w:r w:rsidRPr="003D50F8">
        <w:rPr>
          <w:lang w:val="en-US"/>
        </w:rPr>
        <w:t xml:space="preserve"> list is then transmitted to the Trusted Third Party (TTP) eHealth for further processing.</w:t>
      </w:r>
      <w:r>
        <w:rPr>
          <w:lang w:val="en-US"/>
        </w:rPr>
        <w:t xml:space="preserve"> </w:t>
      </w:r>
      <w:r w:rsidRPr="007D331D">
        <w:rPr>
          <w:lang w:val="en-US"/>
        </w:rPr>
        <w:t>The list PsNISS_HD/INT_YN/IQE_YN an</w:t>
      </w:r>
      <w:r>
        <w:rPr>
          <w:lang w:val="en-US"/>
        </w:rPr>
        <w:t>d the datasets</w:t>
      </w:r>
      <w:r w:rsidRPr="007D331D">
        <w:rPr>
          <w:lang w:val="en-US"/>
        </w:rPr>
        <w:t xml:space="preserve"> PsNISS_HD/Data_INT + PsNISS_HD/Data_IQE </w:t>
      </w:r>
      <w:r>
        <w:rPr>
          <w:lang w:val="en-US"/>
        </w:rPr>
        <w:t>are stored for further processing in step 5.</w:t>
      </w:r>
    </w:p>
    <w:p w14:paraId="769D44F4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Step 3: Anonymization by TTP eHealth</w:t>
      </w:r>
    </w:p>
    <w:p w14:paraId="0A6B43DF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The TTP eHealth decodes each PsNISS_HD identifier into the corresponding social security number (INSZ).</w:t>
      </w:r>
    </w:p>
    <w:p w14:paraId="501785F9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A unique project-specific code (Cproject) is generated for each INSZ, along with two random numbers (RN1 and RN2).</w:t>
      </w:r>
    </w:p>
    <w:p w14:paraId="317B71A2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Three conversion lists are created and distributed:</w:t>
      </w:r>
    </w:p>
    <w:p w14:paraId="67C314F6" w14:textId="77777777" w:rsidR="005D0652" w:rsidRPr="003D50F8" w:rsidRDefault="005D0652" w:rsidP="005D0652">
      <w:pPr>
        <w:spacing w:line="240" w:lineRule="auto"/>
        <w:ind w:left="708"/>
        <w:jc w:val="both"/>
        <w:rPr>
          <w:lang w:val="en-US"/>
        </w:rPr>
      </w:pPr>
      <w:r>
        <w:rPr>
          <w:lang w:val="en-US"/>
        </w:rPr>
        <w:t xml:space="preserve">3.1. </w:t>
      </w:r>
      <w:r w:rsidRPr="003D50F8">
        <w:rPr>
          <w:lang w:val="en-US"/>
        </w:rPr>
        <w:t>PsNISS_HD to RN1 (sent back to Healthdata.be).</w:t>
      </w:r>
    </w:p>
    <w:p w14:paraId="42081BA6" w14:textId="77777777" w:rsidR="005D0652" w:rsidRPr="003D50F8" w:rsidRDefault="005D0652" w:rsidP="005D0652">
      <w:pPr>
        <w:spacing w:line="240" w:lineRule="auto"/>
        <w:ind w:left="708"/>
        <w:jc w:val="both"/>
        <w:rPr>
          <w:lang w:val="en-US"/>
        </w:rPr>
      </w:pPr>
      <w:r>
        <w:rPr>
          <w:lang w:val="en-US"/>
        </w:rPr>
        <w:t xml:space="preserve">3.2. </w:t>
      </w:r>
      <w:r w:rsidRPr="003D50F8">
        <w:rPr>
          <w:lang w:val="en-US"/>
        </w:rPr>
        <w:t>INSZ to RN2 (sent to the National Intermutualistic College (NIC) contact point</w:t>
      </w:r>
      <w:r>
        <w:rPr>
          <w:lang w:val="en-US"/>
        </w:rPr>
        <w:t>, the h</w:t>
      </w:r>
      <w:r w:rsidRPr="00C53309">
        <w:rPr>
          <w:lang w:val="en-US"/>
        </w:rPr>
        <w:t>ighest consultation body of the Belgian Health Insurance Funds</w:t>
      </w:r>
      <w:r w:rsidRPr="003D50F8">
        <w:rPr>
          <w:lang w:val="en-US"/>
        </w:rPr>
        <w:t>).</w:t>
      </w:r>
    </w:p>
    <w:p w14:paraId="4C1999ED" w14:textId="77777777" w:rsidR="005D0652" w:rsidRPr="003D50F8" w:rsidRDefault="005D0652" w:rsidP="005D0652">
      <w:pPr>
        <w:spacing w:line="240" w:lineRule="auto"/>
        <w:ind w:left="708"/>
        <w:jc w:val="both"/>
        <w:rPr>
          <w:lang w:val="en-US"/>
        </w:rPr>
      </w:pPr>
      <w:r>
        <w:rPr>
          <w:lang w:val="en-US"/>
        </w:rPr>
        <w:t xml:space="preserve">3.3 </w:t>
      </w:r>
      <w:r w:rsidRPr="003D50F8">
        <w:rPr>
          <w:lang w:val="en-US"/>
        </w:rPr>
        <w:t>Cproject to RN1/RN2 (sent to the Insurance Institutions’ TTP - Crossroads Bank for Social Security (TTP VI (KSZ))</w:t>
      </w:r>
      <w:r>
        <w:rPr>
          <w:lang w:val="en-US"/>
        </w:rPr>
        <w:t xml:space="preserve">, </w:t>
      </w:r>
      <w:r w:rsidRPr="00C53309">
        <w:rPr>
          <w:lang w:val="en-US"/>
        </w:rPr>
        <w:t>reponsible for the elaboration of the E-government strategy within the Belgian social sector</w:t>
      </w:r>
      <w:r w:rsidRPr="003D50F8">
        <w:rPr>
          <w:lang w:val="en-US"/>
        </w:rPr>
        <w:t>).</w:t>
      </w:r>
    </w:p>
    <w:p w14:paraId="0D330526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Step 4: Conversion at NIC</w:t>
      </w:r>
    </w:p>
    <w:p w14:paraId="7959336E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NIC converts the INSZ values in the INSZ/RN2 list to insurance institution codes (C1) and forwards the new C1/RN2 list to TTP VI (KSZ).</w:t>
      </w:r>
    </w:p>
    <w:p w14:paraId="6E16FEBD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Step 5: Data Encoding at Healthdata.be</w:t>
      </w:r>
    </w:p>
    <w:p w14:paraId="03379B90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The Healthdata.be administrator replaces PsNISS_HD in the previously prepared datasets with the corresponding RN1.</w:t>
      </w:r>
    </w:p>
    <w:p w14:paraId="0757A361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lastRenderedPageBreak/>
        <w:t>The updated datasets (RN1/INT_YN/IQE_YN, RN1/Data_INT, and RN1/Data_IQE) are then transferred to TTP VI (KSZ).</w:t>
      </w:r>
    </w:p>
    <w:p w14:paraId="48237F54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Step 6: Insurance Institution Data Processing at TTP VI (KSZ)</w:t>
      </w:r>
    </w:p>
    <w:p w14:paraId="14D8A81A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TTP VI (KSZ) replaces C1 with the IMA insurance code (C2) and stores these codes in the IMA Data Warehouse (DWH).</w:t>
      </w:r>
    </w:p>
    <w:p w14:paraId="56B5BBE5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Step 7: Data Extraction at IMA</w:t>
      </w:r>
    </w:p>
    <w:p w14:paraId="14F620DA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IMA extracts all required data based on C2 (Data_IMA) and transfers C2/Data_IMA to TTP VI (KSZ).</w:t>
      </w:r>
    </w:p>
    <w:p w14:paraId="41570ACF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Step 8: Final Anonymization at TTP VI (KSZ)</w:t>
      </w:r>
    </w:p>
    <w:p w14:paraId="43468935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Using the step 3.3 conversion list, TTP VI (KSZ) replaces RN1 in the datasets from step 5 with the corresponding Cproject.</w:t>
      </w:r>
    </w:p>
    <w:p w14:paraId="040A8036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C2 values in the IMA dataset from step 7 are replaced with Cproject, ensuring full anonymization.</w:t>
      </w:r>
    </w:p>
    <w:p w14:paraId="21E555CF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The final datasets (Cproject/INT_YN/IQE_YN, Cproject/Data_IMA, Cproject/Data_IQE, and Cproject/Data_INT) are transferred to the IMA Project DWH.</w:t>
      </w:r>
    </w:p>
    <w:p w14:paraId="7619B6E5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Step 9: Risk Analysis</w:t>
      </w:r>
    </w:p>
    <w:p w14:paraId="538A6115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A Small Cells Risk Analysis (SCRA) is conducted if required by the Information Security Committee (IVC).</w:t>
      </w:r>
    </w:p>
    <w:p w14:paraId="7EBB4010" w14:textId="77777777" w:rsidR="005D0652" w:rsidRPr="003D50F8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Step 10: Data Access for Researchers</w:t>
      </w:r>
    </w:p>
    <w:p w14:paraId="7095930E" w14:textId="77777777" w:rsidR="005D0652" w:rsidRDefault="005D0652" w:rsidP="005D0652">
      <w:pPr>
        <w:spacing w:line="240" w:lineRule="auto"/>
        <w:jc w:val="both"/>
        <w:rPr>
          <w:lang w:val="en-US"/>
        </w:rPr>
      </w:pPr>
      <w:r w:rsidRPr="003D50F8">
        <w:rPr>
          <w:lang w:val="en-US"/>
        </w:rPr>
        <w:t>Once approved, the data is made available in the IMA Project DWH for research purposes.</w:t>
      </w:r>
    </w:p>
    <w:p w14:paraId="5126C8A3" w14:textId="77777777" w:rsidR="005D0652" w:rsidRPr="005D0652" w:rsidRDefault="005D0652">
      <w:pPr>
        <w:rPr>
          <w:lang w:val="en-US"/>
        </w:rPr>
      </w:pPr>
    </w:p>
    <w:sectPr w:rsidR="005D0652" w:rsidRPr="005D06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652"/>
    <w:rsid w:val="002334EC"/>
    <w:rsid w:val="002412D8"/>
    <w:rsid w:val="005D0652"/>
    <w:rsid w:val="0079292E"/>
    <w:rsid w:val="007A0B01"/>
    <w:rsid w:val="007F6E68"/>
    <w:rsid w:val="00806451"/>
    <w:rsid w:val="008269AF"/>
    <w:rsid w:val="008637A9"/>
    <w:rsid w:val="00AE4FCE"/>
    <w:rsid w:val="00D04461"/>
    <w:rsid w:val="00E52AE7"/>
    <w:rsid w:val="00F34024"/>
    <w:rsid w:val="00F51D93"/>
    <w:rsid w:val="00FC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781E5"/>
  <w15:chartTrackingRefBased/>
  <w15:docId w15:val="{7D3EEAB2-7EAD-43B0-B54B-FE82958C7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Lavens</dc:creator>
  <cp:keywords/>
  <dc:description/>
  <cp:lastModifiedBy>Astrid Lavens</cp:lastModifiedBy>
  <cp:revision>4</cp:revision>
  <dcterms:created xsi:type="dcterms:W3CDTF">2025-11-30T14:23:00Z</dcterms:created>
  <dcterms:modified xsi:type="dcterms:W3CDTF">2026-04-16T06:07:00Z</dcterms:modified>
</cp:coreProperties>
</file>