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48419" w14:textId="2C7F8FCB" w:rsidR="007F7481" w:rsidRPr="00886ABB" w:rsidRDefault="00000000" w:rsidP="007F7481">
      <w:pPr>
        <w:spacing w:line="480" w:lineRule="auto"/>
        <w:rPr>
          <w:rFonts w:asciiTheme="majorBidi" w:eastAsia="Century" w:hAnsiTheme="majorBidi" w:cstheme="majorBidi"/>
          <w:sz w:val="22"/>
        </w:rPr>
      </w:pPr>
      <w:bookmarkStart w:id="0" w:name="_Hlk204052972"/>
      <w:r>
        <w:rPr>
          <w:rFonts w:asciiTheme="majorBidi" w:eastAsia="Century" w:hAnsiTheme="majorBidi" w:cstheme="majorBidi"/>
          <w:sz w:val="22"/>
        </w:rPr>
        <w:t xml:space="preserve">Supplemental </w:t>
      </w:r>
      <w:r w:rsidR="00BA7D03">
        <w:rPr>
          <w:rFonts w:asciiTheme="majorBidi" w:eastAsia="Century" w:hAnsiTheme="majorBidi" w:cstheme="majorBidi"/>
          <w:sz w:val="22"/>
        </w:rPr>
        <w:t>T</w:t>
      </w:r>
      <w:r w:rsidRPr="00886ABB">
        <w:rPr>
          <w:rFonts w:asciiTheme="majorBidi" w:eastAsia="Century" w:hAnsiTheme="majorBidi" w:cstheme="majorBidi"/>
          <w:sz w:val="22"/>
        </w:rPr>
        <w:t xml:space="preserve">able </w:t>
      </w:r>
      <w:r>
        <w:rPr>
          <w:rFonts w:asciiTheme="majorBidi" w:eastAsia="Century" w:hAnsiTheme="majorBidi" w:cstheme="majorBidi"/>
          <w:sz w:val="22"/>
        </w:rPr>
        <w:t>1</w:t>
      </w:r>
      <w:r w:rsidRPr="00886ABB">
        <w:rPr>
          <w:rFonts w:asciiTheme="majorBidi" w:eastAsia="Century" w:hAnsiTheme="majorBidi" w:cstheme="majorBidi"/>
          <w:sz w:val="22"/>
        </w:rPr>
        <w:t xml:space="preserve">. </w:t>
      </w:r>
      <w:r w:rsidR="000823C3" w:rsidRPr="000823C3">
        <w:rPr>
          <w:rFonts w:asciiTheme="majorBidi" w:eastAsia="Century" w:hAnsiTheme="majorBidi" w:cstheme="majorBidi"/>
          <w:sz w:val="22"/>
        </w:rPr>
        <w:t xml:space="preserve">Multinomial logistic regression results </w:t>
      </w:r>
      <w:r w:rsidR="00BA7D03">
        <w:rPr>
          <w:rFonts w:asciiTheme="majorBidi" w:eastAsia="Century" w:hAnsiTheme="majorBidi" w:cstheme="majorBidi"/>
          <w:sz w:val="22"/>
        </w:rPr>
        <w:t>of</w:t>
      </w:r>
      <w:r w:rsidR="00BA7D03" w:rsidRPr="000823C3">
        <w:rPr>
          <w:rFonts w:asciiTheme="majorBidi" w:eastAsia="Century" w:hAnsiTheme="majorBidi" w:cstheme="majorBidi"/>
          <w:sz w:val="22"/>
        </w:rPr>
        <w:t xml:space="preserve"> </w:t>
      </w:r>
      <w:r w:rsidR="000823C3" w:rsidRPr="000823C3">
        <w:rPr>
          <w:rFonts w:asciiTheme="majorBidi" w:eastAsia="Century" w:hAnsiTheme="majorBidi" w:cstheme="majorBidi"/>
          <w:sz w:val="22"/>
        </w:rPr>
        <w:t>factors associated with adoption intention</w:t>
      </w:r>
    </w:p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65"/>
        <w:gridCol w:w="1687"/>
        <w:gridCol w:w="1125"/>
        <w:gridCol w:w="1770"/>
        <w:gridCol w:w="1134"/>
      </w:tblGrid>
      <w:tr w:rsidR="00783CBC" w14:paraId="6DBD51E2" w14:textId="384982A1" w:rsidTr="00841269">
        <w:trPr>
          <w:trHeight w:val="1267"/>
        </w:trPr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bookmarkEnd w:id="0"/>
          <w:p w14:paraId="744C776A" w14:textId="77777777" w:rsidR="00D15511" w:rsidRPr="00886ABB" w:rsidRDefault="00000000" w:rsidP="00D15511">
            <w:pPr>
              <w:widowControl/>
              <w:spacing w:line="480" w:lineRule="auto"/>
              <w:jc w:val="left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Yu Gothic" w:hAnsiTheme="majorBidi" w:cstheme="majorBidi"/>
                <w:color w:val="00000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8E1086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sz w:val="22"/>
              </w:rPr>
              <w:t>Active vs. Non-Adoption (RRR, 95% CI)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1CB7A0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i/>
                <w:sz w:val="22"/>
              </w:rPr>
              <w:t>p</w:t>
            </w:r>
            <w:r w:rsidRPr="00886ABB">
              <w:rPr>
                <w:rFonts w:asciiTheme="majorBidi" w:eastAsia="Century" w:hAnsiTheme="majorBidi" w:cstheme="majorBidi"/>
                <w:sz w:val="22"/>
              </w:rPr>
              <w:t>-value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5306E" w14:textId="174D6910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i/>
                <w:sz w:val="22"/>
              </w:rPr>
            </w:pPr>
            <w:r>
              <w:rPr>
                <w:rFonts w:asciiTheme="majorBidi" w:eastAsia="Century" w:hAnsiTheme="majorBidi" w:cstheme="majorBidi"/>
                <w:sz w:val="22"/>
              </w:rPr>
              <w:t>Consideration</w:t>
            </w:r>
            <w:r w:rsidRPr="00886ABB">
              <w:rPr>
                <w:rFonts w:asciiTheme="majorBidi" w:eastAsia="Century" w:hAnsiTheme="majorBidi" w:cstheme="majorBidi"/>
                <w:sz w:val="22"/>
              </w:rPr>
              <w:t xml:space="preserve"> vs. Non-Adoption (RRR, 95% CI)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BFD2E9" w14:textId="766310D1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i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i/>
                <w:sz w:val="22"/>
              </w:rPr>
              <w:t>p</w:t>
            </w:r>
            <w:r w:rsidRPr="00886ABB">
              <w:rPr>
                <w:rFonts w:asciiTheme="majorBidi" w:eastAsia="Century" w:hAnsiTheme="majorBidi" w:cstheme="majorBidi"/>
                <w:sz w:val="22"/>
              </w:rPr>
              <w:t>-value</w:t>
            </w:r>
          </w:p>
        </w:tc>
      </w:tr>
      <w:tr w:rsidR="00783CBC" w14:paraId="55CE60A1" w14:textId="220B2484" w:rsidTr="00841269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FB465D" w14:textId="77777777" w:rsidR="00D15511" w:rsidRPr="00886ABB" w:rsidRDefault="00000000" w:rsidP="00D15511">
            <w:pPr>
              <w:widowControl/>
              <w:spacing w:line="480" w:lineRule="auto"/>
              <w:ind w:firstLine="220"/>
              <w:jc w:val="left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sz w:val="22"/>
              </w:rPr>
              <w:t>Prior experience with implementing a multidomain dementia prevention program</w:t>
            </w:r>
          </w:p>
        </w:tc>
        <w:tc>
          <w:tcPr>
            <w:tcW w:w="16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C7099E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1.43 (1.21-1.69)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C8D635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&lt;.001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208496B3" w14:textId="7CCCCAD8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13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 xml:space="preserve"> (1.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0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1-1.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26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9961417" w14:textId="72BDC2D9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0.028</w:t>
            </w:r>
          </w:p>
        </w:tc>
      </w:tr>
      <w:tr w:rsidR="00783CBC" w14:paraId="3AD49809" w14:textId="2D8D7FA3" w:rsidTr="00841269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5DF539" w14:textId="77777777" w:rsidR="00D15511" w:rsidRPr="00886ABB" w:rsidRDefault="00000000" w:rsidP="00D15511">
            <w:pPr>
              <w:widowControl/>
              <w:spacing w:line="480" w:lineRule="auto"/>
              <w:ind w:firstLine="220"/>
              <w:jc w:val="left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sz w:val="22"/>
              </w:rPr>
              <w:t>Awareness of the WHO’s recommended dementia prevention items</w:t>
            </w:r>
          </w:p>
        </w:tc>
        <w:tc>
          <w:tcPr>
            <w:tcW w:w="16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958BC2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1.41 (1.02-1.95)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1F7B94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&lt;.001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28665C6B" w14:textId="3C6324E5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2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 (1.0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0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-1.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46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9F4444B" w14:textId="71E915C5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0.048</w:t>
            </w:r>
          </w:p>
        </w:tc>
      </w:tr>
      <w:tr w:rsidR="00783CBC" w14:paraId="55FE81B1" w14:textId="2AECDFC4" w:rsidTr="00841269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D95EC0" w14:textId="77777777" w:rsidR="00D15511" w:rsidRPr="00886ABB" w:rsidRDefault="00000000" w:rsidP="00D15511">
            <w:pPr>
              <w:widowControl/>
              <w:spacing w:line="480" w:lineRule="auto"/>
              <w:ind w:firstLine="220"/>
              <w:jc w:val="left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 xml:space="preserve">Number of WHO-recommended dementia prevention items implemented (per item) </w:t>
            </w:r>
          </w:p>
        </w:tc>
        <w:tc>
          <w:tcPr>
            <w:tcW w:w="16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14982F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1.18 (1.07-1.30)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1F11E6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&lt;.001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5C51390B" w14:textId="0AAC0C13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1.1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1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 xml:space="preserve"> (1.0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2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-1.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2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30648D8" w14:textId="0231998F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0.012</w:t>
            </w:r>
          </w:p>
        </w:tc>
      </w:tr>
      <w:tr w:rsidR="00783CBC" w14:paraId="54B92664" w14:textId="132544E3" w:rsidTr="00841269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C234AD" w14:textId="77777777" w:rsidR="00D15511" w:rsidRPr="00886ABB" w:rsidRDefault="00000000" w:rsidP="00D15511">
            <w:pPr>
              <w:widowControl/>
              <w:spacing w:line="480" w:lineRule="auto"/>
              <w:ind w:firstLine="220"/>
              <w:jc w:val="left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sz w:val="22"/>
              </w:rPr>
              <w:t>Implementation of measures to improve residents’ health literacy</w:t>
            </w:r>
          </w:p>
        </w:tc>
        <w:tc>
          <w:tcPr>
            <w:tcW w:w="16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6B8E5C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2.76 (1.18-6.45)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41647E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0.019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17D077B5" w14:textId="5303FBB9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1.43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 xml:space="preserve"> (</w:t>
            </w: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0.82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-</w:t>
            </w: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2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.</w:t>
            </w: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52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38D19EB" w14:textId="35F1C3CB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212</w:t>
            </w:r>
          </w:p>
        </w:tc>
      </w:tr>
      <w:tr w:rsidR="00783CBC" w14:paraId="19D1F90D" w14:textId="47282AEE" w:rsidTr="00841269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E02A464" w14:textId="77777777" w:rsidR="00D15511" w:rsidRPr="00886ABB" w:rsidRDefault="00000000" w:rsidP="00D15511">
            <w:pPr>
              <w:widowControl/>
              <w:spacing w:line="480" w:lineRule="auto"/>
              <w:ind w:firstLine="220"/>
              <w:jc w:val="left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sz w:val="22"/>
              </w:rPr>
              <w:t>Development of infrastructure, intersectoral collaboration, and cultural foundation</w:t>
            </w:r>
          </w:p>
        </w:tc>
        <w:tc>
          <w:tcPr>
            <w:tcW w:w="16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66976E8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0.62 (0.27-1.42)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036F4F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0.255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6B03CF24" w14:textId="66F535D1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85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 xml:space="preserve"> (0.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49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-1.4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7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C2E7A63" w14:textId="157B73AD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552</w:t>
            </w:r>
          </w:p>
        </w:tc>
      </w:tr>
      <w:tr w:rsidR="00783CBC" w14:paraId="3A7FF0B4" w14:textId="6E19E76D" w:rsidTr="00841269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4C28E9" w14:textId="77777777" w:rsidR="00D15511" w:rsidRPr="00886ABB" w:rsidRDefault="00000000" w:rsidP="00D15511">
            <w:pPr>
              <w:widowControl/>
              <w:spacing w:line="480" w:lineRule="auto"/>
              <w:ind w:firstLine="220"/>
              <w:jc w:val="left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sz w:val="22"/>
              </w:rPr>
              <w:t>Availability of follow-up or post-program opportunities for participants</w:t>
            </w:r>
          </w:p>
        </w:tc>
        <w:tc>
          <w:tcPr>
            <w:tcW w:w="16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CA4D89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1.25 (0.79-1.99)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0D40E8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0.345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72D03B07" w14:textId="7E02E435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0.73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 xml:space="preserve"> (0.</w:t>
            </w: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54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-</w:t>
            </w: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0.99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975741A" w14:textId="65310304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048</w:t>
            </w:r>
          </w:p>
        </w:tc>
      </w:tr>
      <w:tr w:rsidR="00783CBC" w14:paraId="7F9412B7" w14:textId="69F3ED53" w:rsidTr="00841269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41FCEF" w14:textId="77777777" w:rsidR="00D15511" w:rsidRPr="00886ABB" w:rsidRDefault="00000000" w:rsidP="00D15511">
            <w:pPr>
              <w:widowControl/>
              <w:spacing w:line="480" w:lineRule="auto"/>
              <w:ind w:firstLine="220"/>
              <w:jc w:val="left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sz w:val="22"/>
              </w:rPr>
              <w:t>Level of coordination across departments within the municipal government</w:t>
            </w:r>
          </w:p>
        </w:tc>
        <w:tc>
          <w:tcPr>
            <w:tcW w:w="16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914AF8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0.96 (0.58-1.60)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F5E663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0.883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4DE467DC" w14:textId="0AB1D49E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1.06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 xml:space="preserve"> (0.</w:t>
            </w: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76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-1.</w:t>
            </w:r>
            <w:r>
              <w:rPr>
                <w:rFonts w:asciiTheme="majorBidi" w:eastAsia="Century" w:hAnsiTheme="majorBidi" w:cstheme="majorBidi"/>
                <w:color w:val="000000"/>
                <w:sz w:val="22"/>
              </w:rPr>
              <w:t>49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E71538A" w14:textId="4094F23F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</w:t>
            </w:r>
            <w:r w:rsidR="00630ACB">
              <w:rPr>
                <w:rFonts w:asciiTheme="majorBidi" w:eastAsia="Century" w:hAnsiTheme="majorBidi" w:cstheme="majorBidi"/>
                <w:color w:val="000000"/>
                <w:sz w:val="22"/>
              </w:rPr>
              <w:t>716</w:t>
            </w:r>
          </w:p>
        </w:tc>
      </w:tr>
      <w:tr w:rsidR="00783CBC" w14:paraId="68FE3277" w14:textId="6C9EAF32" w:rsidTr="00841269">
        <w:trPr>
          <w:trHeight w:val="396"/>
        </w:trPr>
        <w:tc>
          <w:tcPr>
            <w:tcW w:w="406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9F03DE" w14:textId="77777777" w:rsidR="00D15511" w:rsidRPr="00886ABB" w:rsidRDefault="00000000" w:rsidP="00D15511">
            <w:pPr>
              <w:widowControl/>
              <w:spacing w:line="480" w:lineRule="auto"/>
              <w:ind w:firstLine="220"/>
              <w:jc w:val="left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sz w:val="22"/>
              </w:rPr>
              <w:t>Degree of community and resident engagement in program planning or implementation</w:t>
            </w:r>
          </w:p>
        </w:tc>
        <w:tc>
          <w:tcPr>
            <w:tcW w:w="16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64528F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1.09 (0.52-2.26)</w:t>
            </w:r>
          </w:p>
        </w:tc>
        <w:tc>
          <w:tcPr>
            <w:tcW w:w="11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C01BFA" w14:textId="77777777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0.822</w:t>
            </w:r>
          </w:p>
        </w:tc>
        <w:tc>
          <w:tcPr>
            <w:tcW w:w="17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B3F7BE" w14:textId="31FD167B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1.</w:t>
            </w:r>
            <w:r w:rsidR="00055F91">
              <w:rPr>
                <w:rFonts w:asciiTheme="majorBidi" w:eastAsia="Century" w:hAnsiTheme="majorBidi" w:cstheme="majorBidi"/>
                <w:color w:val="000000"/>
                <w:sz w:val="22"/>
              </w:rPr>
              <w:t>15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 xml:space="preserve"> (0.</w:t>
            </w:r>
            <w:r w:rsidR="00055F91">
              <w:rPr>
                <w:rFonts w:asciiTheme="majorBidi" w:eastAsia="Century" w:hAnsiTheme="majorBidi" w:cstheme="majorBidi"/>
                <w:color w:val="000000"/>
                <w:sz w:val="22"/>
              </w:rPr>
              <w:t>70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-</w:t>
            </w:r>
            <w:r w:rsidR="00055F91">
              <w:rPr>
                <w:rFonts w:asciiTheme="majorBidi" w:eastAsia="Century" w:hAnsiTheme="majorBidi" w:cstheme="majorBidi"/>
                <w:color w:val="000000"/>
                <w:sz w:val="22"/>
              </w:rPr>
              <w:t>1.88</w:t>
            </w: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34011F" w14:textId="7AD1C414" w:rsidR="00D15511" w:rsidRPr="00886ABB" w:rsidRDefault="00000000" w:rsidP="00D15511">
            <w:pPr>
              <w:widowControl/>
              <w:spacing w:line="480" w:lineRule="auto"/>
              <w:jc w:val="center"/>
              <w:rPr>
                <w:rFonts w:asciiTheme="majorBidi" w:eastAsia="Century" w:hAnsiTheme="majorBidi" w:cstheme="majorBidi"/>
                <w:color w:val="000000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color w:val="000000"/>
                <w:sz w:val="22"/>
              </w:rPr>
              <w:t>0.</w:t>
            </w:r>
            <w:r w:rsidR="00055F91">
              <w:rPr>
                <w:rFonts w:asciiTheme="majorBidi" w:eastAsia="Century" w:hAnsiTheme="majorBidi" w:cstheme="majorBidi"/>
                <w:color w:val="000000"/>
                <w:sz w:val="22"/>
              </w:rPr>
              <w:t>582</w:t>
            </w:r>
          </w:p>
        </w:tc>
      </w:tr>
      <w:tr w:rsidR="00783CBC" w14:paraId="6DDC001F" w14:textId="77777777" w:rsidTr="00841269">
        <w:trPr>
          <w:trHeight w:val="396"/>
        </w:trPr>
        <w:tc>
          <w:tcPr>
            <w:tcW w:w="9781" w:type="dxa"/>
            <w:gridSpan w:val="5"/>
            <w:tcBorders>
              <w:left w:val="nil"/>
              <w:right w:val="nil"/>
            </w:tcBorders>
          </w:tcPr>
          <w:p w14:paraId="7AE2E79A" w14:textId="5B1BFEF1" w:rsidR="00841269" w:rsidRPr="00886ABB" w:rsidRDefault="00000000" w:rsidP="00D15511">
            <w:pPr>
              <w:widowControl/>
              <w:spacing w:line="480" w:lineRule="auto"/>
              <w:jc w:val="left"/>
              <w:rPr>
                <w:rFonts w:asciiTheme="majorBidi" w:eastAsia="Century" w:hAnsiTheme="majorBidi" w:cstheme="majorBidi"/>
                <w:sz w:val="22"/>
              </w:rPr>
            </w:pPr>
            <w:r w:rsidRPr="00886ABB">
              <w:rPr>
                <w:rFonts w:asciiTheme="majorBidi" w:eastAsia="Century" w:hAnsiTheme="majorBidi" w:cstheme="majorBidi"/>
                <w:sz w:val="22"/>
              </w:rPr>
              <w:t xml:space="preserve">RRR: Relative </w:t>
            </w:r>
            <w:r w:rsidRPr="00B62600">
              <w:rPr>
                <w:rFonts w:asciiTheme="majorBidi" w:eastAsia="Century" w:hAnsiTheme="majorBidi" w:cstheme="majorBidi"/>
                <w:sz w:val="22"/>
              </w:rPr>
              <w:t>r</w:t>
            </w:r>
            <w:r w:rsidRPr="00886ABB">
              <w:rPr>
                <w:rFonts w:asciiTheme="majorBidi" w:eastAsia="Century" w:hAnsiTheme="majorBidi" w:cstheme="majorBidi"/>
                <w:sz w:val="22"/>
              </w:rPr>
              <w:t xml:space="preserve">isk </w:t>
            </w:r>
            <w:r w:rsidRPr="00B62600">
              <w:rPr>
                <w:rFonts w:asciiTheme="majorBidi" w:eastAsia="Century" w:hAnsiTheme="majorBidi" w:cstheme="majorBidi"/>
                <w:sz w:val="22"/>
              </w:rPr>
              <w:t>r</w:t>
            </w:r>
            <w:r w:rsidRPr="00886ABB">
              <w:rPr>
                <w:rFonts w:asciiTheme="majorBidi" w:eastAsia="Century" w:hAnsiTheme="majorBidi" w:cstheme="majorBidi"/>
                <w:sz w:val="22"/>
              </w:rPr>
              <w:t xml:space="preserve">atio; CI: </w:t>
            </w:r>
            <w:r w:rsidRPr="00B62600">
              <w:rPr>
                <w:rFonts w:asciiTheme="majorBidi" w:eastAsia="Century" w:hAnsiTheme="majorBidi" w:cstheme="majorBidi"/>
                <w:sz w:val="22"/>
              </w:rPr>
              <w:t>c</w:t>
            </w:r>
            <w:r w:rsidRPr="00886ABB">
              <w:rPr>
                <w:rFonts w:asciiTheme="majorBidi" w:eastAsia="Century" w:hAnsiTheme="majorBidi" w:cstheme="majorBidi"/>
                <w:sz w:val="22"/>
              </w:rPr>
              <w:t xml:space="preserve">onfidence </w:t>
            </w:r>
            <w:r w:rsidRPr="00B62600">
              <w:rPr>
                <w:rFonts w:asciiTheme="majorBidi" w:eastAsia="Century" w:hAnsiTheme="majorBidi" w:cstheme="majorBidi"/>
                <w:sz w:val="22"/>
              </w:rPr>
              <w:t>i</w:t>
            </w:r>
            <w:r w:rsidRPr="00886ABB">
              <w:rPr>
                <w:rFonts w:asciiTheme="majorBidi" w:eastAsia="Century" w:hAnsiTheme="majorBidi" w:cstheme="majorBidi"/>
                <w:sz w:val="22"/>
              </w:rPr>
              <w:t xml:space="preserve">nterval. Estimates were derived </w:t>
            </w:r>
            <w:r w:rsidRPr="00B62600">
              <w:rPr>
                <w:rFonts w:asciiTheme="majorBidi" w:eastAsia="Century" w:hAnsiTheme="majorBidi" w:cstheme="majorBidi"/>
                <w:sz w:val="22"/>
              </w:rPr>
              <w:t>using</w:t>
            </w:r>
            <w:r w:rsidRPr="00886ABB">
              <w:rPr>
                <w:rFonts w:asciiTheme="majorBidi" w:eastAsia="Century" w:hAnsiTheme="majorBidi" w:cstheme="majorBidi"/>
                <w:sz w:val="22"/>
              </w:rPr>
              <w:t xml:space="preserve"> multinomial logistic regression models. All models were adjusted for municipality population size, aging rate, number of staff in </w:t>
            </w:r>
            <w:r w:rsidRPr="00886ABB">
              <w:rPr>
                <w:rFonts w:asciiTheme="majorBidi" w:eastAsia="Century" w:hAnsiTheme="majorBidi" w:cstheme="majorBidi"/>
                <w:sz w:val="22"/>
              </w:rPr>
              <w:lastRenderedPageBreak/>
              <w:t>charge of dementia-related policies, and number of community general support centers. For the variable "Number of WHO-recommended dementia prevention items implemented," the RRR represents the change associated with each additional item implemented.</w:t>
            </w:r>
          </w:p>
        </w:tc>
      </w:tr>
    </w:tbl>
    <w:p w14:paraId="1DDEBEDA" w14:textId="0F6FC042" w:rsidR="00B502F6" w:rsidRPr="007F7481" w:rsidRDefault="00B502F6" w:rsidP="00462DD0">
      <w:pPr>
        <w:spacing w:line="480" w:lineRule="auto"/>
        <w:rPr>
          <w:rFonts w:asciiTheme="majorBidi" w:eastAsia="Century" w:hAnsiTheme="majorBidi" w:cstheme="majorBidi"/>
          <w:sz w:val="24"/>
        </w:rPr>
      </w:pPr>
    </w:p>
    <w:p w14:paraId="1C310A4B" w14:textId="7A8286F1" w:rsidR="00B502F6" w:rsidRPr="00462DD0" w:rsidRDefault="00B502F6" w:rsidP="00C07288">
      <w:pPr>
        <w:widowControl/>
        <w:spacing w:line="480" w:lineRule="auto"/>
        <w:jc w:val="left"/>
        <w:rPr>
          <w:rFonts w:asciiTheme="majorBidi" w:eastAsia="Century" w:hAnsiTheme="majorBidi" w:cstheme="majorBidi"/>
          <w:sz w:val="24"/>
        </w:rPr>
      </w:pPr>
    </w:p>
    <w:p w14:paraId="20649BF1" w14:textId="77777777" w:rsidR="00D51E97" w:rsidRPr="00462DD0" w:rsidRDefault="00D51E97" w:rsidP="00462DD0">
      <w:pPr>
        <w:spacing w:line="480" w:lineRule="auto"/>
        <w:rPr>
          <w:rFonts w:asciiTheme="majorBidi" w:eastAsia="Century" w:hAnsiTheme="majorBidi" w:cstheme="majorBidi"/>
          <w:sz w:val="24"/>
        </w:rPr>
      </w:pPr>
    </w:p>
    <w:sectPr w:rsidR="00D51E97" w:rsidRPr="00462DD0">
      <w:type w:val="continuous"/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255CF"/>
    <w:multiLevelType w:val="hybridMultilevel"/>
    <w:tmpl w:val="6C0440A0"/>
    <w:lvl w:ilvl="0" w:tplc="8D6621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48AB8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A32D9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8526E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12872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11ED8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0E8CD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0CC98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3E626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176D6B92"/>
    <w:multiLevelType w:val="multilevel"/>
    <w:tmpl w:val="29E45370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220EB7"/>
    <w:multiLevelType w:val="multilevel"/>
    <w:tmpl w:val="7BE0B532"/>
    <w:lvl w:ilvl="0">
      <w:start w:val="1"/>
      <w:numFmt w:val="decimal"/>
      <w:lvlText w:val="%1."/>
      <w:lvlJc w:val="left"/>
      <w:pPr>
        <w:ind w:left="360" w:hanging="360"/>
      </w:pPr>
      <w:rPr>
        <w:rFonts w:ascii="游明朝" w:eastAsia="游明朝" w:hAnsi="游明朝" w:cs="游明朝"/>
        <w:color w:val="auto"/>
        <w:sz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50635"/>
    <w:multiLevelType w:val="multilevel"/>
    <w:tmpl w:val="9A6A8114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20634C"/>
    <w:multiLevelType w:val="multilevel"/>
    <w:tmpl w:val="3E06F0FE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681631"/>
    <w:multiLevelType w:val="multilevel"/>
    <w:tmpl w:val="0D90B19C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E80804"/>
    <w:multiLevelType w:val="hybridMultilevel"/>
    <w:tmpl w:val="7B283B44"/>
    <w:lvl w:ilvl="0" w:tplc="50F683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4BA6F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58AF2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876A9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95E6B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EEE01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05CEB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79CA9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8289B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57E66408"/>
    <w:multiLevelType w:val="multilevel"/>
    <w:tmpl w:val="9716B914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81C77EC"/>
    <w:multiLevelType w:val="hybridMultilevel"/>
    <w:tmpl w:val="B7DC1B36"/>
    <w:lvl w:ilvl="0" w:tplc="592A13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47A3F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24023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93206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D0CAE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D0CD7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B7CF6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2C22E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350AB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5F882D0E"/>
    <w:multiLevelType w:val="multilevel"/>
    <w:tmpl w:val="60AADB7E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C54222"/>
    <w:multiLevelType w:val="multilevel"/>
    <w:tmpl w:val="B350AEE0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DD53AF5"/>
    <w:multiLevelType w:val="multilevel"/>
    <w:tmpl w:val="00CE5F38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0637156">
    <w:abstractNumId w:val="3"/>
  </w:num>
  <w:num w:numId="2" w16cid:durableId="1719666701">
    <w:abstractNumId w:val="11"/>
  </w:num>
  <w:num w:numId="3" w16cid:durableId="259417287">
    <w:abstractNumId w:val="10"/>
  </w:num>
  <w:num w:numId="4" w16cid:durableId="1064766461">
    <w:abstractNumId w:val="4"/>
  </w:num>
  <w:num w:numId="5" w16cid:durableId="590436787">
    <w:abstractNumId w:val="7"/>
  </w:num>
  <w:num w:numId="6" w16cid:durableId="296103888">
    <w:abstractNumId w:val="1"/>
  </w:num>
  <w:num w:numId="7" w16cid:durableId="667708018">
    <w:abstractNumId w:val="2"/>
  </w:num>
  <w:num w:numId="8" w16cid:durableId="608587500">
    <w:abstractNumId w:val="5"/>
  </w:num>
  <w:num w:numId="9" w16cid:durableId="365258645">
    <w:abstractNumId w:val="9"/>
  </w:num>
  <w:num w:numId="10" w16cid:durableId="1544054653">
    <w:abstractNumId w:val="6"/>
  </w:num>
  <w:num w:numId="11" w16cid:durableId="2123457577">
    <w:abstractNumId w:val="0"/>
  </w:num>
  <w:num w:numId="12" w16cid:durableId="17920884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F6"/>
    <w:rsid w:val="00055F91"/>
    <w:rsid w:val="000823C3"/>
    <w:rsid w:val="000B5AA2"/>
    <w:rsid w:val="00462DD0"/>
    <w:rsid w:val="00490025"/>
    <w:rsid w:val="004E00C7"/>
    <w:rsid w:val="00630ACB"/>
    <w:rsid w:val="00654C90"/>
    <w:rsid w:val="006C5CCB"/>
    <w:rsid w:val="00783CBC"/>
    <w:rsid w:val="007F7481"/>
    <w:rsid w:val="00841269"/>
    <w:rsid w:val="00857571"/>
    <w:rsid w:val="00886ABB"/>
    <w:rsid w:val="008A736E"/>
    <w:rsid w:val="008D5FF6"/>
    <w:rsid w:val="009D3979"/>
    <w:rsid w:val="00A85F1F"/>
    <w:rsid w:val="00B502F6"/>
    <w:rsid w:val="00B62600"/>
    <w:rsid w:val="00BA7D03"/>
    <w:rsid w:val="00BB3218"/>
    <w:rsid w:val="00C07288"/>
    <w:rsid w:val="00D15511"/>
    <w:rsid w:val="00D51E97"/>
    <w:rsid w:val="00E0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B070D9"/>
  <w15:docId w15:val="{83DE5218-4028-4E09-B527-F789ECCD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rsid w:val="007F7481"/>
    <w:pPr>
      <w:widowControl w:val="0"/>
      <w:jc w:val="both"/>
    </w:pPr>
  </w:style>
  <w:style w:type="paragraph" w:styleId="1">
    <w:name w:val="heading 1"/>
    <w:basedOn w:val="a"/>
    <w:next w:val="a"/>
    <w:qFormat/>
    <w:pPr>
      <w:keepNext/>
      <w:keepLines/>
      <w:spacing w:before="280" w:after="80"/>
      <w:outlineLvl w:val="0"/>
    </w:pPr>
    <w:rPr>
      <w:rFonts w:ascii="游ゴシック Light" w:eastAsia="游ゴシック Light" w:hAnsi="游ゴシック Light" w:cs="游ゴシック Light"/>
      <w:color w:val="000000"/>
      <w:sz w:val="32"/>
    </w:rPr>
  </w:style>
  <w:style w:type="paragraph" w:styleId="2">
    <w:name w:val="heading 2"/>
    <w:basedOn w:val="a"/>
    <w:next w:val="a"/>
    <w:qFormat/>
    <w:pPr>
      <w:keepNext/>
      <w:keepLines/>
      <w:spacing w:before="160" w:after="80"/>
      <w:outlineLvl w:val="1"/>
    </w:pPr>
    <w:rPr>
      <w:rFonts w:ascii="游ゴシック Light" w:eastAsia="游ゴシック Light" w:hAnsi="游ゴシック Light" w:cs="游ゴシック Light"/>
      <w:color w:val="000000"/>
      <w:sz w:val="28"/>
    </w:rPr>
  </w:style>
  <w:style w:type="paragraph" w:styleId="3">
    <w:name w:val="heading 3"/>
    <w:basedOn w:val="a"/>
    <w:next w:val="a"/>
    <w:qFormat/>
    <w:pPr>
      <w:keepNext/>
      <w:keepLines/>
      <w:spacing w:before="160" w:after="80"/>
      <w:outlineLvl w:val="2"/>
    </w:pPr>
    <w:rPr>
      <w:rFonts w:ascii="游ゴシック Light" w:eastAsia="游ゴシック Light" w:hAnsi="游ゴシック Light" w:cs="游ゴシック Light"/>
      <w:color w:val="000000"/>
      <w:sz w:val="24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rFonts w:ascii="游ゴシック Light" w:eastAsia="游ゴシック Light" w:hAnsi="游ゴシック Light" w:cs="游ゴシック Light"/>
      <w:color w:val="000000"/>
    </w:rPr>
  </w:style>
  <w:style w:type="paragraph" w:styleId="5">
    <w:name w:val="heading 5"/>
    <w:basedOn w:val="a"/>
    <w:next w:val="a"/>
    <w:pPr>
      <w:keepNext/>
      <w:keepLines/>
      <w:spacing w:before="80" w:after="40"/>
      <w:ind w:left="100"/>
      <w:outlineLvl w:val="4"/>
    </w:pPr>
    <w:rPr>
      <w:rFonts w:ascii="游ゴシック Light" w:eastAsia="游ゴシック Light" w:hAnsi="游ゴシック Light" w:cs="游ゴシック Light"/>
      <w:color w:val="000000"/>
    </w:rPr>
  </w:style>
  <w:style w:type="paragraph" w:styleId="6">
    <w:name w:val="heading 6"/>
    <w:basedOn w:val="a"/>
    <w:next w:val="a"/>
    <w:pPr>
      <w:keepNext/>
      <w:keepLines/>
      <w:spacing w:before="80" w:after="40"/>
      <w:ind w:left="200"/>
      <w:outlineLvl w:val="5"/>
    </w:pPr>
    <w:rPr>
      <w:rFonts w:ascii="游ゴシック Light" w:eastAsia="游ゴシック Light" w:hAnsi="游ゴシック Light" w:cs="游ゴシック Light"/>
      <w:color w:val="000000"/>
    </w:rPr>
  </w:style>
  <w:style w:type="paragraph" w:styleId="7">
    <w:name w:val="heading 7"/>
    <w:basedOn w:val="a"/>
    <w:next w:val="a"/>
    <w:pPr>
      <w:keepNext/>
      <w:keepLines/>
      <w:spacing w:before="80" w:after="40"/>
      <w:ind w:left="300"/>
      <w:outlineLvl w:val="6"/>
    </w:pPr>
    <w:rPr>
      <w:rFonts w:ascii="游ゴシック Light" w:eastAsia="游ゴシック Light" w:hAnsi="游ゴシック Light" w:cs="游ゴシック Light"/>
      <w:color w:val="000000"/>
    </w:rPr>
  </w:style>
  <w:style w:type="paragraph" w:styleId="8">
    <w:name w:val="heading 8"/>
    <w:basedOn w:val="a"/>
    <w:next w:val="a"/>
    <w:pPr>
      <w:keepNext/>
      <w:keepLines/>
      <w:spacing w:before="80" w:after="40"/>
      <w:ind w:left="400"/>
      <w:outlineLvl w:val="7"/>
    </w:pPr>
    <w:rPr>
      <w:rFonts w:ascii="游ゴシック Light" w:eastAsia="游ゴシック Light" w:hAnsi="游ゴシック Light" w:cs="游ゴシック Light"/>
      <w:color w:val="000000"/>
    </w:rPr>
  </w:style>
  <w:style w:type="paragraph" w:styleId="9">
    <w:name w:val="heading 9"/>
    <w:basedOn w:val="a"/>
    <w:next w:val="a"/>
    <w:pPr>
      <w:keepNext/>
      <w:keepLines/>
      <w:spacing w:before="80" w:after="40"/>
      <w:ind w:left="500"/>
      <w:outlineLvl w:val="8"/>
    </w:pPr>
    <w:rPr>
      <w:rFonts w:ascii="游ゴシック Light" w:eastAsia="游ゴシック Light" w:hAnsi="游ゴシック Light" w:cs="游ゴシック Light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0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uiPriority w:val="99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Title"/>
    <w:basedOn w:val="a"/>
    <w:next w:val="a"/>
    <w:qFormat/>
    <w:pPr>
      <w:spacing w:after="80"/>
      <w:contextualSpacing/>
      <w:jc w:val="center"/>
    </w:pPr>
    <w:rPr>
      <w:rFonts w:ascii="游ゴシック Light" w:eastAsia="游ゴシック Light" w:hAnsi="游ゴシック Light" w:cs="游ゴシック Light"/>
      <w:sz w:val="56"/>
    </w:rPr>
  </w:style>
  <w:style w:type="paragraph" w:styleId="a8">
    <w:name w:val="Subtitle"/>
    <w:basedOn w:val="a"/>
    <w:next w:val="a"/>
    <w:qFormat/>
    <w:pPr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</w:rPr>
  </w:style>
  <w:style w:type="paragraph" w:styleId="a9">
    <w:name w:val="Quote"/>
    <w:basedOn w:val="a"/>
    <w:next w:val="a"/>
    <w:qFormat/>
    <w:pPr>
      <w:spacing w:before="160" w:after="160"/>
      <w:jc w:val="center"/>
    </w:pPr>
    <w:rPr>
      <w:i/>
      <w:color w:val="404040"/>
    </w:rPr>
  </w:style>
  <w:style w:type="paragraph" w:styleId="aa">
    <w:name w:val="List Paragraph"/>
    <w:basedOn w:val="a"/>
    <w:pPr>
      <w:ind w:left="720"/>
      <w:contextualSpacing/>
    </w:pPr>
  </w:style>
  <w:style w:type="character" w:styleId="21">
    <w:name w:val="Intense Emphasis"/>
    <w:basedOn w:val="a0"/>
    <w:qFormat/>
    <w:rPr>
      <w:i/>
      <w:color w:val="2F5496"/>
    </w:rPr>
  </w:style>
  <w:style w:type="paragraph" w:styleId="22">
    <w:name w:val="Intense Quote"/>
    <w:basedOn w:val="a"/>
    <w:next w:val="a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color w:val="2F5496"/>
    </w:rPr>
  </w:style>
  <w:style w:type="character" w:styleId="23">
    <w:name w:val="Intense Reference"/>
    <w:basedOn w:val="a0"/>
    <w:rPr>
      <w:b/>
      <w:color w:val="2F5496"/>
    </w:rPr>
  </w:style>
  <w:style w:type="character" w:styleId="ab">
    <w:name w:val="Emphasis"/>
    <w:basedOn w:val="a0"/>
    <w:qFormat/>
    <w:rPr>
      <w:i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ac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styleId="a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24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e">
    <w:name w:val="annotation text"/>
    <w:basedOn w:val="a"/>
    <w:link w:val="af"/>
    <w:uiPriority w:val="99"/>
    <w:pPr>
      <w:jc w:val="left"/>
    </w:pPr>
    <w:rPr>
      <w:rFonts w:ascii="Calibri" w:eastAsia="Calibri" w:hAnsi="Calibri" w:cs="Calibri"/>
      <w:sz w:val="20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f0">
    <w:name w:val="footnote text"/>
    <w:basedOn w:val="a"/>
    <w:rPr>
      <w:rFonts w:ascii="Calibri" w:eastAsia="Calibri" w:hAnsi="Calibri" w:cs="Calibri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TableList">
    <w:name w:val="Table List"/>
    <w:basedOn w:val="a"/>
    <w:pPr>
      <w:ind w:left="300" w:hanging="300"/>
      <w:jc w:val="left"/>
    </w:pPr>
    <w:rPr>
      <w:sz w:val="20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  <w:rPr>
      <w:shd w:val="clear" w:color="auto" w:fill="FFF9C9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styleId="af1">
    <w:name w:val="endnote text"/>
    <w:basedOn w:val="a"/>
    <w:rPr>
      <w:rFonts w:ascii="Calibri" w:eastAsia="Calibri" w:hAnsi="Calibri" w:cs="Calibri"/>
    </w:rPr>
  </w:style>
  <w:style w:type="character" w:customStyle="1" w:styleId="GrantID">
    <w:name w:val="Grant ID"/>
    <w:basedOn w:val="a0"/>
    <w:rPr>
      <w:shd w:val="clear" w:color="auto" w:fill="DDA5FF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styleId="af2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character" w:styleId="af3">
    <w:name w:val="Hyperlink"/>
    <w:basedOn w:val="a0"/>
    <w:rPr>
      <w:color w:val="0563C1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Heading">
    <w:name w:val="Heading:"/>
    <w:basedOn w:val="a0"/>
    <w:rPr>
      <w:color w:val="5B89C1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af4">
    <w:name w:val="line number"/>
    <w:basedOn w:val="a0"/>
    <w:uiPriority w:val="99"/>
    <w:rsid w:val="00D51E97"/>
  </w:style>
  <w:style w:type="paragraph" w:styleId="af5">
    <w:name w:val="Revision"/>
    <w:hidden/>
    <w:uiPriority w:val="99"/>
    <w:rsid w:val="00D51E97"/>
  </w:style>
  <w:style w:type="paragraph" w:styleId="af6">
    <w:name w:val="annotation subject"/>
    <w:basedOn w:val="ae"/>
    <w:next w:val="ae"/>
    <w:link w:val="af7"/>
    <w:uiPriority w:val="99"/>
    <w:rsid w:val="00D51E97"/>
    <w:pPr>
      <w:jc w:val="both"/>
    </w:pPr>
    <w:rPr>
      <w:rFonts w:asciiTheme="minorHAnsi" w:eastAsiaTheme="minorEastAsia" w:hAnsiTheme="minorHAnsi" w:cstheme="minorBidi"/>
      <w:b/>
      <w:bCs/>
      <w:szCs w:val="20"/>
    </w:rPr>
  </w:style>
  <w:style w:type="character" w:customStyle="1" w:styleId="af">
    <w:name w:val="コメント文字列 (文字)"/>
    <w:basedOn w:val="a0"/>
    <w:link w:val="ae"/>
    <w:rsid w:val="00D51E97"/>
    <w:rPr>
      <w:rFonts w:ascii="Calibri" w:eastAsia="Calibri" w:hAnsi="Calibri" w:cs="Calibri"/>
      <w:sz w:val="20"/>
    </w:rPr>
  </w:style>
  <w:style w:type="character" w:customStyle="1" w:styleId="af7">
    <w:name w:val="コメント内容 (文字)"/>
    <w:basedOn w:val="af"/>
    <w:link w:val="af6"/>
    <w:uiPriority w:val="99"/>
    <w:rsid w:val="00D51E97"/>
    <w:rPr>
      <w:rFonts w:ascii="Calibri" w:eastAsia="Calibri" w:hAnsi="Calibri" w:cs="Calibri"/>
      <w:b/>
      <w:bCs/>
      <w:sz w:val="20"/>
      <w:szCs w:val="20"/>
    </w:rPr>
  </w:style>
  <w:style w:type="character" w:styleId="af8">
    <w:name w:val="Unresolved Mention"/>
    <w:basedOn w:val="a0"/>
    <w:uiPriority w:val="99"/>
    <w:rsid w:val="00A85F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yujiro kuroda</cp:lastModifiedBy>
  <cp:revision>14</cp:revision>
  <dcterms:created xsi:type="dcterms:W3CDTF">2025-07-13T04:27:00Z</dcterms:created>
  <dcterms:modified xsi:type="dcterms:W3CDTF">2025-07-25T01:53:00Z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2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3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3</vt:lpwstr>
  </property>
  <property fmtid="{D5CDD505-2E9C-101B-9397-08002B2CF9AE}" pid="15" name="Merops input file path">
    <vt:lpwstr>crm_6a75091f-38df-4142-89db-b3626f43f00f.docx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MG-Session/On-20250709/I:9f19ea9b-dce2-4fb5-8573-c67ced12beae</vt:lpwstr>
  </property>
  <property fmtid="{D5CDD505-2E9C-101B-9397-08002B2CF9AE}" pid="18" name="Merops processed date">
    <vt:lpwstr>2025/07/09 04:42:51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merops/preset-v1/fp_bmc-public-health</vt:lpwstr>
  </property>
  <property fmtid="{D5CDD505-2E9C-101B-9397-08002B2CF9AE}" pid="24" name="Merops Standard Set modified">
    <vt:lpwstr/>
  </property>
  <property fmtid="{D5CDD505-2E9C-101B-9397-08002B2CF9AE}" pid="25" name="Merops tables count">
    <vt:lpwstr>4</vt:lpwstr>
  </property>
  <property fmtid="{D5CDD505-2E9C-101B-9397-08002B2CF9AE}" pid="26" name="Merops word count">
    <vt:lpwstr>707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/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