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AC3EF" w14:textId="194D5206" w:rsidR="001F58B9" w:rsidRDefault="00960338">
      <w:pPr>
        <w:spacing w:line="480" w:lineRule="auto"/>
        <w:rPr>
          <w:rFonts w:ascii="Times New Roman" w:eastAsia="Times New Roman" w:hAnsi="Times New Roman" w:cs="Times New Roman"/>
          <w:sz w:val="22"/>
        </w:rPr>
      </w:pPr>
      <w:bookmarkStart w:id="0" w:name="_Hlk204052972"/>
      <w:r>
        <w:rPr>
          <w:rFonts w:ascii="Times New Roman" w:eastAsia="Times New Roman" w:hAnsi="Times New Roman" w:cs="Times New Roman"/>
          <w:sz w:val="22"/>
        </w:rPr>
        <w:t>Additional file 1</w:t>
      </w:r>
      <w:r w:rsidR="00000000">
        <w:rPr>
          <w:rFonts w:ascii="Times New Roman" w:eastAsia="Times New Roman" w:hAnsi="Times New Roman" w:cs="Times New Roman"/>
          <w:sz w:val="22"/>
        </w:rPr>
        <w:t>. Multinomial logistic regression results of factors associated with adoption intention</w:t>
      </w:r>
    </w:p>
    <w:tbl>
      <w:tblPr>
        <w:tblW w:w="978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065"/>
        <w:gridCol w:w="1687"/>
        <w:gridCol w:w="1125"/>
        <w:gridCol w:w="1770"/>
        <w:gridCol w:w="1134"/>
      </w:tblGrid>
      <w:tr w:rsidR="00B57504" w14:paraId="77DC08BC" w14:textId="77777777">
        <w:trPr>
          <w:trHeight w:val="1267"/>
        </w:trPr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bookmarkEnd w:id="0"/>
          <w:p w14:paraId="3F8B8496" w14:textId="77777777" w:rsidR="001F58B9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Yu Gothic" w:eastAsia="Yu Gothic" w:hAnsi="Yu Gothic" w:cs="Yu Gothic"/>
                <w:color w:val="00000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6A4362" w14:textId="77777777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Active vs. Non-Adoption (RRR, 95% CI)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A7FF17" w14:textId="77777777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2"/>
              </w:rPr>
              <w:t>p</w:t>
            </w:r>
            <w:r>
              <w:rPr>
                <w:rFonts w:ascii="Times New Roman" w:eastAsia="Times New Roman" w:hAnsi="Times New Roman" w:cs="Times New Roman"/>
                <w:sz w:val="22"/>
              </w:rPr>
              <w:t>-value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F1CBD3" w14:textId="77777777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Consideration vs. Non-Adoption (RRR, 95% CI)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255FE1" w14:textId="77777777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sz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2"/>
              </w:rPr>
              <w:t>p</w:t>
            </w:r>
            <w:r>
              <w:rPr>
                <w:rFonts w:ascii="Times New Roman" w:eastAsia="Times New Roman" w:hAnsi="Times New Roman" w:cs="Times New Roman"/>
                <w:sz w:val="22"/>
              </w:rPr>
              <w:t>-value</w:t>
            </w:r>
          </w:p>
        </w:tc>
      </w:tr>
      <w:tr w:rsidR="00B57504" w14:paraId="5B21922A" w14:textId="77777777">
        <w:trPr>
          <w:trHeight w:val="396"/>
        </w:trPr>
        <w:tc>
          <w:tcPr>
            <w:tcW w:w="4065" w:type="dxa"/>
            <w:tcBorders>
              <w:left w:val="nil"/>
              <w:right w:val="nil"/>
            </w:tcBorders>
            <w:vAlign w:val="center"/>
          </w:tcPr>
          <w:p w14:paraId="4F4817DF" w14:textId="77777777" w:rsidR="001F58B9" w:rsidRDefault="00000000">
            <w:pPr>
              <w:widowControl/>
              <w:spacing w:line="480" w:lineRule="auto"/>
              <w:ind w:firstLine="22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Prior experience with implementing a multidomain dementia prevention program</w:t>
            </w:r>
          </w:p>
        </w:tc>
        <w:tc>
          <w:tcPr>
            <w:tcW w:w="1687" w:type="dxa"/>
            <w:tcBorders>
              <w:left w:val="nil"/>
              <w:right w:val="nil"/>
            </w:tcBorders>
            <w:vAlign w:val="center"/>
          </w:tcPr>
          <w:p w14:paraId="1BC89E5B" w14:textId="73E53243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1.4 (1.2-1.</w:t>
            </w:r>
            <w:r w:rsidRPr="005D6602">
              <w:rPr>
                <w:rFonts w:ascii="Times New Roman" w:eastAsia="Times New Roman" w:hAnsi="Times New Roman" w:cs="Times New Roman"/>
                <w:color w:val="EE0000"/>
                <w:sz w:val="22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1125" w:type="dxa"/>
            <w:tcBorders>
              <w:left w:val="nil"/>
              <w:right w:val="nil"/>
            </w:tcBorders>
            <w:vAlign w:val="center"/>
          </w:tcPr>
          <w:p w14:paraId="7A6FC273" w14:textId="77777777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&lt;.001</w:t>
            </w:r>
          </w:p>
        </w:tc>
        <w:tc>
          <w:tcPr>
            <w:tcW w:w="1770" w:type="dxa"/>
            <w:tcBorders>
              <w:left w:val="nil"/>
              <w:right w:val="nil"/>
            </w:tcBorders>
            <w:vAlign w:val="center"/>
          </w:tcPr>
          <w:p w14:paraId="2C83BB3A" w14:textId="6B652EA6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1.1 (1.0-1.</w:t>
            </w:r>
            <w:r w:rsidRPr="005D6602">
              <w:rPr>
                <w:rFonts w:ascii="Times New Roman" w:eastAsia="Times New Roman" w:hAnsi="Times New Roman" w:cs="Times New Roman"/>
                <w:color w:val="EE0000"/>
                <w:sz w:val="22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54B266E0" w14:textId="77777777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0.028</w:t>
            </w:r>
          </w:p>
        </w:tc>
      </w:tr>
      <w:tr w:rsidR="00B57504" w14:paraId="2C25820D" w14:textId="77777777">
        <w:trPr>
          <w:trHeight w:val="396"/>
        </w:trPr>
        <w:tc>
          <w:tcPr>
            <w:tcW w:w="4065" w:type="dxa"/>
            <w:tcBorders>
              <w:left w:val="nil"/>
              <w:right w:val="nil"/>
            </w:tcBorders>
            <w:vAlign w:val="center"/>
          </w:tcPr>
          <w:p w14:paraId="31F13997" w14:textId="77777777" w:rsidR="001F58B9" w:rsidRDefault="00000000">
            <w:pPr>
              <w:widowControl/>
              <w:spacing w:line="480" w:lineRule="auto"/>
              <w:ind w:firstLine="22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Awareness of the WHO’s recommended dementia prevention items</w:t>
            </w:r>
          </w:p>
        </w:tc>
        <w:tc>
          <w:tcPr>
            <w:tcW w:w="1687" w:type="dxa"/>
            <w:tcBorders>
              <w:left w:val="nil"/>
              <w:right w:val="nil"/>
            </w:tcBorders>
            <w:vAlign w:val="center"/>
          </w:tcPr>
          <w:p w14:paraId="0E3B11A7" w14:textId="579FA977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1.4 (1.0-</w:t>
            </w:r>
            <w:r w:rsidR="005D6602">
              <w:rPr>
                <w:rFonts w:ascii="Times New Roman" w:eastAsia="Times New Roman" w:hAnsi="Times New Roman" w:cs="Times New Roman"/>
                <w:color w:val="000000"/>
                <w:sz w:val="22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="005D6602">
              <w:rPr>
                <w:rFonts w:ascii="Times New Roman" w:eastAsia="Times New Roman" w:hAnsi="Times New Roman" w:cs="Times New Roman"/>
                <w:color w:val="000000"/>
                <w:sz w:val="22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1125" w:type="dxa"/>
            <w:tcBorders>
              <w:left w:val="nil"/>
              <w:right w:val="nil"/>
            </w:tcBorders>
            <w:vAlign w:val="center"/>
          </w:tcPr>
          <w:p w14:paraId="0B20E533" w14:textId="77777777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&lt;.001</w:t>
            </w:r>
          </w:p>
        </w:tc>
        <w:tc>
          <w:tcPr>
            <w:tcW w:w="1770" w:type="dxa"/>
            <w:tcBorders>
              <w:left w:val="nil"/>
              <w:right w:val="nil"/>
            </w:tcBorders>
            <w:vAlign w:val="center"/>
          </w:tcPr>
          <w:p w14:paraId="08058B7B" w14:textId="1B321302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1.2 (1.0-1.</w:t>
            </w:r>
            <w:r w:rsidRPr="005D6602">
              <w:rPr>
                <w:rFonts w:ascii="Times New Roman" w:eastAsia="Times New Roman" w:hAnsi="Times New Roman" w:cs="Times New Roman"/>
                <w:color w:val="EE0000"/>
                <w:sz w:val="22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57C498C4" w14:textId="77777777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0.048</w:t>
            </w:r>
          </w:p>
        </w:tc>
      </w:tr>
      <w:tr w:rsidR="00B57504" w14:paraId="77B7CF45" w14:textId="77777777">
        <w:trPr>
          <w:trHeight w:val="396"/>
        </w:trPr>
        <w:tc>
          <w:tcPr>
            <w:tcW w:w="4065" w:type="dxa"/>
            <w:tcBorders>
              <w:left w:val="nil"/>
              <w:right w:val="nil"/>
            </w:tcBorders>
            <w:vAlign w:val="center"/>
          </w:tcPr>
          <w:p w14:paraId="35FB0750" w14:textId="77777777" w:rsidR="001F58B9" w:rsidRDefault="00000000">
            <w:pPr>
              <w:widowControl/>
              <w:spacing w:line="480" w:lineRule="auto"/>
              <w:ind w:firstLine="22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Number of WHO-recommended dementia prevention items implemented (per item) </w:t>
            </w:r>
          </w:p>
        </w:tc>
        <w:tc>
          <w:tcPr>
            <w:tcW w:w="1687" w:type="dxa"/>
            <w:tcBorders>
              <w:left w:val="nil"/>
              <w:right w:val="nil"/>
            </w:tcBorders>
            <w:vAlign w:val="center"/>
          </w:tcPr>
          <w:p w14:paraId="7A5452B0" w14:textId="67265946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1.</w:t>
            </w:r>
            <w:r w:rsidRPr="005D6602">
              <w:rPr>
                <w:rFonts w:ascii="Times New Roman" w:eastAsia="Times New Roman" w:hAnsi="Times New Roman" w:cs="Times New Roman"/>
                <w:color w:val="EE0000"/>
                <w:sz w:val="22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(1.</w:t>
            </w:r>
            <w:r w:rsidRPr="005D6602">
              <w:rPr>
                <w:rFonts w:ascii="Times New Roman" w:eastAsia="Times New Roman" w:hAnsi="Times New Roman" w:cs="Times New Roman"/>
                <w:color w:val="EE0000"/>
                <w:sz w:val="22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-1.3)</w:t>
            </w:r>
          </w:p>
        </w:tc>
        <w:tc>
          <w:tcPr>
            <w:tcW w:w="1125" w:type="dxa"/>
            <w:tcBorders>
              <w:left w:val="nil"/>
              <w:right w:val="nil"/>
            </w:tcBorders>
            <w:vAlign w:val="center"/>
          </w:tcPr>
          <w:p w14:paraId="0FF526D9" w14:textId="77777777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&lt;.001</w:t>
            </w:r>
          </w:p>
        </w:tc>
        <w:tc>
          <w:tcPr>
            <w:tcW w:w="1770" w:type="dxa"/>
            <w:tcBorders>
              <w:left w:val="nil"/>
              <w:right w:val="nil"/>
            </w:tcBorders>
            <w:vAlign w:val="center"/>
          </w:tcPr>
          <w:p w14:paraId="4ADFFE84" w14:textId="06872543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1.1 (1.0-1.2)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E33E3D3" w14:textId="77777777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0.012</w:t>
            </w:r>
          </w:p>
        </w:tc>
      </w:tr>
      <w:tr w:rsidR="00B57504" w14:paraId="66FB0922" w14:textId="77777777">
        <w:trPr>
          <w:trHeight w:val="396"/>
        </w:trPr>
        <w:tc>
          <w:tcPr>
            <w:tcW w:w="4065" w:type="dxa"/>
            <w:tcBorders>
              <w:left w:val="nil"/>
              <w:right w:val="nil"/>
            </w:tcBorders>
            <w:vAlign w:val="center"/>
          </w:tcPr>
          <w:p w14:paraId="61977E0E" w14:textId="77777777" w:rsidR="001F58B9" w:rsidRDefault="00000000">
            <w:pPr>
              <w:widowControl/>
              <w:spacing w:line="480" w:lineRule="auto"/>
              <w:ind w:firstLine="22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Implementation of measures to improve residents’ health literacy</w:t>
            </w:r>
          </w:p>
        </w:tc>
        <w:tc>
          <w:tcPr>
            <w:tcW w:w="1687" w:type="dxa"/>
            <w:tcBorders>
              <w:left w:val="nil"/>
              <w:right w:val="nil"/>
            </w:tcBorders>
            <w:vAlign w:val="center"/>
          </w:tcPr>
          <w:p w14:paraId="0BCBBFD2" w14:textId="7ABFB0EF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2.</w:t>
            </w:r>
            <w:r w:rsidRPr="005D6602">
              <w:rPr>
                <w:rFonts w:ascii="Times New Roman" w:eastAsia="Times New Roman" w:hAnsi="Times New Roman" w:cs="Times New Roman"/>
                <w:color w:val="EE0000"/>
                <w:sz w:val="22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(1.</w:t>
            </w:r>
            <w:r w:rsidRPr="005D6602">
              <w:rPr>
                <w:rFonts w:ascii="Times New Roman" w:eastAsia="Times New Roman" w:hAnsi="Times New Roman" w:cs="Times New Roman"/>
                <w:color w:val="EE0000"/>
                <w:sz w:val="22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-6.</w:t>
            </w:r>
            <w:r w:rsidRPr="005D6602">
              <w:rPr>
                <w:rFonts w:ascii="Times New Roman" w:eastAsia="Times New Roman" w:hAnsi="Times New Roman" w:cs="Times New Roman"/>
                <w:color w:val="EE0000"/>
                <w:sz w:val="22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1125" w:type="dxa"/>
            <w:tcBorders>
              <w:left w:val="nil"/>
              <w:right w:val="nil"/>
            </w:tcBorders>
            <w:vAlign w:val="center"/>
          </w:tcPr>
          <w:p w14:paraId="228AA1E0" w14:textId="77777777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0.019</w:t>
            </w:r>
          </w:p>
        </w:tc>
        <w:tc>
          <w:tcPr>
            <w:tcW w:w="1770" w:type="dxa"/>
            <w:tcBorders>
              <w:left w:val="nil"/>
              <w:right w:val="nil"/>
            </w:tcBorders>
            <w:vAlign w:val="center"/>
          </w:tcPr>
          <w:p w14:paraId="3B70C5E6" w14:textId="336419E8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1.4 (0.8-2.5)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064D2E2" w14:textId="77777777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0.212</w:t>
            </w:r>
          </w:p>
        </w:tc>
      </w:tr>
      <w:tr w:rsidR="00B57504" w14:paraId="2A4D7185" w14:textId="77777777">
        <w:trPr>
          <w:trHeight w:val="396"/>
        </w:trPr>
        <w:tc>
          <w:tcPr>
            <w:tcW w:w="4065" w:type="dxa"/>
            <w:tcBorders>
              <w:left w:val="nil"/>
              <w:right w:val="nil"/>
            </w:tcBorders>
            <w:vAlign w:val="center"/>
          </w:tcPr>
          <w:p w14:paraId="479A3FE2" w14:textId="77777777" w:rsidR="001F58B9" w:rsidRDefault="00000000">
            <w:pPr>
              <w:widowControl/>
              <w:spacing w:line="480" w:lineRule="auto"/>
              <w:ind w:firstLine="22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Development of infrastructure, intersectoral collaboration, and cultural foundation</w:t>
            </w:r>
          </w:p>
        </w:tc>
        <w:tc>
          <w:tcPr>
            <w:tcW w:w="1687" w:type="dxa"/>
            <w:tcBorders>
              <w:left w:val="nil"/>
              <w:right w:val="nil"/>
            </w:tcBorders>
            <w:vAlign w:val="center"/>
          </w:tcPr>
          <w:p w14:paraId="0391957A" w14:textId="552B74F6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0.6 (0.</w:t>
            </w:r>
            <w:r w:rsidRPr="005D6602">
              <w:rPr>
                <w:rFonts w:ascii="Times New Roman" w:eastAsia="Times New Roman" w:hAnsi="Times New Roman" w:cs="Times New Roman"/>
                <w:color w:val="EE0000"/>
                <w:sz w:val="22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-1.4)</w:t>
            </w:r>
          </w:p>
        </w:tc>
        <w:tc>
          <w:tcPr>
            <w:tcW w:w="1125" w:type="dxa"/>
            <w:tcBorders>
              <w:left w:val="nil"/>
              <w:right w:val="nil"/>
            </w:tcBorders>
            <w:vAlign w:val="center"/>
          </w:tcPr>
          <w:p w14:paraId="03200AAB" w14:textId="77777777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0.255</w:t>
            </w:r>
          </w:p>
        </w:tc>
        <w:tc>
          <w:tcPr>
            <w:tcW w:w="1770" w:type="dxa"/>
            <w:tcBorders>
              <w:left w:val="nil"/>
              <w:right w:val="nil"/>
            </w:tcBorders>
            <w:vAlign w:val="center"/>
          </w:tcPr>
          <w:p w14:paraId="7F45EF13" w14:textId="169AC818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0.</w:t>
            </w:r>
            <w:r w:rsidRPr="005D6602">
              <w:rPr>
                <w:rFonts w:ascii="Times New Roman" w:eastAsia="Times New Roman" w:hAnsi="Times New Roman" w:cs="Times New Roman"/>
                <w:color w:val="EE0000"/>
                <w:sz w:val="22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(0.</w:t>
            </w:r>
            <w:r w:rsidRPr="005D6602">
              <w:rPr>
                <w:rFonts w:ascii="Times New Roman" w:eastAsia="Times New Roman" w:hAnsi="Times New Roman" w:cs="Times New Roman"/>
                <w:color w:val="EE0000"/>
                <w:sz w:val="22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-1.</w:t>
            </w:r>
            <w:r w:rsidRPr="005D6602">
              <w:rPr>
                <w:rFonts w:ascii="Times New Roman" w:eastAsia="Times New Roman" w:hAnsi="Times New Roman" w:cs="Times New Roman"/>
                <w:color w:val="EE0000"/>
                <w:sz w:val="22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38F1AB82" w14:textId="77777777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0.552</w:t>
            </w:r>
          </w:p>
        </w:tc>
      </w:tr>
      <w:tr w:rsidR="00B57504" w14:paraId="3F10F8DB" w14:textId="77777777">
        <w:trPr>
          <w:trHeight w:val="396"/>
        </w:trPr>
        <w:tc>
          <w:tcPr>
            <w:tcW w:w="4065" w:type="dxa"/>
            <w:tcBorders>
              <w:left w:val="nil"/>
              <w:right w:val="nil"/>
            </w:tcBorders>
            <w:vAlign w:val="center"/>
          </w:tcPr>
          <w:p w14:paraId="7808C63E" w14:textId="77777777" w:rsidR="001F58B9" w:rsidRDefault="00000000">
            <w:pPr>
              <w:widowControl/>
              <w:spacing w:line="480" w:lineRule="auto"/>
              <w:ind w:firstLine="22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Availability of follow-up or post-program opportunities for participants</w:t>
            </w:r>
          </w:p>
        </w:tc>
        <w:tc>
          <w:tcPr>
            <w:tcW w:w="1687" w:type="dxa"/>
            <w:tcBorders>
              <w:left w:val="nil"/>
              <w:right w:val="nil"/>
            </w:tcBorders>
            <w:vAlign w:val="center"/>
          </w:tcPr>
          <w:p w14:paraId="03AA2AF1" w14:textId="30F72B5D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1.</w:t>
            </w:r>
            <w:r w:rsidRPr="005D6602">
              <w:rPr>
                <w:rFonts w:ascii="Times New Roman" w:eastAsia="Times New Roman" w:hAnsi="Times New Roman" w:cs="Times New Roman"/>
                <w:color w:val="EE0000"/>
                <w:sz w:val="22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(0.</w:t>
            </w:r>
            <w:r w:rsidRPr="005D6602">
              <w:rPr>
                <w:rFonts w:ascii="Times New Roman" w:eastAsia="Times New Roman" w:hAnsi="Times New Roman" w:cs="Times New Roman"/>
                <w:color w:val="EE0000"/>
                <w:sz w:val="22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-</w:t>
            </w:r>
            <w:r w:rsidRPr="005D6602">
              <w:rPr>
                <w:rFonts w:ascii="Times New Roman" w:eastAsia="Times New Roman" w:hAnsi="Times New Roman" w:cs="Times New Roman"/>
                <w:color w:val="EE0000"/>
                <w:sz w:val="22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5D6602">
              <w:rPr>
                <w:rFonts w:ascii="Times New Roman" w:eastAsia="Times New Roman" w:hAnsi="Times New Roman" w:cs="Times New Roman"/>
                <w:color w:val="EE0000"/>
                <w:sz w:val="22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1125" w:type="dxa"/>
            <w:tcBorders>
              <w:left w:val="nil"/>
              <w:right w:val="nil"/>
            </w:tcBorders>
            <w:vAlign w:val="center"/>
          </w:tcPr>
          <w:p w14:paraId="323E211D" w14:textId="77777777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0.345</w:t>
            </w:r>
          </w:p>
        </w:tc>
        <w:tc>
          <w:tcPr>
            <w:tcW w:w="1770" w:type="dxa"/>
            <w:tcBorders>
              <w:left w:val="nil"/>
              <w:right w:val="nil"/>
            </w:tcBorders>
            <w:vAlign w:val="center"/>
          </w:tcPr>
          <w:p w14:paraId="14892CE8" w14:textId="23352E12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0.7 (0.5-</w:t>
            </w:r>
            <w:r w:rsidRPr="005D6602">
              <w:rPr>
                <w:rFonts w:ascii="Times New Roman" w:eastAsia="Times New Roman" w:hAnsi="Times New Roman" w:cs="Times New Roman"/>
                <w:color w:val="EE0000"/>
                <w:sz w:val="22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5D6602">
              <w:rPr>
                <w:rFonts w:ascii="Times New Roman" w:eastAsia="Times New Roman" w:hAnsi="Times New Roman" w:cs="Times New Roman"/>
                <w:color w:val="EE0000"/>
                <w:sz w:val="22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6D8C6BD0" w14:textId="77777777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0.048</w:t>
            </w:r>
          </w:p>
        </w:tc>
      </w:tr>
      <w:tr w:rsidR="00B57504" w14:paraId="0CB0F079" w14:textId="77777777">
        <w:trPr>
          <w:trHeight w:val="396"/>
        </w:trPr>
        <w:tc>
          <w:tcPr>
            <w:tcW w:w="4065" w:type="dxa"/>
            <w:tcBorders>
              <w:left w:val="nil"/>
              <w:right w:val="nil"/>
            </w:tcBorders>
            <w:vAlign w:val="center"/>
          </w:tcPr>
          <w:p w14:paraId="0927D1CA" w14:textId="77777777" w:rsidR="001F58B9" w:rsidRDefault="00000000">
            <w:pPr>
              <w:widowControl/>
              <w:spacing w:line="480" w:lineRule="auto"/>
              <w:ind w:firstLine="22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Level of coordination across departments within the municipal government</w:t>
            </w:r>
          </w:p>
        </w:tc>
        <w:tc>
          <w:tcPr>
            <w:tcW w:w="1687" w:type="dxa"/>
            <w:tcBorders>
              <w:left w:val="nil"/>
              <w:right w:val="nil"/>
            </w:tcBorders>
            <w:vAlign w:val="center"/>
          </w:tcPr>
          <w:p w14:paraId="57A7D8E5" w14:textId="648C4E4D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5D6602">
              <w:rPr>
                <w:rFonts w:ascii="Times New Roman" w:eastAsia="Times New Roman" w:hAnsi="Times New Roman" w:cs="Times New Roman"/>
                <w:color w:val="EE0000"/>
                <w:sz w:val="22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.</w:t>
            </w:r>
            <w:r w:rsidRPr="005D6602">
              <w:rPr>
                <w:rFonts w:ascii="Times New Roman" w:eastAsia="Times New Roman" w:hAnsi="Times New Roman" w:cs="Times New Roman"/>
                <w:color w:val="EE0000"/>
                <w:sz w:val="22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(0.</w:t>
            </w:r>
            <w:r w:rsidRPr="005D6602">
              <w:rPr>
                <w:rFonts w:ascii="Times New Roman" w:eastAsia="Times New Roman" w:hAnsi="Times New Roman" w:cs="Times New Roman"/>
                <w:color w:val="EE0000"/>
                <w:sz w:val="22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-1.6)</w:t>
            </w:r>
          </w:p>
        </w:tc>
        <w:tc>
          <w:tcPr>
            <w:tcW w:w="1125" w:type="dxa"/>
            <w:tcBorders>
              <w:left w:val="nil"/>
              <w:right w:val="nil"/>
            </w:tcBorders>
            <w:vAlign w:val="center"/>
          </w:tcPr>
          <w:p w14:paraId="5D38B0F7" w14:textId="77777777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0.883</w:t>
            </w:r>
          </w:p>
        </w:tc>
        <w:tc>
          <w:tcPr>
            <w:tcW w:w="1770" w:type="dxa"/>
            <w:tcBorders>
              <w:left w:val="nil"/>
              <w:right w:val="nil"/>
            </w:tcBorders>
            <w:vAlign w:val="center"/>
          </w:tcPr>
          <w:p w14:paraId="62E9E386" w14:textId="346B8709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1.</w:t>
            </w:r>
            <w:r w:rsidRPr="005D6602">
              <w:rPr>
                <w:rFonts w:ascii="Times New Roman" w:eastAsia="Times New Roman" w:hAnsi="Times New Roman" w:cs="Times New Roman"/>
                <w:color w:val="EE0000"/>
                <w:sz w:val="22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(0.</w:t>
            </w:r>
            <w:r w:rsidRPr="005D6602">
              <w:rPr>
                <w:rFonts w:ascii="Times New Roman" w:eastAsia="Times New Roman" w:hAnsi="Times New Roman" w:cs="Times New Roman"/>
                <w:color w:val="EE0000"/>
                <w:sz w:val="22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-1.</w:t>
            </w:r>
            <w:r w:rsidRPr="005D6602">
              <w:rPr>
                <w:rFonts w:ascii="Times New Roman" w:eastAsia="Times New Roman" w:hAnsi="Times New Roman" w:cs="Times New Roman"/>
                <w:color w:val="EE0000"/>
                <w:sz w:val="22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41CA65D2" w14:textId="77777777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0.716</w:t>
            </w:r>
          </w:p>
        </w:tc>
      </w:tr>
      <w:tr w:rsidR="00B57504" w14:paraId="709D4001" w14:textId="77777777">
        <w:trPr>
          <w:trHeight w:val="396"/>
        </w:trPr>
        <w:tc>
          <w:tcPr>
            <w:tcW w:w="406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061ADC" w14:textId="77777777" w:rsidR="001F58B9" w:rsidRDefault="00000000">
            <w:pPr>
              <w:widowControl/>
              <w:spacing w:line="480" w:lineRule="auto"/>
              <w:ind w:firstLine="22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Degree of community and resident engagement in program planning or implementation</w:t>
            </w:r>
          </w:p>
        </w:tc>
        <w:tc>
          <w:tcPr>
            <w:tcW w:w="168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416003" w14:textId="2FE36476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1.</w:t>
            </w:r>
            <w:r w:rsidRPr="005D6602">
              <w:rPr>
                <w:rFonts w:ascii="Times New Roman" w:eastAsia="Times New Roman" w:hAnsi="Times New Roman" w:cs="Times New Roman"/>
                <w:color w:val="EE0000"/>
                <w:sz w:val="22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(0.5-2.</w:t>
            </w:r>
            <w:r w:rsidRPr="005D6602">
              <w:rPr>
                <w:rFonts w:ascii="Times New Roman" w:eastAsia="Times New Roman" w:hAnsi="Times New Roman" w:cs="Times New Roman"/>
                <w:color w:val="EE0000"/>
                <w:sz w:val="22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11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0D10C1" w14:textId="77777777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0.822</w:t>
            </w:r>
          </w:p>
        </w:tc>
        <w:tc>
          <w:tcPr>
            <w:tcW w:w="17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48A8C2" w14:textId="46F1F0FD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1.</w:t>
            </w:r>
            <w:r w:rsidRPr="005D6602">
              <w:rPr>
                <w:rFonts w:ascii="Times New Roman" w:eastAsia="Times New Roman" w:hAnsi="Times New Roman" w:cs="Times New Roman"/>
                <w:color w:val="EE0000"/>
                <w:sz w:val="22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(0.7-1.</w:t>
            </w:r>
            <w:r w:rsidRPr="005D6602">
              <w:rPr>
                <w:rFonts w:ascii="Times New Roman" w:eastAsia="Times New Roman" w:hAnsi="Times New Roman" w:cs="Times New Roman"/>
                <w:color w:val="EE0000"/>
                <w:sz w:val="22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17F02DA" w14:textId="77777777" w:rsidR="001F58B9" w:rsidRDefault="0000000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0.582</w:t>
            </w:r>
          </w:p>
        </w:tc>
      </w:tr>
      <w:tr w:rsidR="00B57504" w14:paraId="271F1098" w14:textId="77777777">
        <w:trPr>
          <w:trHeight w:val="396"/>
        </w:trPr>
        <w:tc>
          <w:tcPr>
            <w:tcW w:w="9781" w:type="dxa"/>
            <w:gridSpan w:val="5"/>
            <w:tcBorders>
              <w:left w:val="nil"/>
              <w:right w:val="nil"/>
            </w:tcBorders>
          </w:tcPr>
          <w:p w14:paraId="5BAD6C42" w14:textId="77777777" w:rsidR="001F58B9" w:rsidRDefault="00000000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RRR: Relative risk ratio; CI: confidence interval. Estimates were derived using multinomial logistic regression models. All models were adjusted for municipality population size, aging rate, number of staff in </w:t>
            </w:r>
            <w:r>
              <w:rPr>
                <w:rFonts w:ascii="Times New Roman" w:eastAsia="Times New Roman" w:hAnsi="Times New Roman" w:cs="Times New Roman"/>
                <w:sz w:val="22"/>
              </w:rPr>
              <w:lastRenderedPageBreak/>
              <w:t>charge of dementia-related policies, and number of community general support centers. For the variable "Number of WHO-recommended dementia prevention items implemented," the RRR represents the change associated with each additional item implemented.</w:t>
            </w:r>
          </w:p>
        </w:tc>
      </w:tr>
    </w:tbl>
    <w:p w14:paraId="6DCC7148" w14:textId="77777777" w:rsidR="001F58B9" w:rsidRDefault="001F58B9">
      <w:pPr>
        <w:spacing w:line="480" w:lineRule="auto"/>
        <w:rPr>
          <w:rFonts w:ascii="Times New Roman" w:eastAsia="Times New Roman" w:hAnsi="Times New Roman" w:cs="Times New Roman"/>
          <w:sz w:val="24"/>
        </w:rPr>
      </w:pPr>
    </w:p>
    <w:p w14:paraId="5722BDBB" w14:textId="77777777" w:rsidR="001F58B9" w:rsidRDefault="001F58B9">
      <w:pPr>
        <w:widowControl/>
        <w:spacing w:line="480" w:lineRule="auto"/>
        <w:jc w:val="left"/>
        <w:rPr>
          <w:rFonts w:ascii="Times New Roman" w:eastAsia="Times New Roman" w:hAnsi="Times New Roman" w:cs="Times New Roman"/>
          <w:sz w:val="24"/>
        </w:rPr>
      </w:pPr>
    </w:p>
    <w:p w14:paraId="6AD5A265" w14:textId="77777777" w:rsidR="001F58B9" w:rsidRDefault="001F58B9">
      <w:pPr>
        <w:spacing w:line="480" w:lineRule="auto"/>
        <w:rPr>
          <w:rFonts w:ascii="Times New Roman" w:eastAsia="Times New Roman" w:hAnsi="Times New Roman" w:cs="Times New Roman"/>
          <w:sz w:val="24"/>
        </w:rPr>
      </w:pPr>
    </w:p>
    <w:sectPr w:rsidR="001F58B9">
      <w:type w:val="continuous"/>
      <w:pgSz w:w="12240" w:h="15840"/>
      <w:pgMar w:top="1440" w:right="1440" w:bottom="1440" w:left="1440" w:header="720" w:footer="720" w:gutter="0"/>
      <w:lnNumType w:countBy="1" w:restart="continuous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1AA9"/>
    <w:multiLevelType w:val="multilevel"/>
    <w:tmpl w:val="EA845B78"/>
    <w:lvl w:ilvl="0">
      <w:start w:val="1"/>
      <w:numFmt w:val="decimal"/>
      <w:lvlText w:val=""/>
      <w:lvlJc w:val="left"/>
      <w:pPr>
        <w:ind w:left="440" w:hanging="440"/>
      </w:pPr>
      <w:rPr>
        <w:rFonts w:ascii="Symbol" w:eastAsia="Symbol" w:hAnsi="Symbol" w:cs="Symbol"/>
        <w:color w:val="auto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" w15:restartNumberingAfterBreak="0">
    <w:nsid w:val="10CB6063"/>
    <w:multiLevelType w:val="hybridMultilevel"/>
    <w:tmpl w:val="FD64A0D8"/>
    <w:lvl w:ilvl="0" w:tplc="2C2E5A26">
      <w:start w:val="1"/>
      <w:numFmt w:val="decimal"/>
      <w:lvlText w:val="%1)"/>
      <w:lvlJc w:val="left"/>
      <w:pPr>
        <w:ind w:left="1080" w:hanging="360"/>
      </w:pPr>
    </w:lvl>
    <w:lvl w:ilvl="1" w:tplc="0108EE9A">
      <w:start w:val="1"/>
      <w:numFmt w:val="decimal"/>
      <w:lvlText w:val="%2)"/>
      <w:lvlJc w:val="left"/>
      <w:pPr>
        <w:ind w:left="1080" w:hanging="360"/>
      </w:pPr>
    </w:lvl>
    <w:lvl w:ilvl="2" w:tplc="24A899E0">
      <w:start w:val="1"/>
      <w:numFmt w:val="decimal"/>
      <w:lvlText w:val="%3)"/>
      <w:lvlJc w:val="left"/>
      <w:pPr>
        <w:ind w:left="1080" w:hanging="360"/>
      </w:pPr>
    </w:lvl>
    <w:lvl w:ilvl="3" w:tplc="A9D4C956">
      <w:start w:val="1"/>
      <w:numFmt w:val="decimal"/>
      <w:lvlText w:val="%4)"/>
      <w:lvlJc w:val="left"/>
      <w:pPr>
        <w:ind w:left="1080" w:hanging="360"/>
      </w:pPr>
    </w:lvl>
    <w:lvl w:ilvl="4" w:tplc="5B0A27E4">
      <w:start w:val="1"/>
      <w:numFmt w:val="decimal"/>
      <w:lvlText w:val="%5)"/>
      <w:lvlJc w:val="left"/>
      <w:pPr>
        <w:ind w:left="1080" w:hanging="360"/>
      </w:pPr>
    </w:lvl>
    <w:lvl w:ilvl="5" w:tplc="B2420A82">
      <w:start w:val="1"/>
      <w:numFmt w:val="decimal"/>
      <w:lvlText w:val="%6)"/>
      <w:lvlJc w:val="left"/>
      <w:pPr>
        <w:ind w:left="1080" w:hanging="360"/>
      </w:pPr>
    </w:lvl>
    <w:lvl w:ilvl="6" w:tplc="73948DCA">
      <w:start w:val="1"/>
      <w:numFmt w:val="decimal"/>
      <w:lvlText w:val="%7)"/>
      <w:lvlJc w:val="left"/>
      <w:pPr>
        <w:ind w:left="1080" w:hanging="360"/>
      </w:pPr>
    </w:lvl>
    <w:lvl w:ilvl="7" w:tplc="1C58C996">
      <w:start w:val="1"/>
      <w:numFmt w:val="decimal"/>
      <w:lvlText w:val="%8)"/>
      <w:lvlJc w:val="left"/>
      <w:pPr>
        <w:ind w:left="1080" w:hanging="360"/>
      </w:pPr>
    </w:lvl>
    <w:lvl w:ilvl="8" w:tplc="30E40410">
      <w:start w:val="1"/>
      <w:numFmt w:val="decimal"/>
      <w:lvlText w:val="%9)"/>
      <w:lvlJc w:val="left"/>
      <w:pPr>
        <w:ind w:left="1080" w:hanging="360"/>
      </w:pPr>
    </w:lvl>
  </w:abstractNum>
  <w:abstractNum w:abstractNumId="2" w15:restartNumberingAfterBreak="0">
    <w:nsid w:val="16A26C70"/>
    <w:multiLevelType w:val="multilevel"/>
    <w:tmpl w:val="881E873A"/>
    <w:lvl w:ilvl="0">
      <w:start w:val="1"/>
      <w:numFmt w:val="decimal"/>
      <w:lvlText w:val="%1."/>
      <w:lvlJc w:val="left"/>
      <w:pPr>
        <w:ind w:left="360" w:hanging="360"/>
      </w:pPr>
      <w:rPr>
        <w:rFonts w:ascii="游明朝" w:eastAsia="游明朝" w:hAnsi="游明朝" w:cs="游明朝"/>
        <w:color w:val="auto"/>
        <w:sz w:val="21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3" w15:restartNumberingAfterBreak="0">
    <w:nsid w:val="16A9141E"/>
    <w:multiLevelType w:val="multilevel"/>
    <w:tmpl w:val="EAEC19E8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3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4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5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6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7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8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</w:abstractNum>
  <w:abstractNum w:abstractNumId="4" w15:restartNumberingAfterBreak="0">
    <w:nsid w:val="336D0C58"/>
    <w:multiLevelType w:val="multilevel"/>
    <w:tmpl w:val="6AB63942"/>
    <w:lvl w:ilvl="0">
      <w:start w:val="1"/>
      <w:numFmt w:val="decimal"/>
      <w:lvlText w:val=""/>
      <w:lvlJc w:val="left"/>
      <w:pPr>
        <w:ind w:left="440" w:hanging="440"/>
      </w:pPr>
      <w:rPr>
        <w:rFonts w:ascii="Symbol" w:eastAsia="Symbol" w:hAnsi="Symbol" w:cs="Symbol"/>
        <w:color w:val="auto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5" w15:restartNumberingAfterBreak="0">
    <w:nsid w:val="428B1125"/>
    <w:multiLevelType w:val="multilevel"/>
    <w:tmpl w:val="C39CAB7A"/>
    <w:lvl w:ilvl="0">
      <w:start w:val="1"/>
      <w:numFmt w:val="decimal"/>
      <w:lvlText w:val=""/>
      <w:lvlJc w:val="left"/>
      <w:pPr>
        <w:ind w:left="440" w:hanging="440"/>
      </w:pPr>
      <w:rPr>
        <w:rFonts w:ascii="Symbol" w:eastAsia="Symbol" w:hAnsi="Symbol" w:cs="Symbol"/>
        <w:color w:val="auto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6" w15:restartNumberingAfterBreak="0">
    <w:nsid w:val="47E01002"/>
    <w:multiLevelType w:val="multilevel"/>
    <w:tmpl w:val="AF9C7536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3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4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5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6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7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8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</w:abstractNum>
  <w:abstractNum w:abstractNumId="7" w15:restartNumberingAfterBreak="0">
    <w:nsid w:val="49D814B1"/>
    <w:multiLevelType w:val="multilevel"/>
    <w:tmpl w:val="14CEAB22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3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4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5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6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7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8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</w:abstractNum>
  <w:abstractNum w:abstractNumId="8" w15:restartNumberingAfterBreak="0">
    <w:nsid w:val="5F38431D"/>
    <w:multiLevelType w:val="multilevel"/>
    <w:tmpl w:val="08FCE8B6"/>
    <w:lvl w:ilvl="0">
      <w:start w:val="1"/>
      <w:numFmt w:val="decimal"/>
      <w:lvlText w:val=""/>
      <w:lvlJc w:val="left"/>
      <w:pPr>
        <w:ind w:left="440" w:hanging="440"/>
      </w:pPr>
      <w:rPr>
        <w:rFonts w:ascii="Wingdings" w:eastAsia="Wingdings" w:hAnsi="Wingdings" w:cs="Wingdings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9" w15:restartNumberingAfterBreak="0">
    <w:nsid w:val="615826C9"/>
    <w:multiLevelType w:val="multilevel"/>
    <w:tmpl w:val="51105C66"/>
    <w:lvl w:ilvl="0">
      <w:start w:val="1"/>
      <w:numFmt w:val="decimal"/>
      <w:lvlText w:val=""/>
      <w:lvlJc w:val="left"/>
      <w:pPr>
        <w:ind w:left="440" w:hanging="440"/>
      </w:pPr>
      <w:rPr>
        <w:rFonts w:ascii="Symbol" w:eastAsia="Symbol" w:hAnsi="Symbol" w:cs="Symbol"/>
        <w:color w:val="auto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0" w15:restartNumberingAfterBreak="0">
    <w:nsid w:val="61C45D04"/>
    <w:multiLevelType w:val="multilevel"/>
    <w:tmpl w:val="715A0338"/>
    <w:lvl w:ilvl="0">
      <w:start w:val="1"/>
      <w:numFmt w:val="decimal"/>
      <w:lvlText w:val=""/>
      <w:lvlJc w:val="left"/>
      <w:pPr>
        <w:ind w:left="440" w:hanging="440"/>
      </w:pPr>
      <w:rPr>
        <w:rFonts w:ascii="Symbol" w:eastAsia="Symbol" w:hAnsi="Symbol" w:cs="Symbol"/>
        <w:color w:val="auto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1" w15:restartNumberingAfterBreak="0">
    <w:nsid w:val="7118081C"/>
    <w:multiLevelType w:val="multilevel"/>
    <w:tmpl w:val="7FF69866"/>
    <w:lvl w:ilvl="0">
      <w:start w:val="1"/>
      <w:numFmt w:val="decimal"/>
      <w:lvlText w:val=""/>
      <w:lvlJc w:val="left"/>
      <w:pPr>
        <w:ind w:left="440" w:hanging="440"/>
      </w:pPr>
      <w:rPr>
        <w:rFonts w:ascii="Symbol" w:eastAsia="Symbol" w:hAnsi="Symbol" w:cs="Symbol"/>
        <w:color w:val="auto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2" w15:restartNumberingAfterBreak="0">
    <w:nsid w:val="7ED32AAE"/>
    <w:multiLevelType w:val="multilevel"/>
    <w:tmpl w:val="04A68C58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num w:numId="1" w16cid:durableId="385766831">
    <w:abstractNumId w:val="7"/>
  </w:num>
  <w:num w:numId="2" w16cid:durableId="1883714701">
    <w:abstractNumId w:val="10"/>
  </w:num>
  <w:num w:numId="3" w16cid:durableId="313607198">
    <w:abstractNumId w:val="2"/>
  </w:num>
  <w:num w:numId="4" w16cid:durableId="1617638563">
    <w:abstractNumId w:val="5"/>
  </w:num>
  <w:num w:numId="5" w16cid:durableId="827671692">
    <w:abstractNumId w:val="9"/>
  </w:num>
  <w:num w:numId="6" w16cid:durableId="1324895954">
    <w:abstractNumId w:val="4"/>
  </w:num>
  <w:num w:numId="7" w16cid:durableId="121928024">
    <w:abstractNumId w:val="3"/>
  </w:num>
  <w:num w:numId="8" w16cid:durableId="719284711">
    <w:abstractNumId w:val="8"/>
  </w:num>
  <w:num w:numId="9" w16cid:durableId="1747920445">
    <w:abstractNumId w:val="6"/>
  </w:num>
  <w:num w:numId="10" w16cid:durableId="1962489396">
    <w:abstractNumId w:val="11"/>
  </w:num>
  <w:num w:numId="11" w16cid:durableId="785122856">
    <w:abstractNumId w:val="12"/>
  </w:num>
  <w:num w:numId="12" w16cid:durableId="959073699">
    <w:abstractNumId w:val="0"/>
  </w:num>
  <w:num w:numId="13" w16cid:durableId="733504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8B9"/>
    <w:rsid w:val="001F58B9"/>
    <w:rsid w:val="001F6D30"/>
    <w:rsid w:val="00436A4F"/>
    <w:rsid w:val="004D3321"/>
    <w:rsid w:val="005D6602"/>
    <w:rsid w:val="00960338"/>
    <w:rsid w:val="00AD0870"/>
    <w:rsid w:val="00B57504"/>
    <w:rsid w:val="00C04175"/>
    <w:rsid w:val="00E170C2"/>
    <w:rsid w:val="00F52CF0"/>
    <w:rsid w:val="00FA0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505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qFormat/>
    <w:pPr>
      <w:keepNext/>
      <w:keepLines/>
      <w:spacing w:before="280" w:after="80"/>
      <w:outlineLvl w:val="0"/>
    </w:pPr>
    <w:rPr>
      <w:rFonts w:ascii="游ゴシック Light" w:eastAsia="游ゴシック Light" w:hAnsi="游ゴシック Light" w:cs="游ゴシック Light"/>
      <w:color w:val="000000"/>
      <w:sz w:val="32"/>
    </w:rPr>
  </w:style>
  <w:style w:type="paragraph" w:styleId="2">
    <w:name w:val="heading 2"/>
    <w:basedOn w:val="a"/>
    <w:next w:val="a"/>
    <w:qFormat/>
    <w:pPr>
      <w:keepNext/>
      <w:keepLines/>
      <w:spacing w:before="160" w:after="80"/>
      <w:outlineLvl w:val="1"/>
    </w:pPr>
    <w:rPr>
      <w:rFonts w:ascii="游ゴシック Light" w:eastAsia="游ゴシック Light" w:hAnsi="游ゴシック Light" w:cs="游ゴシック Light"/>
      <w:color w:val="000000"/>
      <w:sz w:val="28"/>
    </w:rPr>
  </w:style>
  <w:style w:type="paragraph" w:styleId="3">
    <w:name w:val="heading 3"/>
    <w:basedOn w:val="a"/>
    <w:next w:val="a"/>
    <w:qFormat/>
    <w:pPr>
      <w:keepNext/>
      <w:keepLines/>
      <w:spacing w:before="160" w:after="80"/>
      <w:outlineLvl w:val="2"/>
    </w:pPr>
    <w:rPr>
      <w:rFonts w:ascii="游ゴシック Light" w:eastAsia="游ゴシック Light" w:hAnsi="游ゴシック Light" w:cs="游ゴシック Light"/>
      <w:color w:val="000000"/>
      <w:sz w:val="24"/>
    </w:rPr>
  </w:style>
  <w:style w:type="paragraph" w:styleId="4">
    <w:name w:val="heading 4"/>
    <w:basedOn w:val="a"/>
    <w:next w:val="a"/>
    <w:pPr>
      <w:keepNext/>
      <w:keepLines/>
      <w:spacing w:before="80" w:after="40"/>
      <w:outlineLvl w:val="3"/>
    </w:pPr>
    <w:rPr>
      <w:rFonts w:ascii="游ゴシック Light" w:eastAsia="游ゴシック Light" w:hAnsi="游ゴシック Light" w:cs="游ゴシック Light"/>
      <w:color w:val="000000"/>
    </w:rPr>
  </w:style>
  <w:style w:type="paragraph" w:styleId="5">
    <w:name w:val="heading 5"/>
    <w:basedOn w:val="a"/>
    <w:next w:val="a"/>
    <w:pPr>
      <w:keepNext/>
      <w:keepLines/>
      <w:spacing w:before="80" w:after="40"/>
      <w:ind w:left="100"/>
      <w:outlineLvl w:val="4"/>
    </w:pPr>
    <w:rPr>
      <w:rFonts w:ascii="游ゴシック Light" w:eastAsia="游ゴシック Light" w:hAnsi="游ゴシック Light" w:cs="游ゴシック Light"/>
      <w:color w:val="000000"/>
    </w:rPr>
  </w:style>
  <w:style w:type="paragraph" w:styleId="6">
    <w:name w:val="heading 6"/>
    <w:basedOn w:val="a"/>
    <w:next w:val="a"/>
    <w:pPr>
      <w:keepNext/>
      <w:keepLines/>
      <w:spacing w:before="80" w:after="40"/>
      <w:ind w:left="200"/>
      <w:outlineLvl w:val="5"/>
    </w:pPr>
    <w:rPr>
      <w:rFonts w:ascii="游ゴシック Light" w:eastAsia="游ゴシック Light" w:hAnsi="游ゴシック Light" w:cs="游ゴシック Light"/>
      <w:color w:val="000000"/>
    </w:rPr>
  </w:style>
  <w:style w:type="paragraph" w:styleId="7">
    <w:name w:val="heading 7"/>
    <w:basedOn w:val="a"/>
    <w:next w:val="a"/>
    <w:pPr>
      <w:keepNext/>
      <w:keepLines/>
      <w:spacing w:before="80" w:after="40"/>
      <w:ind w:left="300"/>
      <w:outlineLvl w:val="6"/>
    </w:pPr>
    <w:rPr>
      <w:rFonts w:ascii="游ゴシック Light" w:eastAsia="游ゴシック Light" w:hAnsi="游ゴシック Light" w:cs="游ゴシック Light"/>
      <w:color w:val="000000"/>
    </w:rPr>
  </w:style>
  <w:style w:type="paragraph" w:styleId="8">
    <w:name w:val="heading 8"/>
    <w:basedOn w:val="a"/>
    <w:next w:val="a"/>
    <w:pPr>
      <w:keepNext/>
      <w:keepLines/>
      <w:spacing w:before="80" w:after="40"/>
      <w:ind w:left="400"/>
      <w:outlineLvl w:val="7"/>
    </w:pPr>
    <w:rPr>
      <w:rFonts w:ascii="游ゴシック Light" w:eastAsia="游ゴシック Light" w:hAnsi="游ゴシック Light" w:cs="游ゴシック Light"/>
      <w:color w:val="000000"/>
    </w:rPr>
  </w:style>
  <w:style w:type="paragraph" w:styleId="9">
    <w:name w:val="heading 9"/>
    <w:basedOn w:val="a"/>
    <w:next w:val="a"/>
    <w:pPr>
      <w:keepNext/>
      <w:keepLines/>
      <w:spacing w:before="80" w:after="40"/>
      <w:ind w:left="500"/>
      <w:outlineLvl w:val="8"/>
    </w:pPr>
    <w:rPr>
      <w:rFonts w:ascii="游ゴシック Light" w:eastAsia="游ゴシック Light" w:hAnsi="游ゴシック Light" w:cs="游ゴシック Light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styleId="20">
    <w:name w:val="toc 2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styleId="30">
    <w:name w:val="toc 3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styleId="40">
    <w:name w:val="toc 4"/>
    <w:basedOn w:val="a"/>
    <w:pPr>
      <w:spacing w:line="330" w:lineRule="exact"/>
    </w:pPr>
    <w:rPr>
      <w:rFonts w:ascii="Calibri" w:eastAsia="Calibri" w:hAnsi="Calibri" w:cs="Calibri"/>
    </w:rPr>
  </w:style>
  <w:style w:type="paragraph" w:styleId="50">
    <w:name w:val="toc 5"/>
    <w:basedOn w:val="a"/>
    <w:pPr>
      <w:spacing w:line="330" w:lineRule="exact"/>
    </w:pPr>
    <w:rPr>
      <w:rFonts w:ascii="Calibri" w:eastAsia="Calibri" w:hAnsi="Calibri" w:cs="Calibri"/>
    </w:rPr>
  </w:style>
  <w:style w:type="paragraph" w:styleId="60">
    <w:name w:val="toc 6"/>
    <w:basedOn w:val="a"/>
    <w:pPr>
      <w:spacing w:line="330" w:lineRule="exact"/>
    </w:pPr>
    <w:rPr>
      <w:rFonts w:ascii="Calibri" w:eastAsia="Calibri" w:hAnsi="Calibri" w:cs="Calibri"/>
    </w:rPr>
  </w:style>
  <w:style w:type="paragraph" w:styleId="70">
    <w:name w:val="toc 7"/>
    <w:basedOn w:val="a"/>
    <w:pPr>
      <w:spacing w:line="330" w:lineRule="exact"/>
    </w:pPr>
    <w:rPr>
      <w:rFonts w:ascii="Calibri" w:eastAsia="Calibri" w:hAnsi="Calibri" w:cs="Calibri"/>
    </w:rPr>
  </w:style>
  <w:style w:type="paragraph" w:styleId="80">
    <w:name w:val="toc 8"/>
    <w:basedOn w:val="a"/>
    <w:pPr>
      <w:spacing w:line="330" w:lineRule="exact"/>
    </w:pPr>
    <w:rPr>
      <w:rFonts w:ascii="Calibri" w:eastAsia="Calibri" w:hAnsi="Calibri" w:cs="Calibri"/>
    </w:rPr>
  </w:style>
  <w:style w:type="paragraph" w:styleId="90">
    <w:name w:val="toc 9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CellMar>
        <w:top w:w="0" w:type="dxa"/>
        <w:left w:w="10" w:type="dxa"/>
        <w:bottom w:w="0" w:type="dxa"/>
        <w:right w:w="10" w:type="dxa"/>
      </w:tblCellMar>
    </w:tblPr>
  </w:style>
  <w:style w:type="character" w:styleId="a4">
    <w:name w:val="annotation reference"/>
    <w:basedOn w:val="a0"/>
    <w:rPr>
      <w:sz w:val="16"/>
    </w:rPr>
  </w:style>
  <w:style w:type="character" w:styleId="a5">
    <w:name w:val="endnote reference"/>
    <w:basedOn w:val="a0"/>
    <w:rPr>
      <w:vertAlign w:val="superscript"/>
    </w:rPr>
  </w:style>
  <w:style w:type="character" w:styleId="a6">
    <w:name w:val="footnote reference"/>
    <w:basedOn w:val="a0"/>
    <w:rPr>
      <w:vertAlign w:val="superscript"/>
    </w:rPr>
  </w:style>
  <w:style w:type="paragraph" w:styleId="a7">
    <w:name w:val="Title"/>
    <w:basedOn w:val="a"/>
    <w:next w:val="a"/>
    <w:qFormat/>
    <w:pPr>
      <w:spacing w:after="80"/>
      <w:contextualSpacing/>
      <w:jc w:val="center"/>
    </w:pPr>
    <w:rPr>
      <w:rFonts w:ascii="游ゴシック Light" w:eastAsia="游ゴシック Light" w:hAnsi="游ゴシック Light" w:cs="游ゴシック Light"/>
      <w:sz w:val="56"/>
    </w:rPr>
  </w:style>
  <w:style w:type="paragraph" w:styleId="a8">
    <w:name w:val="Subtitle"/>
    <w:basedOn w:val="a"/>
    <w:next w:val="a"/>
    <w:qFormat/>
    <w:pPr>
      <w:spacing w:after="160"/>
      <w:jc w:val="center"/>
    </w:pPr>
    <w:rPr>
      <w:rFonts w:ascii="游ゴシック Light" w:eastAsia="游ゴシック Light" w:hAnsi="游ゴシック Light" w:cs="游ゴシック Light"/>
      <w:color w:val="595959"/>
      <w:sz w:val="28"/>
    </w:rPr>
  </w:style>
  <w:style w:type="paragraph" w:styleId="a9">
    <w:name w:val="Quote"/>
    <w:basedOn w:val="a"/>
    <w:next w:val="a"/>
    <w:qFormat/>
    <w:pPr>
      <w:spacing w:before="160" w:after="160"/>
      <w:jc w:val="center"/>
    </w:pPr>
    <w:rPr>
      <w:i/>
      <w:color w:val="404040"/>
    </w:rPr>
  </w:style>
  <w:style w:type="paragraph" w:styleId="aa">
    <w:name w:val="List Paragraph"/>
    <w:basedOn w:val="a"/>
    <w:pPr>
      <w:ind w:left="720"/>
      <w:contextualSpacing/>
    </w:pPr>
  </w:style>
  <w:style w:type="character" w:styleId="21">
    <w:name w:val="Intense Emphasis"/>
    <w:basedOn w:val="a0"/>
    <w:qFormat/>
    <w:rPr>
      <w:i/>
      <w:color w:val="2F5496"/>
    </w:rPr>
  </w:style>
  <w:style w:type="paragraph" w:styleId="22">
    <w:name w:val="Intense Quote"/>
    <w:basedOn w:val="a"/>
    <w:next w:val="a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color w:val="2F5496"/>
    </w:rPr>
  </w:style>
  <w:style w:type="character" w:styleId="23">
    <w:name w:val="Intense Reference"/>
    <w:basedOn w:val="a0"/>
    <w:rPr>
      <w:b/>
      <w:color w:val="2F5496"/>
    </w:rPr>
  </w:style>
  <w:style w:type="character" w:styleId="ab">
    <w:name w:val="Emphasis"/>
    <w:basedOn w:val="a0"/>
    <w:qFormat/>
    <w:rPr>
      <w:i/>
    </w:rPr>
  </w:style>
  <w:style w:type="character" w:customStyle="1" w:styleId="PageNumbers">
    <w:name w:val="Page Numbers"/>
    <w:basedOn w:val="a0"/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</w:rPr>
  </w:style>
  <w:style w:type="paragraph" w:styleId="ac">
    <w:name w:val="Block Text"/>
    <w:basedOn w:val="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Publisher">
    <w:name w:val="Publisher"/>
    <w:basedOn w:val="a0"/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City">
    <w:name w:val="City"/>
    <w:basedOn w:val="a0"/>
  </w:style>
  <w:style w:type="character" w:customStyle="1" w:styleId="VolumeNumber">
    <w:name w:val="Volume Number"/>
    <w:basedOn w:val="a0"/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character" w:customStyle="1" w:styleId="Source">
    <w:name w:val="Source"/>
    <w:basedOn w:val="a0"/>
  </w:style>
  <w:style w:type="character" w:customStyle="1" w:styleId="Organization">
    <w:name w:val="Organization"/>
    <w:basedOn w:val="a0"/>
  </w:style>
  <w:style w:type="paragraph" w:customStyle="1" w:styleId="Biography">
    <w:name w:val="Biography"/>
    <w:basedOn w:val="a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paragraph" w:styleId="ad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paragraph" w:styleId="24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z w:val="20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character" w:customStyle="1" w:styleId="DatabaseLink">
    <w:name w:val="Database Link"/>
    <w:basedOn w:val="a0"/>
  </w:style>
  <w:style w:type="paragraph" w:styleId="ae">
    <w:name w:val="annotation text"/>
    <w:basedOn w:val="a"/>
    <w:pPr>
      <w:jc w:val="left"/>
    </w:pPr>
    <w:rPr>
      <w:rFonts w:ascii="Calibri" w:eastAsia="Calibri" w:hAnsi="Calibri" w:cs="Calibri"/>
      <w:sz w:val="20"/>
    </w:rPr>
  </w:style>
  <w:style w:type="character" w:customStyle="1" w:styleId="Label">
    <w:name w:val="Label"/>
    <w:basedOn w:val="a0"/>
    <w:rPr>
      <w:vertAlign w:val="baseline"/>
    </w:rPr>
  </w:style>
  <w:style w:type="paragraph" w:styleId="41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character" w:customStyle="1" w:styleId="Location">
    <w:name w:val="Location"/>
    <w:basedOn w:val="a0"/>
  </w:style>
  <w:style w:type="paragraph" w:styleId="af">
    <w:name w:val="footnote text"/>
    <w:basedOn w:val="a"/>
    <w:rPr>
      <w:rFonts w:ascii="Calibri" w:eastAsia="Calibri" w:hAnsi="Calibri" w:cs="Calibri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character" w:customStyle="1" w:styleId="Country">
    <w:name w:val="Country"/>
    <w:basedOn w:val="a0"/>
  </w:style>
  <w:style w:type="character" w:customStyle="1" w:styleId="IssueNumber">
    <w:name w:val="Issue Number"/>
    <w:basedOn w:val="a0"/>
  </w:style>
  <w:style w:type="character" w:customStyle="1" w:styleId="FamilyName">
    <w:name w:val="Family Name"/>
    <w:basedOn w:val="a0"/>
  </w:style>
  <w:style w:type="character" w:customStyle="1" w:styleId="Region">
    <w:name w:val="Region"/>
    <w:basedOn w:val="a0"/>
  </w:style>
  <w:style w:type="character" w:customStyle="1" w:styleId="NameScientific">
    <w:name w:val="Name Scientific"/>
    <w:basedOn w:val="a0"/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z w:val="20"/>
    </w:rPr>
  </w:style>
  <w:style w:type="paragraph" w:customStyle="1" w:styleId="TableList">
    <w:name w:val="Table List"/>
    <w:basedOn w:val="a"/>
    <w:pPr>
      <w:ind w:left="300" w:hanging="300"/>
      <w:jc w:val="left"/>
    </w:pPr>
    <w:rPr>
      <w:sz w:val="20"/>
    </w:rPr>
  </w:style>
  <w:style w:type="paragraph" w:customStyle="1" w:styleId="Quotation">
    <w:name w:val="Quotation"/>
    <w:basedOn w:val="a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character" w:customStyle="1" w:styleId="Year">
    <w:name w:val="Year"/>
    <w:basedOn w:val="a0"/>
  </w:style>
  <w:style w:type="character" w:customStyle="1" w:styleId="Conference">
    <w:name w:val="Conference"/>
    <w:basedOn w:val="a0"/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character" w:customStyle="1" w:styleId="GeneSequence">
    <w:name w:val="Gene Sequence"/>
    <w:basedOn w:val="a0"/>
  </w:style>
  <w:style w:type="character" w:customStyle="1" w:styleId="Edition">
    <w:name w:val="Edition"/>
    <w:basedOn w:val="a0"/>
  </w:style>
  <w:style w:type="paragraph" w:customStyle="1" w:styleId="TableBody">
    <w:name w:val="Table Body"/>
    <w:basedOn w:val="a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</w:rPr>
  </w:style>
  <w:style w:type="character" w:customStyle="1" w:styleId="Cross-reference">
    <w:name w:val="Cross-reference"/>
    <w:basedOn w:val="a0"/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</w:rPr>
  </w:style>
  <w:style w:type="paragraph" w:customStyle="1" w:styleId="Surtitle">
    <w:name w:val="Sur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paragraph" w:customStyle="1" w:styleId="Annotation">
    <w:name w:val="Annotation"/>
    <w:basedOn w:val="a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paragraph" w:customStyle="1" w:styleId="Abstract">
    <w:name w:val="Abstract"/>
    <w:basedOn w:val="a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paragraph" w:styleId="af0">
    <w:name w:val="endnote text"/>
    <w:basedOn w:val="a"/>
    <w:rPr>
      <w:rFonts w:ascii="Calibri" w:eastAsia="Calibri" w:hAnsi="Calibri" w:cs="Calibri"/>
    </w:rPr>
  </w:style>
  <w:style w:type="character" w:customStyle="1" w:styleId="GrantID">
    <w:name w:val="Grant ID"/>
    <w:basedOn w:val="a0"/>
  </w:style>
  <w:style w:type="character" w:customStyle="1" w:styleId="ArticleTitle">
    <w:name w:val="Article Title"/>
    <w:basedOn w:val="a0"/>
    <w:qFormat/>
  </w:style>
  <w:style w:type="paragraph" w:customStyle="1" w:styleId="AbstractSubheading">
    <w:name w:val="Abstract Subheading"/>
    <w:basedOn w:val="a"/>
    <w:next w:val="a"/>
    <w:pPr>
      <w:keepNext/>
      <w:keepLines/>
      <w:ind w:left="1440"/>
      <w:outlineLvl w:val="8"/>
    </w:pPr>
    <w:rPr>
      <w:sz w:val="22"/>
    </w:rPr>
  </w:style>
  <w:style w:type="paragraph" w:customStyle="1" w:styleId="Acknowledgements">
    <w:name w:val="Acknowledgements"/>
    <w:basedOn w:val="a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</w:rPr>
  </w:style>
  <w:style w:type="paragraph" w:styleId="51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styleId="af1">
    <w:name w:val="caption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</w:rPr>
  </w:style>
  <w:style w:type="character" w:customStyle="1" w:styleId="Miscellaneous">
    <w:name w:val="Miscellaneous"/>
    <w:basedOn w:val="a0"/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</w:rPr>
  </w:style>
  <w:style w:type="character" w:styleId="af2">
    <w:name w:val="Hyperlink"/>
    <w:basedOn w:val="a0"/>
    <w:rPr>
      <w:color w:val="0563C1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GivenName">
    <w:name w:val="Given Name"/>
    <w:basedOn w:val="a0"/>
  </w:style>
  <w:style w:type="character" w:customStyle="1" w:styleId="Heading">
    <w:name w:val="Heading:"/>
    <w:basedOn w:val="a0"/>
    <w:rPr>
      <w:color w:val="5B89C1"/>
    </w:rPr>
  </w:style>
  <w:style w:type="paragraph" w:styleId="31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a0"/>
  </w:style>
  <w:style w:type="character" w:customStyle="1" w:styleId="Postcode">
    <w:name w:val="Postcode"/>
    <w:basedOn w:val="a0"/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character" w:styleId="af3">
    <w:name w:val="line number"/>
    <w:basedOn w:val="a0"/>
  </w:style>
  <w:style w:type="paragraph" w:styleId="af4">
    <w:name w:val="Revision"/>
  </w:style>
  <w:style w:type="paragraph" w:styleId="af5">
    <w:name w:val="annotation subject"/>
    <w:basedOn w:val="ae"/>
    <w:pPr>
      <w:jc w:val="both"/>
    </w:pPr>
    <w:rPr>
      <w:b/>
    </w:rPr>
  </w:style>
  <w:style w:type="character" w:styleId="af6">
    <w:name w:val="Unresolved Mention"/>
    <w:basedOn w:val="a0"/>
    <w:rPr>
      <w:color w:val="605E5C"/>
    </w:rPr>
  </w:style>
  <w:style w:type="paragraph" w:styleId="af7">
    <w:name w:val="header"/>
    <w:basedOn w:val="a"/>
    <w:link w:val="af8"/>
    <w:uiPriority w:val="99"/>
    <w:rsid w:val="00E170C2"/>
    <w:pPr>
      <w:tabs>
        <w:tab w:val="center" w:pos="4513"/>
        <w:tab w:val="right" w:pos="9026"/>
      </w:tabs>
    </w:pPr>
  </w:style>
  <w:style w:type="character" w:customStyle="1" w:styleId="af8">
    <w:name w:val="ヘッダー (文字)"/>
    <w:basedOn w:val="a0"/>
    <w:link w:val="af7"/>
    <w:uiPriority w:val="99"/>
    <w:rsid w:val="00E170C2"/>
  </w:style>
  <w:style w:type="paragraph" w:styleId="af9">
    <w:name w:val="footer"/>
    <w:basedOn w:val="a"/>
    <w:link w:val="afa"/>
    <w:uiPriority w:val="99"/>
    <w:rsid w:val="00E170C2"/>
    <w:pPr>
      <w:tabs>
        <w:tab w:val="center" w:pos="4513"/>
        <w:tab w:val="right" w:pos="9026"/>
      </w:tabs>
    </w:pPr>
  </w:style>
  <w:style w:type="character" w:customStyle="1" w:styleId="afa">
    <w:name w:val="フッター (文字)"/>
    <w:basedOn w:val="a0"/>
    <w:link w:val="af9"/>
    <w:uiPriority w:val="99"/>
    <w:rsid w:val="00E170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2026-02-15T23:38:00Z</dcterms:created>
  <dcterms:modified xsi:type="dcterms:W3CDTF">2026-02-25T02:48:00Z</dcterms:modified>
</cp:coreProperties>
</file>