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emf" ContentType="image/x-emf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Supplmentary materials</w:t>
      </w:r>
    </w:p>
    <w:p/>
    <w:p>
      <w:r>
        <w:rPr>
          <w:rFonts w:ascii="Times New Roman" w:hAnsi="Times New Roman"/>
          <w:sz w:val="22"/>
        </w:rPr>
        <w:t>Table S1 Proportional Hazards Assumption Test Results</w:t>
      </w:r>
    </w:p>
    <w:p>
      <w:r>
        <w:rPr>
          <w:rFonts w:ascii="Times New Roman" w:hAnsi="Times New Roman"/>
          <w:sz w:val="22"/>
        </w:rPr>
        <w:t>Table S2 Sensitivity Analyses for the Association Between Indoor Air Pollution and Incident sKOA</w:t>
      </w:r>
    </w:p>
    <w:p>
      <w:r>
        <w:rPr>
          <w:rFonts w:ascii="Times New Roman" w:hAnsi="Times New Roman"/>
          <w:sz w:val="22"/>
        </w:rPr>
        <w:t>Figure S1 Pollutant Exposure Patterns Identified via Trajectory Modeling (PM10 and O3)</w:t>
      </w:r>
    </w:p>
    <w:p>
      <w:r>
        <w:rPr>
          <w:rFonts w:ascii="Times New Roman" w:hAnsi="Times New Roman"/>
          <w:sz w:val="22"/>
        </w:rPr>
        <w:t>Figure S2. Subgroup Analyses for Indoor Cooking Pollution and Incident sKOA</w:t>
      </w:r>
    </w:p>
    <w:p>
      <w:r>
        <w:rPr>
          <w:rFonts w:ascii="Times New Roman" w:hAnsi="Times New Roman"/>
          <w:sz w:val="22"/>
        </w:rPr>
        <w:t>Figure S3. Subgroup Analyses for Indoor Healing Pollution and Incident sKOA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Table S1 Proportional Hazards Assumption Test Results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space="0" w:color="000000"/>
          <w:bottom w:val="single" w:sz="12" w:space="0" w:color="000000"/>
          <w:insideH w:val="none" w:sz="0" w:space="0" w:color="000000"/>
          <w:insideV w:val="none" w:sz="0" w:space="0" w:color="000000"/>
          <w:left w:val="none" w:sz="0" w:space="0" w:color="000000"/>
          <w:right w:val="none" w:sz="0" w:space="0" w:color="000000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12" w:space="0" w:color="000000"/>
              <w:bottom w:val="single" w:sz="6" w:space="0" w:color="000000"/>
            </w:tcBorders>
          </w:tcPr>
          <w:p>
            <w:r>
              <w:rPr>
                <w:rFonts w:ascii="Times New Roman" w:hAnsi="Times New Roman"/>
                <w:b/>
                <w:sz w:val="18"/>
              </w:rPr>
            </w:r>
          </w:p>
        </w:tc>
        <w:tc>
          <w:tcPr>
            <w:tcW w:type="dxa" w:w="2160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Chi-square</w:t>
            </w:r>
          </w:p>
        </w:tc>
        <w:tc>
          <w:tcPr>
            <w:tcW w:type="dxa" w:w="2160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df</w:t>
            </w:r>
          </w:p>
        </w:tc>
        <w:tc>
          <w:tcPr>
            <w:tcW w:type="dxa" w:w="2160"/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P-value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18"/>
              </w:rPr>
              <w:t>Cooking Pollution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10.35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0.323</w:t>
            </w:r>
          </w:p>
        </w:tc>
      </w:tr>
      <w:tr>
        <w:tc>
          <w:tcPr>
            <w:tcW w:type="dxa" w:w="2160"/>
          </w:tcPr>
          <w:p>
            <w:r>
              <w:rPr>
                <w:rFonts w:ascii="Times New Roman" w:hAnsi="Times New Roman"/>
                <w:sz w:val="18"/>
              </w:rPr>
              <w:t>Heating Pollution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9.07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0.431</w:t>
            </w:r>
          </w:p>
        </w:tc>
      </w:tr>
      <w:tr>
        <w:tc>
          <w:tcPr>
            <w:tcW w:type="dxa" w:w="2160"/>
            <w:tcBorders>
              <w:bottom w:val="single" w:sz="12" w:space="0" w:color="000000"/>
            </w:tcBorders>
          </w:tcPr>
          <w:p>
            <w:r>
              <w:rPr>
                <w:rFonts w:ascii="Times New Roman" w:hAnsi="Times New Roman"/>
                <w:sz w:val="18"/>
              </w:rPr>
              <w:t>Pollution Load</w:t>
            </w:r>
          </w:p>
        </w:tc>
        <w:tc>
          <w:tcPr>
            <w:tcW w:type="dxa" w:w="2160"/>
            <w:tcBorders>
              <w:bottom w:val="single" w:sz="12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9.62</w:t>
            </w:r>
          </w:p>
        </w:tc>
        <w:tc>
          <w:tcPr>
            <w:tcW w:type="dxa" w:w="2160"/>
            <w:tcBorders>
              <w:bottom w:val="single" w:sz="12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2160"/>
            <w:tcBorders>
              <w:bottom w:val="single" w:sz="12" w:space="0" w:color="000000"/>
            </w:tcBorders>
          </w:tcPr>
          <w:p>
            <w:pPr>
              <w:jc w:val="center"/>
            </w:pPr>
            <w:r>
              <w:rPr>
                <w:rFonts w:ascii="Times New Roman" w:hAnsi="Times New Roman"/>
                <w:sz w:val="18"/>
              </w:rPr>
              <w:t>0.474</w:t>
            </w:r>
          </w:p>
        </w:tc>
      </w:tr>
    </w:tbl>
    <w:p>
      <w:r>
        <w:br w:type="page"/>
      </w:r>
    </w:p>
    <w:p>
      <w:r>
        <w:rPr>
          <w:rFonts w:ascii="Times New Roman" w:hAnsi="Times New Roman"/>
          <w:b/>
          <w:sz w:val="22"/>
        </w:rPr>
        <w:t>Figure S1 Pollutant Exposure Patterns Identified via Trajectory Modeling (PM10 and O3)</w:t>
      </w:r>
    </w:p>
    <w:p>
      <w:r>
        <w:drawing>
          <wp:inline xmlns:a="http://schemas.openxmlformats.org/drawingml/2006/main" xmlns:pic="http://schemas.openxmlformats.org/drawingml/2006/picture">
            <wp:extent cx="5486400" cy="30612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12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Figure S2. Subgroup Analyses for Indoor Cooking Pollution and Incident sKOA</w:t>
      </w:r>
    </w:p>
    <w:p>
      <w:r>
        <w:drawing>
          <wp:inline xmlns:a="http://schemas.openxmlformats.org/drawingml/2006/main" xmlns:pic="http://schemas.openxmlformats.org/drawingml/2006/picture">
            <wp:extent cx="5486400" cy="592216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21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Figure S3. Subgroup Analyses for Indoor Healing Pollution and Incident sKOA</w:t>
      </w:r>
    </w:p>
    <w:p>
      <w:r>
        <w:rPr>
          <w:sz w:val="2"/>
        </w:rPr>
        <w:t/>
      </w:r>
      <w:r>
        <w:drawing>
          <wp:inline xmlns:wp="http://schemas.openxmlformats.org/drawingml/2006/wordprocessingDrawing" distT="0" distB="0" distL="0" distR="0">
            <wp:extent cx="5029200" cy="6035040"/>
            <wp:docPr id="99" name="EMF Figure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emf_fig"/>
                    <pic:cNvPicPr/>
                  </pic:nvPicPr>
                  <pic:blipFill>
                    <a:blip xmlns:r="http://schemas.openxmlformats.org/officeDocument/2006/relationships" r:embed="rIdEmf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</w:rPr>
        <w:t/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Table S2 Sensitivity Analyses for the Association Between Indoor Air Pollution and Incident sKOA</w:t>
      </w:r>
    </w:p>
    <w:tbl>
      <w:tblPr>
        <w:tblW w:w="9600" w:type="dxa"/>
        <w:jc w:val="center"/>
        <w:tblBorders>
          <w:top w:val="single" w:sz="12" w:space="0" w:color="000000"/>
          <w:bottom w:val="single" w:sz="12" w:space="0" w:color="000000"/>
          <w:insideH w:val="none" w:sz="0" w:space="0" w:color="000000"/>
          <w:insideV w:val="none" w:sz="0" w:space="0" w:color="000000"/>
          <w:left w:val="none" w:sz="0" w:space="0" w:color="000000"/>
          <w:right w:val="none" w:sz="0" w:space="0" w:color="000000"/>
        </w:tblBorders>
      </w:tblPr>
      <w:tblGrid>
        <w:gridCol w:w="4200"/>
        <w:gridCol w:w="1200"/>
        <w:gridCol w:w="2700"/>
        <w:gridCol w:w="1500"/>
      </w:tblGrid>
      <w:tr>
        <w:tc>
          <w:tcP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20" w:after="20"/>
            </w:pPr>
            <w:r>
              <w:rPr>
                <w:b/>
                <w:sz w:val="18"/>
                <w:rFonts w:ascii="Times New Roman" w:hAnsi="Times New Roman"/>
              </w:rPr>
              <w:t xml:space="preserve">Exposure</w:t>
            </w:r>
          </w:p>
        </w:tc>
        <w:tc>
          <w:tcP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18"/>
                <w:rFonts w:ascii="Times New Roman" w:hAnsi="Times New Roman"/>
              </w:rPr>
              <w:t xml:space="preserve">Events</w:t>
            </w:r>
          </w:p>
        </w:tc>
        <w:tc>
          <w:tcP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18"/>
                <w:rFonts w:ascii="Times New Roman" w:hAnsi="Times New Roman"/>
              </w:rPr>
              <w:t xml:space="preserve">HR (95% CI)</w:t>
            </w:r>
          </w:p>
        </w:tc>
        <w:tc>
          <w:tcP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>
              <w:rPr>
                <w:b/>
                <w:sz w:val="18"/>
                <w:rFonts w:ascii="Times New Roman" w:hAnsi="Times New Roman"/>
              </w:rPr>
              <w:t xml:space="preserve">P value</w:t>
            </w:r>
          </w:p>
        </w:tc>
      </w:tr>
      <w:tr>
        <w:tc>
          <w:tcPr>
            <w:gridSpan w:val="4"/>
          </w:tcPr>
          <w:p>
            <w:pPr>
              <w:spacing w:before="40" w:after="20"/>
            </w:pPr>
            <w:r>
              <w:rPr>
                <w:b/>
                <w:i/>
                <w:sz w:val="18"/>
                <w:rFonts w:ascii="Times New Roman" w:hAnsi="Times New Roman"/>
              </w:rPr>
              <w:t xml:space="preserve">Additional adjustment for physical activity (MET, min/week)</w:t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Cooking pollution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–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1.62 (1.09–2.42)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0.017</w:t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Heating pollution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–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1.43 (0.99–2.08)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0.059</w:t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Pollution load (1 source)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–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1.31 (0.80–2.16)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0.288</w:t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Pollution load (2 sources)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–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1.85 (1.15–2.97)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0.012</w:t>
            </w:r>
          </w:p>
        </w:tc>
      </w:tr>
      <w:tr>
        <w:tc>
          <w:tcPr>
            <w:gridSpan w:val="4"/>
            <w:tcBorders>
              <w:top w:val="single" w:sz="4" w:space="0" w:color="000000"/>
            </w:tcBorders>
          </w:tcPr>
          <w:p>
            <w:pPr>
              <w:spacing w:before="40" w:after="20"/>
            </w:pPr>
            <w:r>
              <w:rPr>
                <w:b/>
                <w:i/>
                <w:sz w:val="18"/>
                <w:rFonts w:ascii="Times New Roman" w:hAnsi="Times New Roman"/>
              </w:rPr>
              <w:t xml:space="preserve">Additional adjustment for agricultural work status</w:t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Cooking pollution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–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1.37 (1.04–1.82)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0.026</w:t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Heating pollution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–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1.23 (0.95–1.60)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0.116</w:t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Pollution load (2 sources)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–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1.47 (1.05–2.05)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0.025</w:t>
            </w:r>
          </w:p>
        </w:tc>
      </w:tr>
      <w:tr>
        <w:tc>
          <w:tcPr>
            <w:gridSpan w:val="4"/>
            <w:tcBorders>
              <w:top w:val="single" w:sz="4" w:space="0" w:color="000000"/>
            </w:tcBorders>
          </w:tcPr>
          <w:p>
            <w:pPr>
              <w:spacing w:before="40" w:after="20"/>
            </w:pPr>
            <w:r>
              <w:rPr>
                <w:b/>
                <w:i/>
                <w:sz w:val="18"/>
                <w:rFonts w:ascii="Times New Roman" w:hAnsi="Times New Roman"/>
              </w:rPr>
              <w:t xml:space="preserve">Stratification by agricultural work status</w:t>
            </w:r>
          </w:p>
        </w:tc>
      </w:tr>
      <w:tr>
        <w:tc>
          <w:tcPr/>
          <w:p>
            <w:pPr>
              <w:spacing w:before="20" w:after="0"/>
            </w:pPr>
            <w:r>
              <w:rPr>
                <w:b/>
                <w:sz w:val="18"/>
                <w:rFonts w:ascii="Times New Roman" w:hAnsi="Times New Roman"/>
              </w:rPr>
              <w:t xml:space="preserve">Cooking pollution</w:t>
            </w:r>
          </w:p>
        </w:tc>
        <w:tc>
          <w:tcPr/>
          <w:p>
            <w:pPr>
              <w:spacing w:before="20" w:after="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  <w:tc>
          <w:tcPr/>
          <w:p>
            <w:pPr>
              <w:spacing w:before="20" w:after="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  <w:tc>
          <w:tcPr/>
          <w:p>
            <w:pPr>
              <w:spacing w:before="20" w:after="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 Non-agricultural (n=6,418)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264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1.47 (0.98–2.20)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0.308†</w:t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 Agricultural (n=6,256)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329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1.28 (0.87–1.86)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</w:tr>
      <w:tr>
        <w:tc>
          <w:tcPr/>
          <w:p>
            <w:pPr>
              <w:spacing w:before="20" w:after="0"/>
            </w:pPr>
            <w:r>
              <w:rPr>
                <w:b/>
                <w:sz w:val="18"/>
                <w:rFonts w:ascii="Times New Roman" w:hAnsi="Times New Roman"/>
              </w:rPr>
              <w:t xml:space="preserve">Heating pollution</w:t>
            </w:r>
          </w:p>
        </w:tc>
        <w:tc>
          <w:tcPr/>
          <w:p>
            <w:pPr>
              <w:spacing w:before="20" w:after="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  <w:tc>
          <w:tcPr/>
          <w:p>
            <w:pPr>
              <w:spacing w:before="20" w:after="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  <w:tc>
          <w:tcPr/>
          <w:p>
            <w:pPr>
              <w:spacing w:before="20" w:after="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 Non-agricultural (n=6,418)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264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1.08 (0.74–1.57)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0.508†</w:t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 Agricultural (n=6,256)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329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1.41 (0.97–2.05)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</w:tr>
      <w:tr>
        <w:tc>
          <w:tcPr/>
          <w:p>
            <w:pPr>
              <w:spacing w:before="20" w:after="0"/>
            </w:pPr>
            <w:r>
              <w:rPr>
                <w:b/>
                <w:sz w:val="18"/>
                <w:rFonts w:ascii="Times New Roman" w:hAnsi="Times New Roman"/>
              </w:rPr>
              <w:t xml:space="preserve">Pollution load (2 sources)</w:t>
            </w:r>
          </w:p>
        </w:tc>
        <w:tc>
          <w:tcPr/>
          <w:p>
            <w:pPr>
              <w:spacing w:before="20" w:after="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  <w:tc>
          <w:tcPr/>
          <w:p>
            <w:pPr>
              <w:spacing w:before="20" w:after="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  <w:tc>
          <w:tcPr/>
          <w:p>
            <w:pPr>
              <w:spacing w:before="20" w:after="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</w:tr>
      <w:tr>
        <w:tc>
          <w:tcPr/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 Non-agricultural (n=6,418)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264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1.38 (0.86–2.22)</w:t>
            </w:r>
          </w:p>
        </w:tc>
        <w:tc>
          <w:tcPr/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0.170†</w:t>
            </w:r>
          </w:p>
        </w:tc>
      </w:tr>
      <w:tr>
        <w:tc>
          <w:tcPr>
            <w:tcBorders>
              <w:bottom w:val="single" w:sz="12" w:space="0" w:color="000000"/>
            </w:tcBorders>
          </w:tcPr>
          <w:p>
            <w:pPr>
              <w:spacing w:before="20" w:after="20"/>
            </w:pPr>
            <w:r>
              <w:rPr>
                <w:sz w:val="18"/>
                <w:rFonts w:ascii="Times New Roman" w:hAnsi="Times New Roman"/>
              </w:rPr>
              <w:t xml:space="preserve"> Agricultural (n=6,256)</w:t>
            </w:r>
          </w:p>
        </w:tc>
        <w:tc>
          <w:tcPr>
            <w:tcBorders>
              <w:bottom w:val="single" w:sz="12" w:space="0" w:color="000000"/>
            </w:tcBorders>
          </w:tcPr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329</w:t>
            </w:r>
          </w:p>
        </w:tc>
        <w:tc>
          <w:tcPr>
            <w:tcBorders>
              <w:bottom w:val="single" w:sz="12" w:space="0" w:color="000000"/>
            </w:tcBorders>
          </w:tcPr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>1.44 (0.90–2.32)</w:t>
            </w:r>
          </w:p>
        </w:tc>
        <w:tc>
          <w:tcPr>
            <w:tcBorders>
              <w:bottom w:val="single" w:sz="12" w:space="0" w:color="000000"/>
            </w:tcBorders>
          </w:tcPr>
          <w:p>
            <w:pPr>
              <w:spacing w:before="20" w:after="20"/>
              <w:jc w:val="center"/>
            </w:pPr>
            <w:r>
              <w:rPr>
                <w:sz w:val="18"/>
                <w:rFonts w:ascii="Times New Roman" w:hAnsi="Times New Roman"/>
              </w:rPr>
              <w:t xml:space="preserve"/>
            </w:r>
          </w:p>
        </w:tc>
      </w:tr>
    </w:tbl>
    <w:p>
      <w:pPr>
        <w:spacing w:before="120" w:after="0"/>
      </w:pPr>
      <w:r>
        <w:rPr>
          <w:sz w:val="16"/>
          <w:rFonts w:ascii="Times New Roman" w:hAnsi="Times New Roman"/>
        </w:rPr>
        <w:t xml:space="preserve">Abbreviations: HR, hazard ratio; CI, confidence interval; MET, metabolic equivalent of task; sKOA, symptomatic knee osteoarthritis. All models adjusted for age, sex, BMI, education, smoking, alcohol use, and region. – indicates Events column not applicable. †P interaction from multiplicative interaction terms in Cox regression models.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Emf1" Type="http://schemas.openxmlformats.org/officeDocument/2006/relationships/image" Target="media/image_emf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