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ED705">
      <w:pPr>
        <w:spacing w:line="480" w:lineRule="auto"/>
        <w:jc w:val="center"/>
        <w:rPr>
          <w:rFonts w:ascii="Times New Roman" w:hAnsi="Times New Roman" w:cs="Times New Roman"/>
          <w:b/>
          <w:bCs/>
          <w:caps w:val="0"/>
          <w:color w:val="auto"/>
          <w:lang w:eastAsia="zh-TW"/>
        </w:rPr>
      </w:pPr>
      <w:bookmarkStart w:id="1" w:name="_GoBack"/>
      <w:bookmarkStart w:id="0" w:name="_Toc534204563"/>
      <w:r>
        <w:rPr>
          <w:rFonts w:hint="eastAsia" w:ascii="Times New Roman" w:hAnsi="Times New Roman" w:cs="Times New Roman"/>
          <w:b/>
          <w:bCs/>
          <w:caps w:val="0"/>
          <w:color w:val="auto"/>
          <w:lang w:eastAsia="zh-TW"/>
        </w:rPr>
        <w:t>Supplemental Digital Content</w:t>
      </w:r>
    </w:p>
    <w:bookmarkEnd w:id="1"/>
    <w:sdt>
      <w:sdtPr>
        <w:rPr>
          <w:rFonts w:ascii="Times New Roman" w:hAnsi="Times New Roman" w:eastAsia="宋体" w:cs="Times New Roman"/>
          <w:b w:val="0"/>
          <w:bCs w:val="0"/>
          <w:caps w:val="0"/>
          <w:color w:val="auto"/>
          <w:sz w:val="20"/>
          <w:szCs w:val="20"/>
          <w:lang w:val="zh-CN"/>
        </w:rPr>
        <w:id w:val="147473724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 w:val="0"/>
          <w:bCs w:val="0"/>
          <w:caps w:val="0"/>
          <w:color w:val="auto"/>
          <w:sz w:val="20"/>
          <w:szCs w:val="20"/>
          <w:lang w:val="en-US"/>
        </w:rPr>
      </w:sdtEndPr>
      <w:sdtContent>
        <w:p w14:paraId="0B36799C">
          <w:pPr>
            <w:pStyle w:val="11"/>
            <w:spacing w:line="240" w:lineRule="auto"/>
            <w:rPr>
              <w:rFonts w:ascii="Times New Roman" w:hAnsi="Times New Roman" w:cs="Times New Roman"/>
              <w:caps w:val="0"/>
              <w:color w:val="auto"/>
              <w:sz w:val="20"/>
              <w:szCs w:val="20"/>
              <w:lang w:eastAsia="zh-TW"/>
            </w:rPr>
          </w:pPr>
          <w:r>
            <w:rPr>
              <w:rFonts w:ascii="Times New Roman" w:hAnsi="Times New Roman" w:cs="Times New Roman"/>
              <w:caps w:val="0"/>
              <w:color w:val="auto"/>
              <w:sz w:val="20"/>
              <w:szCs w:val="20"/>
            </w:rPr>
            <w:t>Table of Contents:</w:t>
          </w:r>
        </w:p>
        <w:p w14:paraId="406081CF">
          <w:pPr>
            <w:pStyle w:val="5"/>
            <w:tabs>
              <w:tab w:val="right" w:leader="dot" w:pos="8306"/>
            </w:tabs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</w:pP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</w:rPr>
            <w:fldChar w:fldCharType="begin"/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</w:rPr>
            <w:instrText xml:space="preserve">TOC \o "1-3" \h \z \u</w:instrText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</w:rPr>
            <w:fldChar w:fldCharType="separate"/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begin"/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instrText xml:space="preserve"> HYPERLINK \l _Toc534204563 </w:instrText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t>S</w:t>
          </w:r>
          <w:r>
            <w:rPr>
              <w:rFonts w:hint="default" w:ascii="Times New Roman" w:hAnsi="Times New Roman" w:cs="Times New Roman"/>
              <w:b w:val="0"/>
              <w:bCs w:val="0"/>
              <w:caps w:val="0"/>
              <w:color w:val="auto"/>
              <w:szCs w:val="20"/>
              <w:lang w:val="en-US" w:eastAsia="zh-CN"/>
            </w:rPr>
            <w:t>upplemental Digital Content 1</w:t>
          </w:r>
          <w:r>
            <w:rPr>
              <w:rFonts w:hint="eastAsia"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t>: CONSORT Checklist</w:t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tab/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begin"/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instrText xml:space="preserve"> PAGEREF _Toc534204563 \h </w:instrText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separate"/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t>1</w:t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end"/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end"/>
          </w:r>
        </w:p>
        <w:p w14:paraId="378A1CBD">
          <w:pPr>
            <w:pStyle w:val="5"/>
            <w:tabs>
              <w:tab w:val="right" w:leader="dot" w:pos="8306"/>
            </w:tabs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</w:pP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begin"/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instrText xml:space="preserve"> HYPERLINK \l _Toc1894445881 </w:instrText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t>S</w:t>
          </w:r>
          <w:r>
            <w:rPr>
              <w:rFonts w:hint="default" w:ascii="Times New Roman" w:hAnsi="Times New Roman" w:cs="Times New Roman"/>
              <w:b w:val="0"/>
              <w:bCs w:val="0"/>
              <w:caps w:val="0"/>
              <w:color w:val="auto"/>
              <w:szCs w:val="20"/>
              <w:lang w:val="en-US" w:eastAsia="zh-CN"/>
            </w:rPr>
            <w:t>upplemental Digital Content</w:t>
          </w:r>
          <w:r>
            <w:rPr>
              <w:rFonts w:hint="eastAsia"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t xml:space="preserve"> 2: Sensitivity analysis results</w:t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tab/>
          </w:r>
          <w:r>
            <w:rPr>
              <w:rFonts w:hint="eastAsia" w:ascii="Times New Roman" w:hAnsi="Times New Roman" w:eastAsia="宋体" w:cs="Times New Roman"/>
              <w:b w:val="0"/>
              <w:bCs w:val="0"/>
              <w:caps w:val="0"/>
              <w:color w:val="auto"/>
              <w:szCs w:val="20"/>
              <w:lang w:val="en-US" w:eastAsia="zh-CN"/>
            </w:rPr>
            <w:t>3</w:t>
          </w: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  <w:lang w:eastAsia="zh-TW"/>
            </w:rPr>
            <w:fldChar w:fldCharType="end"/>
          </w:r>
        </w:p>
        <w:p w14:paraId="5D54B1BC">
          <w:pPr>
            <w:rPr>
              <w:rFonts w:hint="eastAsia"/>
              <w:lang w:val="en-US" w:eastAsia="zh-CN"/>
            </w:rPr>
          </w:pPr>
        </w:p>
        <w:p w14:paraId="79A81CC2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outlineLvl w:val="0"/>
            <w:rPr>
              <w:rFonts w:ascii="Times New Roman" w:hAnsi="Times New Roman" w:eastAsia="宋体" w:cs="Times New Roman"/>
              <w:b w:val="0"/>
              <w:bCs w:val="0"/>
              <w:caps w:val="0"/>
              <w:color w:val="auto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b w:val="0"/>
              <w:bCs w:val="0"/>
              <w:caps w:val="0"/>
              <w:color w:val="auto"/>
              <w:szCs w:val="20"/>
            </w:rPr>
            <w:fldChar w:fldCharType="end"/>
          </w:r>
        </w:p>
      </w:sdtContent>
    </w:sdt>
    <w:p w14:paraId="45D843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0"/>
        <w:rPr>
          <w:rFonts w:hint="eastAsia" w:ascii="Times New Roman" w:hAnsi="Times New Roman" w:cs="Times New Roman"/>
          <w:b/>
          <w:bCs/>
          <w:caps w:val="0"/>
          <w:color w:val="auto"/>
          <w:sz w:val="20"/>
          <w:szCs w:val="20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48096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0"/>
        <w:rPr>
          <w:rFonts w:ascii="Times New Roman" w:hAnsi="Times New Roman" w:cs="Times New Roman"/>
          <w:b/>
          <w:bCs/>
          <w:caps w:val="0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cs="Times New Roman"/>
          <w:b/>
          <w:bCs/>
          <w:caps w:val="0"/>
          <w:color w:val="auto"/>
          <w:sz w:val="20"/>
          <w:szCs w:val="20"/>
          <w:highlight w:val="none"/>
        </w:rPr>
        <w:t>Supplemental Digital Content 1: CONSORT Checklist</w:t>
      </w:r>
      <w:bookmarkEnd w:id="0"/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6580"/>
        <w:gridCol w:w="1359"/>
      </w:tblGrid>
      <w:tr w14:paraId="6ADA1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single" w:color="000000" w:sz="2" w:space="0"/>
              <w:left w:val="nil"/>
              <w:bottom w:val="single" w:color="auto" w:sz="4" w:space="0"/>
              <w:right w:val="nil"/>
            </w:tcBorders>
          </w:tcPr>
          <w:p w14:paraId="13206445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Item #</w:t>
            </w:r>
          </w:p>
        </w:tc>
        <w:tc>
          <w:tcPr>
            <w:tcW w:w="3860" w:type="pct"/>
            <w:tcBorders>
              <w:top w:val="single" w:color="000000" w:sz="2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E369B5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Checklist Item</w:t>
            </w:r>
          </w:p>
        </w:tc>
        <w:tc>
          <w:tcPr>
            <w:tcW w:w="797" w:type="pct"/>
            <w:tcBorders>
              <w:top w:val="single" w:color="000000" w:sz="2" w:space="0"/>
              <w:left w:val="nil"/>
              <w:bottom w:val="single" w:color="auto" w:sz="4" w:space="0"/>
              <w:right w:val="nil"/>
            </w:tcBorders>
          </w:tcPr>
          <w:p w14:paraId="277FCC86">
            <w:pPr>
              <w:pStyle w:val="10"/>
              <w:rPr>
                <w:rFonts w:hint="eastAsia"/>
                <w:caps w:val="0"/>
                <w:color w:val="auto"/>
                <w:lang w:val="en-US" w:eastAsia="zh-CN"/>
              </w:rPr>
            </w:pPr>
            <w:r>
              <w:rPr>
                <w:rFonts w:hint="eastAsia"/>
                <w:caps w:val="0"/>
                <w:color w:val="auto"/>
                <w:lang w:val="en-US" w:eastAsia="zh-CN"/>
              </w:rPr>
              <w:t>Response</w:t>
            </w:r>
          </w:p>
          <w:p w14:paraId="50521728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#</w:t>
            </w:r>
          </w:p>
        </w:tc>
      </w:tr>
      <w:tr w14:paraId="51048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151084F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1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0ACDEE90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Identified as a randomized trial in the title.</w:t>
            </w:r>
            <w:r>
              <w:rPr>
                <w:rFonts w:ascii="Times New Roman" w:hAnsi="Times New Roman"/>
                <w:caps w:val="0"/>
                <w:color w:val="auto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AA80093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28B7D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5BB0A43D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2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6DC54C2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Specific objectives or hypotheses clearly stated.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2F145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00F0D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83C794C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3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42E17870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Trial design (such as parallel, factorial) including allocation ratio.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602BF35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39DCB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7E54CB87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4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B2F4222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Important changes to methods after trial commencement (such as eligibility criteria), with reasons.</w:t>
            </w:r>
            <w:r>
              <w:rPr>
                <w:rFonts w:ascii="Times New Roman" w:hAnsi="Times New Roman"/>
                <w:caps w:val="0"/>
                <w:color w:val="auto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F56E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</w:tr>
      <w:tr w14:paraId="75E14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80610BB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5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3C22F46E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Eligibility criteria for participants.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44E4DEE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31FC7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46AD2C31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6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A9170FB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Settings and locations where the data were collected.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85F77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169F1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6EFE8A0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7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7CF03D51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The interventions for each group with sufficient details to allow replication, including how and when they were actually administered.</w:t>
            </w:r>
            <w:r>
              <w:rPr>
                <w:rFonts w:ascii="Times New Roman" w:hAnsi="Times New Roman"/>
                <w:caps w:val="0"/>
                <w:color w:val="auto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818A7C8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2EEBF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46968C2F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8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10D082A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Completely defined per-specified primary and secondary outcome measures, including how and when they were assessed.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C461A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3D088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8ABE690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9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40F91BB4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Any changes to trial outcomes after the trial commenced, with reasons.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9D4B816">
            <w:pPr>
              <w:jc w:val="left"/>
              <w:rPr>
                <w:rFonts w:hint="default" w:ascii="Times New Roman" w:hAnsi="Times New Roman" w:eastAsia="宋体" w:cs="Times New Roman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</w:tr>
      <w:tr w14:paraId="6E60F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3D01AD75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10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1BDAE5E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How sample size was determined.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CFF25">
            <w:pPr>
              <w:jc w:val="left"/>
              <w:rPr>
                <w:rFonts w:hint="default" w:ascii="Times New Roman" w:hAnsi="Times New Roman" w:eastAsia="宋体" w:cs="Times New Roman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78CB9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9DFBD41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11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5EFE84AB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Explanation of any interim analyses and stopping guidelines.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631D726">
            <w:pPr>
              <w:jc w:val="left"/>
              <w:rPr>
                <w:rFonts w:hint="default" w:ascii="Times New Roman" w:hAnsi="Times New Roman" w:eastAsia="宋体" w:cs="Times New Roman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7589D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718FE8DC">
            <w:pPr>
              <w:pStyle w:val="10"/>
              <w:rPr>
                <w:rFonts w:hint="default" w:ascii="Times New Roman" w:hAnsi="Times New Roman" w:eastAsiaTheme="minorEastAsia"/>
                <w:cap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ap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29D3B8D">
            <w:pPr>
              <w:pStyle w:val="10"/>
              <w:rPr>
                <w:rFonts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Method used to generate the random allocation sequence.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18A13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769BB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6E923AC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1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3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7BC822F4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Type of randomization; details of any restriction (such as blocking and block size).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F05C577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7FA59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3005CA9A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1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4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0130D94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Mechanism used to implement the random allocation sequence (such as sequentially numbered containers), describing any steps taken to conceal the sequence until interventions were assigned.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60DC5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3B9BC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B676EE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1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5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68F4D51D">
            <w:pPr>
              <w:pStyle w:val="10"/>
              <w:numPr>
                <w:ilvl w:val="0"/>
                <w:numId w:val="0"/>
              </w:numPr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Who generated the random allocation sequence, who enrolled participants, and who assigned participants to interventions.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8F3DD88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23728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20F0F34F">
            <w:pPr>
              <w:pStyle w:val="10"/>
              <w:rPr>
                <w:rFonts w:hint="default" w:ascii="Times New Roman" w:hAnsi="Times New Roman" w:eastAsiaTheme="minorEastAsia"/>
                <w:cap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ap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D6818AE">
            <w:pPr>
              <w:pStyle w:val="10"/>
              <w:rPr>
                <w:rFonts w:ascii="Times New Roman" w:hAnsi="Times New Roman"/>
                <w:b/>
                <w:i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If done, who was blinded after assignment to interventions (for example, participants, care providers, those assessing outcomes).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2B8CF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57C20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FF74AC9">
            <w:pPr>
              <w:pStyle w:val="10"/>
              <w:rPr>
                <w:rFonts w:hint="default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hint="eastAsia"/>
                <w:caps w:val="0"/>
                <w:color w:val="auto"/>
                <w:lang w:val="en-US" w:eastAsia="zh-CN"/>
              </w:rPr>
              <w:t>17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1EAF52A0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If relevant, description of the similarity of interventions.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D40359E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</w:tr>
      <w:tr w14:paraId="2F0A7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774092BC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1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8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912E067">
            <w:pPr>
              <w:pStyle w:val="10"/>
              <w:numPr>
                <w:ilvl w:val="0"/>
                <w:numId w:val="0"/>
              </w:numPr>
              <w:rPr>
                <w:rFonts w:ascii="Times New Roman" w:hAnsi="Times New Roman"/>
                <w:caps w:val="0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Statistical methods used to compare groups for primary and secondary outcomes.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13923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015AD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0437E8E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1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9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1C73A0B5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Methods for additional analyses, such as subgroup analyses and adjusted analyses.</w:t>
            </w:r>
            <w:r>
              <w:rPr>
                <w:rFonts w:ascii="Times New Roman" w:hAnsi="Times New Roman"/>
                <w:caps w:val="0"/>
                <w:color w:val="auto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A87855C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7F0D9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38AC3EB4">
            <w:pPr>
              <w:pStyle w:val="10"/>
              <w:rPr>
                <w:rFonts w:hint="default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hint="eastAsia"/>
                <w:caps w:val="0"/>
                <w:color w:val="auto"/>
                <w:lang w:val="en-US" w:eastAsia="zh-CN"/>
              </w:rPr>
              <w:t>20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DFE48F4">
            <w:pPr>
              <w:pStyle w:val="10"/>
              <w:rPr>
                <w:rFonts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 each group, the numbers of participants who were randomly assigned, received intended treatment, and were analyzed for the primary outcome.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831B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63CBB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7A2D69F">
            <w:pPr>
              <w:pStyle w:val="10"/>
              <w:rPr>
                <w:rFonts w:hint="default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hint="eastAsia"/>
                <w:caps w:val="0"/>
                <w:color w:val="auto"/>
                <w:lang w:val="en-US" w:eastAsia="zh-CN"/>
              </w:rPr>
              <w:t>21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768BDF3F">
            <w:pPr>
              <w:pStyle w:val="10"/>
              <w:rPr>
                <w:rFonts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 each group, losses and exclusions after randomization, together with reasons.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850F7CB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000000" w:themeColor="text1"/>
                <w:sz w:val="20"/>
                <w:szCs w:val="2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3DD41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733482D0">
            <w:pPr>
              <w:pStyle w:val="10"/>
              <w:rPr>
                <w:rFonts w:hint="default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hint="eastAsia"/>
                <w:caps w:val="0"/>
                <w:color w:val="auto"/>
                <w:lang w:val="en-US" w:eastAsia="zh-CN"/>
              </w:rPr>
              <w:t>22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CE3221A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Dates defining the periods of recruitment and follow-up.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F205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</w:tr>
      <w:tr w14:paraId="5D9D6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835E87">
            <w:pPr>
              <w:pStyle w:val="10"/>
              <w:rPr>
                <w:rFonts w:hint="default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hint="eastAsia"/>
                <w:caps w:val="0"/>
                <w:color w:val="auto"/>
                <w:lang w:val="en-US" w:eastAsia="zh-CN"/>
              </w:rPr>
              <w:t>23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1EF42E55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Why the trial ended or was stopped.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7C13799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191F5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1E521832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2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4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CDF4652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A table showing baseline demographic and clinical characteristics for each group.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36CDE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14931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EB7D0ED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2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5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61419FC6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For each group, number of participants (denominator) included in each analysis and whether the analysis was by original assigned groups.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586D107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729D5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7A1FDD2E">
            <w:pPr>
              <w:pStyle w:val="10"/>
              <w:rPr>
                <w:rFonts w:hint="default" w:ascii="Times New Roman" w:hAnsi="Times New Roman" w:eastAsiaTheme="minorEastAsia"/>
                <w:cap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ap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C29B88B">
            <w:pPr>
              <w:pStyle w:val="10"/>
              <w:rPr>
                <w:rFonts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ap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 each primary and secondary outcome, results for each group, and the estimated effect size and its precision (such as 95% confidence interval).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5C1CE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2F4F8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7DB2BB7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2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7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270FB01C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For binary outcomes, presentation of both absolute and relative effect sizes.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B766F69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6EC2F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0B6E518C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2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8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F17C6B4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Results of any other analyses performed, including subgroup analyses and adjusted analyses, distinguishing pre-specified from exploratory.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FBE96">
            <w:pPr>
              <w:pStyle w:val="10"/>
              <w:jc w:val="left"/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</w:tr>
      <w:tr w14:paraId="535C0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9C2EA22">
            <w:pPr>
              <w:pStyle w:val="10"/>
              <w:rPr>
                <w:rFonts w:hint="eastAsia" w:ascii="Times New Roman" w:hAnsi="Times New Roman" w:eastAsiaTheme="minorEastAsia"/>
                <w:caps w:val="0"/>
                <w:color w:val="auto"/>
                <w:lang w:eastAsia="zh-CN"/>
              </w:rPr>
            </w:pPr>
            <w:r>
              <w:rPr>
                <w:rFonts w:ascii="Times New Roman" w:hAnsi="Times New Roman"/>
                <w:caps w:val="0"/>
                <w:color w:val="auto"/>
              </w:rPr>
              <w:t>2</w:t>
            </w:r>
            <w:r>
              <w:rPr>
                <w:rFonts w:hint="eastAsia"/>
                <w:caps w:val="0"/>
                <w:color w:val="auto"/>
                <w:lang w:val="en-US" w:eastAsia="zh-CN"/>
              </w:rPr>
              <w:t>9</w:t>
            </w: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9D9D9"/>
          </w:tcPr>
          <w:p w14:paraId="4F5E58C5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All important harms or unintended effects in each group.</w:t>
            </w:r>
            <w:r>
              <w:rPr>
                <w:rFonts w:ascii="Times New Roman" w:hAnsi="Times New Roman"/>
                <w:caps w:val="0"/>
                <w:color w:val="auto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E18833F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  <w:tr w14:paraId="3E280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1541EB9">
            <w:pPr>
              <w:pStyle w:val="10"/>
              <w:rPr>
                <w:rFonts w:hint="default" w:ascii="Times New Roman" w:hAnsi="Times New Roman" w:eastAsiaTheme="minorEastAsia"/>
                <w:caps w:val="0"/>
                <w:color w:val="auto"/>
                <w:lang w:val="en-US" w:eastAsia="zh-CN"/>
              </w:rPr>
            </w:pPr>
            <w:r>
              <w:rPr>
                <w:rFonts w:hint="eastAsia"/>
                <w:caps w:val="0"/>
                <w:color w:val="auto"/>
                <w:lang w:val="en-US" w:eastAsia="zh-CN"/>
              </w:rPr>
              <w:t>30</w:t>
            </w:r>
          </w:p>
        </w:tc>
        <w:tc>
          <w:tcPr>
            <w:tcW w:w="38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1AC9C9">
            <w:pPr>
              <w:pStyle w:val="10"/>
              <w:rPr>
                <w:rFonts w:ascii="Times New Roman" w:hAnsi="Times New Roman"/>
                <w:caps w:val="0"/>
                <w:color w:val="auto"/>
              </w:rPr>
            </w:pPr>
            <w:r>
              <w:rPr>
                <w:rFonts w:hint="eastAsia" w:ascii="Times New Roman" w:hAnsi="Times New Roman"/>
                <w:caps w:val="0"/>
                <w:color w:val="auto"/>
              </w:rPr>
              <w:t>A data sharing statement is included.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CB6070">
            <w:pPr>
              <w:pStyle w:val="10"/>
              <w:jc w:val="left"/>
              <w:rPr>
                <w:rFonts w:hint="default" w:ascii="Times New Roman" w:hAnsi="Times New Roman" w:cs="Times New Roman" w:eastAsiaTheme="minorEastAsia"/>
                <w:cap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ap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</w:tr>
    </w:tbl>
    <w:p w14:paraId="0548634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>*This checklist has been adapted by the ASN journals for author and editor use.</w:t>
      </w:r>
    </w:p>
    <w:p w14:paraId="556EEAB7">
      <w:pPr>
        <w:spacing w:line="360" w:lineRule="auto"/>
        <w:rPr>
          <w:rFonts w:hint="eastAsia" w:ascii="Times New Roman" w:hAnsi="Times New Roman" w:cs="Times New Roman"/>
          <w:sz w:val="20"/>
          <w:szCs w:val="2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5CBE2B32">
      <w:pPr>
        <w:spacing w:line="360" w:lineRule="auto"/>
        <w:rPr>
          <w:rFonts w:hint="eastAsia" w:ascii="Times New Roman" w:hAnsi="Times New Roman" w:cs="Times New Roman"/>
          <w:b/>
          <w:bCs/>
          <w:caps w:val="0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 w:cs="Times New Roman"/>
          <w:b/>
          <w:bCs/>
          <w:caps w:val="0"/>
          <w:color w:val="auto"/>
          <w:sz w:val="20"/>
          <w:szCs w:val="20"/>
          <w:highlight w:val="none"/>
          <w:lang w:val="en-US" w:eastAsia="zh-CN"/>
        </w:rPr>
        <w:t>Supplemental Digital Content 2</w:t>
      </w:r>
      <w:r>
        <w:rPr>
          <w:rFonts w:hint="eastAsia" w:ascii="Times New Roman" w:hAnsi="Times New Roman" w:cs="Times New Roman"/>
          <w:b/>
          <w:bCs/>
          <w:caps w:val="0"/>
          <w:color w:val="auto"/>
          <w:sz w:val="20"/>
          <w:szCs w:val="20"/>
          <w:highlight w:val="none"/>
        </w:rPr>
        <w:t>: Sensitivity analysis results</w:t>
      </w:r>
    </w:p>
    <w:p w14:paraId="0621818D">
      <w:pPr>
        <w:spacing w:line="360" w:lineRule="auto"/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Table 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2.</w:t>
      </w:r>
      <w:r>
        <w:rPr>
          <w:rFonts w:hint="eastAsia" w:ascii="Times New Roman" w:hAnsi="Times New Roman" w:cs="Times New Roman"/>
          <w:sz w:val="20"/>
          <w:szCs w:val="20"/>
        </w:rPr>
        <w:t>1. Sensitivity analysis of primary and secondary outcomes (Complete Cases Only)</w:t>
      </w:r>
    </w:p>
    <w:tbl>
      <w:tblPr>
        <w:tblStyle w:val="6"/>
        <w:tblW w:w="14168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2"/>
        <w:gridCol w:w="2123"/>
        <w:gridCol w:w="2471"/>
        <w:gridCol w:w="2123"/>
        <w:gridCol w:w="2299"/>
      </w:tblGrid>
      <w:tr w14:paraId="40BCC6C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15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E74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Measure</w:t>
            </w:r>
          </w:p>
        </w:tc>
        <w:tc>
          <w:tcPr>
            <w:tcW w:w="24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4D1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Intervention (n = 65) </w:t>
            </w:r>
          </w:p>
        </w:tc>
        <w:tc>
          <w:tcPr>
            <w:tcW w:w="22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76A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Control (n = 63) </w:t>
            </w:r>
          </w:p>
        </w:tc>
      </w:tr>
      <w:tr w14:paraId="59D5C2C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152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BEC1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3277B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Baseline</w:t>
            </w:r>
          </w:p>
        </w:tc>
        <w:tc>
          <w:tcPr>
            <w:tcW w:w="2471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838E8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</w:t>
            </w:r>
          </w:p>
        </w:tc>
        <w:tc>
          <w:tcPr>
            <w:tcW w:w="212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4DA96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Baseline</w:t>
            </w:r>
          </w:p>
        </w:tc>
        <w:tc>
          <w:tcPr>
            <w:tcW w:w="2299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681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</w:t>
            </w:r>
          </w:p>
        </w:tc>
      </w:tr>
      <w:tr w14:paraId="0215362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5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46FC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m shuttle run, laps</w:t>
            </w:r>
          </w:p>
        </w:tc>
        <w:tc>
          <w:tcPr>
            <w:tcW w:w="212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6731D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 ± 8.8</w:t>
            </w:r>
          </w:p>
        </w:tc>
        <w:tc>
          <w:tcPr>
            <w:tcW w:w="247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1DC9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 ± 9.3</w:t>
            </w:r>
          </w:p>
        </w:tc>
        <w:tc>
          <w:tcPr>
            <w:tcW w:w="212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282C0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 ± 7.4</w:t>
            </w:r>
          </w:p>
        </w:tc>
        <w:tc>
          <w:tcPr>
            <w:tcW w:w="229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2E72F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27.9 ± 8.6</w:t>
            </w:r>
          </w:p>
        </w:tc>
      </w:tr>
      <w:tr w14:paraId="6B18AFF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AE0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VO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max, 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·kg⁻¹·min⁻¹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378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46.31 ± 2.90</w:t>
            </w:r>
          </w:p>
        </w:tc>
        <w:tc>
          <w:tcPr>
            <w:tcW w:w="24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126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47.78 ± 3.01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DCC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45.18 ± 2.60</w:t>
            </w:r>
          </w:p>
        </w:tc>
        <w:tc>
          <w:tcPr>
            <w:tcW w:w="2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718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46.41 ± 2.65</w:t>
            </w:r>
          </w:p>
        </w:tc>
      </w:tr>
      <w:tr w14:paraId="370612C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641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1-min rope skipping, repetitions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C7A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108.1 ± 27.2</w:t>
            </w:r>
          </w:p>
        </w:tc>
        <w:tc>
          <w:tcPr>
            <w:tcW w:w="24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6A4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118.8 ± 30.9*#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E8E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113.5 ± 28.5</w:t>
            </w:r>
          </w:p>
        </w:tc>
        <w:tc>
          <w:tcPr>
            <w:tcW w:w="2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6F1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116.2 ± 30.1*</w:t>
            </w:r>
          </w:p>
        </w:tc>
      </w:tr>
      <w:tr w14:paraId="7CC60B0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3C3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m sprint, s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CF9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10.05 ± 0.85</w:t>
            </w:r>
          </w:p>
        </w:tc>
        <w:tc>
          <w:tcPr>
            <w:tcW w:w="24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198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9.63 ± 0.67*#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AC6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9.88 ± 0.84</w:t>
            </w:r>
          </w:p>
        </w:tc>
        <w:tc>
          <w:tcPr>
            <w:tcW w:w="2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280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9.77 ± 0.85</w:t>
            </w:r>
          </w:p>
        </w:tc>
      </w:tr>
    </w:tbl>
    <w:p w14:paraId="72396A3F"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*p &lt; 0.05 vs preintervention; #p &lt; 0.05 vs control group.</w:t>
      </w:r>
    </w:p>
    <w:p w14:paraId="0DAD5A00">
      <w:pPr>
        <w:spacing w:line="360" w:lineRule="auto"/>
        <w:rPr>
          <w:rFonts w:hint="eastAsia"/>
          <w:sz w:val="20"/>
          <w:szCs w:val="20"/>
        </w:rPr>
      </w:pPr>
    </w:p>
    <w:p w14:paraId="2C6C6BA1">
      <w:pPr>
        <w:spacing w:line="360" w:lineRule="auto"/>
        <w:rPr>
          <w:rFonts w:hint="eastAsia"/>
          <w:sz w:val="20"/>
          <w:szCs w:val="20"/>
        </w:rPr>
      </w:pPr>
    </w:p>
    <w:p w14:paraId="663187B4">
      <w:pPr>
        <w:spacing w:line="360" w:lineRule="auto"/>
        <w:rPr>
          <w:rFonts w:hint="eastAsia" w:ascii="Times New Roman" w:hAnsi="Times New Roman" w:cs="Times New Roman"/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57B733F1">
      <w:pPr>
        <w:spacing w:line="360" w:lineRule="auto"/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Table S2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.2</w:t>
      </w:r>
      <w:r>
        <w:rPr>
          <w:rFonts w:hint="eastAsia" w:ascii="Times New Roman" w:hAnsi="Times New Roman" w:cs="Times New Roman"/>
          <w:sz w:val="20"/>
          <w:szCs w:val="20"/>
        </w:rPr>
        <w:t>. Subgroup sensitivity analyses by sex and baseline weight status (Complete Cases Only)</w:t>
      </w:r>
    </w:p>
    <w:tbl>
      <w:tblPr>
        <w:tblStyle w:val="6"/>
        <w:tblW w:w="14169" w:type="dxa"/>
        <w:jc w:val="center"/>
        <w:tblBorders>
          <w:top w:val="single" w:color="000000" w:sz="6" w:space="0"/>
          <w:left w:val="none" w:color="auto" w:sz="0" w:space="0"/>
          <w:bottom w:val="single" w:color="000000" w:sz="6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741"/>
        <w:gridCol w:w="3645"/>
        <w:gridCol w:w="1715"/>
        <w:gridCol w:w="1836"/>
        <w:gridCol w:w="1654"/>
        <w:gridCol w:w="1718"/>
      </w:tblGrid>
      <w:tr w14:paraId="79FA10BA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98F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27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6BD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Baseline weight status</w:t>
            </w:r>
          </w:p>
        </w:tc>
        <w:tc>
          <w:tcPr>
            <w:tcW w:w="36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A16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Measure</w:t>
            </w:r>
          </w:p>
        </w:tc>
        <w:tc>
          <w:tcPr>
            <w:tcW w:w="1836" w:type="dxa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76888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Intervention</w:t>
            </w:r>
          </w:p>
        </w:tc>
        <w:tc>
          <w:tcPr>
            <w:tcW w:w="1718" w:type="dxa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FB1A2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Control</w:t>
            </w:r>
          </w:p>
        </w:tc>
      </w:tr>
      <w:tr w14:paraId="459723E6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60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B1B0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ED984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3645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A2DB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sz w:val="22"/>
                <w:szCs w:val="20"/>
                <w:u w:val="none"/>
              </w:rPr>
            </w:pPr>
          </w:p>
        </w:tc>
        <w:tc>
          <w:tcPr>
            <w:tcW w:w="17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C044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Baseline</w:t>
            </w:r>
          </w:p>
        </w:tc>
        <w:tc>
          <w:tcPr>
            <w:tcW w:w="18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F48DA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Post</w:t>
            </w:r>
          </w:p>
        </w:tc>
        <w:tc>
          <w:tcPr>
            <w:tcW w:w="165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019B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Baseline</w:t>
            </w:r>
          </w:p>
        </w:tc>
        <w:tc>
          <w:tcPr>
            <w:tcW w:w="171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55AE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Post</w:t>
            </w:r>
          </w:p>
        </w:tc>
      </w:tr>
      <w:tr w14:paraId="233DE264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DC62A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Boys</w:t>
            </w:r>
          </w:p>
        </w:tc>
        <w:tc>
          <w:tcPr>
            <w:tcW w:w="274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5141D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Normal weight </w:t>
            </w:r>
          </w:p>
          <w:p w14:paraId="234C06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(n=1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; control n=1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4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A00C5B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20-m shuttle run, laps</w:t>
            </w:r>
          </w:p>
        </w:tc>
        <w:tc>
          <w:tcPr>
            <w:tcW w:w="171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C83F11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29.45 ± 8.45</w:t>
            </w:r>
          </w:p>
        </w:tc>
        <w:tc>
          <w:tcPr>
            <w:tcW w:w="183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DDC7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39.55 ± 5.10*</w:t>
            </w:r>
          </w:p>
        </w:tc>
        <w:tc>
          <w:tcPr>
            <w:tcW w:w="165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D849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27.25 ± 6.05</w:t>
            </w:r>
          </w:p>
        </w:tc>
        <w:tc>
          <w:tcPr>
            <w:tcW w:w="17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B2A6C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29.45 ± 8.45</w:t>
            </w:r>
          </w:p>
        </w:tc>
      </w:tr>
      <w:tr w14:paraId="65D24822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6F2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79E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E87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VO</w:t>
            </w:r>
            <w:r>
              <w:rPr>
                <w:rStyle w:val="8"/>
                <w:rFonts w:hint="default" w:ascii="Times New Roman" w:hAnsi="Times New Roman" w:eastAsia="微软雅黑" w:cs="Times New Roman"/>
                <w:b w:val="0"/>
                <w:sz w:val="20"/>
                <w:lang w:val="en-US" w:eastAsia="zh-CN" w:bidi="ar"/>
              </w:rPr>
              <w:t>₂</w:t>
            </w:r>
            <w:r>
              <w:rPr>
                <w:rStyle w:val="9"/>
                <w:rFonts w:hint="default" w:ascii="Times New Roman" w:hAnsi="Times New Roman" w:eastAsia="微软雅黑" w:cs="Times New Roman"/>
                <w:b w:val="0"/>
                <w:sz w:val="20"/>
                <w:lang w:val="en-US" w:eastAsia="zh-CN" w:bidi="ar"/>
              </w:rPr>
              <w:t>max, mL·kg</w:t>
            </w:r>
            <w:r>
              <w:rPr>
                <w:rStyle w:val="8"/>
                <w:rFonts w:hint="default" w:ascii="Times New Roman" w:hAnsi="Times New Roman" w:eastAsia="微软雅黑" w:cs="Times New Roman"/>
                <w:b w:val="0"/>
                <w:sz w:val="20"/>
                <w:lang w:val="en-US" w:eastAsia="zh-CN" w:bidi="ar"/>
              </w:rPr>
              <w:t>⁻</w:t>
            </w:r>
            <w:r>
              <w:rPr>
                <w:rStyle w:val="9"/>
                <w:rFonts w:hint="default" w:ascii="Times New Roman" w:hAnsi="Times New Roman" w:eastAsia="微软雅黑" w:cs="Times New Roman"/>
                <w:b w:val="0"/>
                <w:sz w:val="20"/>
                <w:lang w:val="en-US" w:eastAsia="zh-CN" w:bidi="ar"/>
              </w:rPr>
              <w:t>¹·min</w:t>
            </w:r>
            <w:r>
              <w:rPr>
                <w:rStyle w:val="8"/>
                <w:rFonts w:hint="default" w:ascii="Times New Roman" w:hAnsi="Times New Roman" w:eastAsia="微软雅黑" w:cs="Times New Roman"/>
                <w:b w:val="0"/>
                <w:sz w:val="20"/>
                <w:lang w:val="en-US" w:eastAsia="zh-CN" w:bidi="ar"/>
              </w:rPr>
              <w:t>⁻</w:t>
            </w:r>
            <w:r>
              <w:rPr>
                <w:rStyle w:val="9"/>
                <w:rFonts w:hint="default" w:ascii="Times New Roman" w:hAnsi="Times New Roman" w:eastAsia="微软雅黑" w:cs="Times New Roman"/>
                <w:b w:val="0"/>
                <w:sz w:val="20"/>
                <w:lang w:val="en-US" w:eastAsia="zh-CN" w:bidi="ar"/>
              </w:rPr>
              <w:t>¹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DE66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46.95 ± 3.05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696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49.88 ± 1.95*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4FC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46.38 ± 2.75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13F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46.95 ± 3.05</w:t>
            </w:r>
          </w:p>
        </w:tc>
      </w:tr>
      <w:tr w14:paraId="62F59226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ED5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B48A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71A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Jump rope test (turns·min⁻¹)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582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107.10 ± 25.50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654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115.80 ± 19.80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2E6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113.50± 25.10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A35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107.10 ± 25.50</w:t>
            </w:r>
          </w:p>
        </w:tc>
      </w:tr>
      <w:tr w14:paraId="51F2F571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9FE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6AB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B17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50-meter dash (s)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5096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9.70 ± 0.50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354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9.34 ± 0.52*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57C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9.42 ± 0.58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9BF8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9.70 ± 0.50</w:t>
            </w:r>
          </w:p>
        </w:tc>
      </w:tr>
      <w:tr w14:paraId="66043B7B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4F0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Boys</w:t>
            </w:r>
          </w:p>
        </w:tc>
        <w:tc>
          <w:tcPr>
            <w:tcW w:w="27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B2F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Overweight/obesity</w:t>
            </w:r>
          </w:p>
          <w:p w14:paraId="590AD0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; control n=1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69E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20-m shuttle run, laps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5EE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23.65 ± 9.00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BA1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28.95 ± 9.05*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699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18.25 ± 8.65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321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23.65 ± 9.00</w:t>
            </w:r>
          </w:p>
        </w:tc>
      </w:tr>
      <w:tr w14:paraId="460452BD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1A0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8E3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BD1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VO₂max, mL·kg⁻¹·min⁻¹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A37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45.65 ± 3.20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099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46.98 ± 3.05*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CDF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43.60 ± 2.90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452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45.65 ± 3.20</w:t>
            </w:r>
          </w:p>
        </w:tc>
      </w:tr>
      <w:tr w14:paraId="0BA3747F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32B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992C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124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Jump rope test (turns·min⁻¹)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1A5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88.20 ± 25.10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D78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96.50 ± 27.10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1E3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103.50± 26.80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1B3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88.20 ± 25.10</w:t>
            </w:r>
          </w:p>
        </w:tc>
      </w:tr>
      <w:tr w14:paraId="73061AD4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248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23B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C3A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50-meter dash (s)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098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10.25 ± 0.90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1E9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9.91 ± 0.62*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D99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10.11 ± 0.82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DC5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10.25 ± 0.90</w:t>
            </w:r>
          </w:p>
        </w:tc>
      </w:tr>
      <w:tr w14:paraId="1CFAF55E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C40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Girls</w:t>
            </w:r>
          </w:p>
        </w:tc>
        <w:tc>
          <w:tcPr>
            <w:tcW w:w="27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A5D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Normal weight</w:t>
            </w:r>
          </w:p>
          <w:p w14:paraId="6C56BA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(n=2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; control n=2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096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20-m shuttle run, laps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8E3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30.35 ± 8.85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B26E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33.75 ± 9.35*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72DC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24.65 ± 6.75#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4AC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30.35 ± 8.85</w:t>
            </w:r>
          </w:p>
        </w:tc>
      </w:tr>
      <w:tr w14:paraId="67FEF620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7C3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14D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1AB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VO₂max, mL·kg⁻¹·min⁻¹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2DE9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47.10 ± 2.75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BAE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47.85 ± 3.10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1E23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45.95 ± 1.75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D21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47.10 ± 2.75</w:t>
            </w:r>
          </w:p>
        </w:tc>
      </w:tr>
      <w:tr w14:paraId="700AA64F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D3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261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58A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Jump rope test (turns·min⁻¹)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50A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124.80 ± 23.50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687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138.50 ± 26.50*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B14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119.50± 32.50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101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124.80 ± 23.50</w:t>
            </w:r>
          </w:p>
        </w:tc>
      </w:tr>
      <w:tr w14:paraId="2CB48AC2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0EA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D1F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30F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50-meter dash (s)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1C9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9.85 ± 0.74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462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9.36 ± 0.65*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A28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9.88 ± 0.95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CC4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9.85 ± 0.74</w:t>
            </w:r>
          </w:p>
        </w:tc>
      </w:tr>
      <w:tr w14:paraId="7D5E550D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0CD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Girls</w:t>
            </w:r>
          </w:p>
        </w:tc>
        <w:tc>
          <w:tcPr>
            <w:tcW w:w="27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B76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Overweight/obesity</w:t>
            </w:r>
          </w:p>
          <w:p w14:paraId="7E8225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(n=1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; control n=1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D43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20-m shuttle run, laps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6749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22.25 ± 5.25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440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26.10 ± 8.55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A88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20.85 ± 4.10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AC1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22.25 ± 5.25</w:t>
            </w:r>
          </w:p>
        </w:tc>
      </w:tr>
      <w:tr w14:paraId="33FEB556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A91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EE8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255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Estimated VO₂max, mL·kg⁻¹·min⁻¹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B87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45.05 ± 1.75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55CE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45.85 ± 2.50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07D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44.65 ± 2.20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E6B9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45.05 ± 1.75</w:t>
            </w:r>
          </w:p>
        </w:tc>
      </w:tr>
      <w:tr w14:paraId="794979BC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360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F2E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69B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Jump rope test (turns·min⁻¹)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AF5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114.50 ± 18.50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26A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129.20 ± 35.50*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2BE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117.50± 27.80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386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114.50 ± 18.50</w:t>
            </w:r>
          </w:p>
        </w:tc>
      </w:tr>
      <w:tr w14:paraId="533CDEED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0E7A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DF2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6DD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50-meter dash (s)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186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10.50 ± 1.15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991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10.02 ± 0.69*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E1C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10.05 ± 0.75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696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10.50 ± 1.15</w:t>
            </w:r>
          </w:p>
        </w:tc>
      </w:tr>
    </w:tbl>
    <w:p w14:paraId="09080BC6">
      <w:pPr>
        <w:spacing w:line="360" w:lineRule="auto"/>
        <w:rPr>
          <w:rFonts w:hint="eastAsia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*p &lt; 0.05 vs preintervention; #p &lt; 0.05 vs control group.</w:t>
      </w:r>
    </w:p>
    <w:p w14:paraId="10B1F387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7D3C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99003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99003"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401E6"/>
    <w:rsid w:val="033E4BBF"/>
    <w:rsid w:val="450510BB"/>
    <w:rsid w:val="67E175F7"/>
    <w:rsid w:val="6DAD1B2E"/>
    <w:rsid w:val="764401E6"/>
    <w:rsid w:val="7D56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2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nhideWhenUsed/>
    <w:qFormat/>
    <w:uiPriority w:val="39"/>
    <w:pPr>
      <w:spacing w:before="240" w:after="120"/>
    </w:pPr>
    <w:rPr>
      <w:rFonts w:asciiTheme="minorHAnsi" w:eastAsiaTheme="minorHAnsi"/>
      <w:b/>
      <w:bCs/>
      <w:sz w:val="20"/>
      <w:szCs w:val="20"/>
    </w:rPr>
  </w:style>
  <w:style w:type="character" w:customStyle="1" w:styleId="8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lang w:val="en-CA" w:eastAsia="en-CA" w:bidi="ar-SA"/>
    </w:rPr>
  </w:style>
  <w:style w:type="paragraph" w:customStyle="1" w:styleId="11">
    <w:name w:val="TOC 标题1"/>
    <w:basedOn w:val="2"/>
    <w:next w:val="1"/>
    <w:autoRedefine/>
    <w:unhideWhenUsed/>
    <w:qFormat/>
    <w:uiPriority w:val="39"/>
    <w:p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2E54A1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863</Words>
  <Characters>4428</Characters>
  <Lines>0</Lines>
  <Paragraphs>0</Paragraphs>
  <TotalTime>4</TotalTime>
  <ScaleCrop>false</ScaleCrop>
  <LinksUpToDate>false</LinksUpToDate>
  <CharactersWithSpaces>5070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2026-01-07T05:34:00Z</dcterms:created>
  <dc:creator>老景</dc:creator>
  <cp:lastModifiedBy>老景</cp:lastModifiedBy>
  <dcterms:modified xsi:type="dcterms:W3CDTF">2026-01-14T06:12:12Z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D4FECC965DCB467D884FFA4FA212FD22_11</vt:lpwstr>
  </property>
  <property fmtid="{D5CDD505-2E9C-101B-9397-08002B2CF9AE}" pid="4" name="KSOTemplateDocerSaveRecord">
    <vt:lpwstr>eyJoZGlkIjoiMzEwNTM5NzYwMDRjMzkwZTVkZjY2ODkwMGIxNGU0OTUiLCJ1c2VySWQiOiIzNjM3NjIwMDcifQ==</vt:lpwstr>
  </property>
</Properties>
</file>