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AD7" w:rsidRPr="00CB73D3" w:rsidRDefault="00325AD7" w:rsidP="00325AD7">
      <w:pPr>
        <w:spacing w:after="72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73D3">
        <w:rPr>
          <w:rFonts w:ascii="Times New Roman" w:hAnsi="Times New Roman" w:cs="Times New Roman"/>
          <w:b/>
          <w:bCs/>
          <w:sz w:val="24"/>
          <w:szCs w:val="24"/>
        </w:rPr>
        <w:t>Supplementary Tables</w:t>
      </w:r>
    </w:p>
    <w:p w:rsidR="00325AD7" w:rsidRPr="00CB73D3" w:rsidRDefault="00325AD7" w:rsidP="00325AD7">
      <w:pPr>
        <w:rPr>
          <w:rFonts w:ascii="Times New Roman" w:hAnsi="Times New Roman" w:cs="Times New Roman"/>
        </w:rPr>
      </w:pPr>
      <w:r w:rsidRPr="00CB73D3">
        <w:rPr>
          <w:rFonts w:ascii="Times New Roman" w:eastAsia="Arial" w:hAnsi="Times New Roman" w:cs="Times New Roman"/>
          <w:b/>
          <w:bCs/>
          <w:sz w:val="20"/>
          <w:szCs w:val="20"/>
        </w:rPr>
        <w:t>Supplementary Table 1: Full Binary Logistic Regression Results for All Predictors of SRH Service Utilisation among AYPWD in Ghana's Bono Region (N = 440)</w:t>
      </w:r>
    </w:p>
    <w:p w:rsidR="00325AD7" w:rsidRPr="00CB73D3" w:rsidRDefault="00325AD7" w:rsidP="00325AD7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1190"/>
        <w:gridCol w:w="533"/>
        <w:gridCol w:w="707"/>
        <w:gridCol w:w="476"/>
        <w:gridCol w:w="508"/>
        <w:gridCol w:w="533"/>
        <w:gridCol w:w="476"/>
        <w:gridCol w:w="508"/>
        <w:gridCol w:w="591"/>
        <w:gridCol w:w="476"/>
        <w:gridCol w:w="593"/>
        <w:gridCol w:w="533"/>
        <w:gridCol w:w="476"/>
        <w:gridCol w:w="476"/>
        <w:gridCol w:w="533"/>
        <w:gridCol w:w="476"/>
        <w:gridCol w:w="593"/>
        <w:gridCol w:w="707"/>
        <w:gridCol w:w="476"/>
        <w:gridCol w:w="650"/>
        <w:gridCol w:w="476"/>
        <w:gridCol w:w="476"/>
        <w:gridCol w:w="476"/>
        <w:gridCol w:w="533"/>
        <w:gridCol w:w="476"/>
      </w:tblGrid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Predictor</w:t>
            </w:r>
          </w:p>
        </w:tc>
        <w:tc>
          <w:tcPr>
            <w:tcW w:w="641" w:type="pct"/>
            <w:gridSpan w:val="3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Contraceptive Info</w:t>
            </w:r>
          </w:p>
        </w:tc>
        <w:tc>
          <w:tcPr>
            <w:tcW w:w="556" w:type="pct"/>
            <w:gridSpan w:val="3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STI Screening</w:t>
            </w:r>
          </w:p>
        </w:tc>
        <w:tc>
          <w:tcPr>
            <w:tcW w:w="555" w:type="pct"/>
            <w:gridSpan w:val="3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HIV Testing</w:t>
            </w:r>
          </w:p>
        </w:tc>
        <w:tc>
          <w:tcPr>
            <w:tcW w:w="641" w:type="pct"/>
            <w:gridSpan w:val="3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Personal Hygiene</w:t>
            </w:r>
          </w:p>
        </w:tc>
        <w:tc>
          <w:tcPr>
            <w:tcW w:w="598" w:type="pct"/>
            <w:gridSpan w:val="3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Menstrual Health</w:t>
            </w:r>
          </w:p>
        </w:tc>
        <w:tc>
          <w:tcPr>
            <w:tcW w:w="598" w:type="pct"/>
            <w:gridSpan w:val="3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Safe Abortion</w:t>
            </w:r>
          </w:p>
        </w:tc>
        <w:tc>
          <w:tcPr>
            <w:tcW w:w="555" w:type="pct"/>
            <w:gridSpan w:val="3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ANC</w:t>
            </w:r>
          </w:p>
        </w:tc>
        <w:tc>
          <w:tcPr>
            <w:tcW w:w="556" w:type="pct"/>
            <w:gridSpan w:val="3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Other SRH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OR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95% CI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OR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95% CI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OR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95% CI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OR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95% CI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OR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95% CI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OR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95% CI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OR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95% CI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OR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95% CI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p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Model Fit (McF R²)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0.450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—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—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0.273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—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—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0.496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—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—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0.542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—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—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0.356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—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—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0.550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—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—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1.000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—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—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0.352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—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—</w:t>
            </w:r>
          </w:p>
        </w:tc>
      </w:tr>
      <w:tr w:rsidR="00325AD7" w:rsidRPr="00CB73D3" w:rsidTr="00325AD7">
        <w:tc>
          <w:tcPr>
            <w:tcW w:w="5000" w:type="pct"/>
            <w:gridSpan w:val="25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Sex (ref = Male)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Female – Male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12.79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4.23–38.72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&lt; 0.001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1.16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0.62–2.15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0.643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2.01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0.65–6.23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0.225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3.88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1.51–9.93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26.73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12.25–58.29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&lt; 0.001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109.48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4.72–2538.93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0.003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176.0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0.16–0.54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&lt; 0.001</w:t>
            </w:r>
          </w:p>
        </w:tc>
      </w:tr>
      <w:tr w:rsidR="00325AD7" w:rsidRPr="00CB73D3" w:rsidTr="00325AD7">
        <w:tc>
          <w:tcPr>
            <w:tcW w:w="5000" w:type="pct"/>
            <w:gridSpan w:val="25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District (ref = Wenchi)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Dormaa – Wenchi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14.95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3.50–63.84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&lt; 0.001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4.95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1.82–13.46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56.43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8.11–392.51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&lt; 0.001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31.11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8.22–117.68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&lt; 0.001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12.23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4.35–34.39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&lt; 0.001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51.50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2.67–992.50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0.009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1.66e+13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0.02–0.17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&lt; 0.001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Sunyani – Wenchi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1.66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0.48–5.78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0.426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0.40–2.48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0.988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1.84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0.31–11.02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0.502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160.53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28.73–896.81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&lt; 0.001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1.76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0.74–4.21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0.203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5.72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0.34–95.30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0.224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5.36e+6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0.05–0.35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&lt; 0.001</w:t>
            </w:r>
          </w:p>
        </w:tc>
      </w:tr>
      <w:tr w:rsidR="00325AD7" w:rsidRPr="00CB73D3" w:rsidTr="00325AD7">
        <w:tc>
          <w:tcPr>
            <w:tcW w:w="5000" w:type="pct"/>
            <w:gridSpan w:val="25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Age (ref = 15 years)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16 – 15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0.00–6.14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0.317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0.14–4.88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0.825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5.38e-8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0.03–0.88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0.48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0.13–1.84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0.285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2.26e-28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0.08–1.15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0.080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17 – 15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18.90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1.02–351.07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0.049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1.18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0.16–8.66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0.868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5.09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0.17–150.41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0.346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0.01–0.68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0.020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0.69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0.13–3.82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0.675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1.55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1.08e-18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0.19–5.31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0.989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18 – 15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61.12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3.30–1131.07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1.23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0.18–8.16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0.832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2.63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0.08–84.34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0.585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2.98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0.34–26.51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0.327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3.23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0.70–14.95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0.134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5.53e+7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6.35e-15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1.56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0.29–8.55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0.606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19 – 15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4.89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0.34–70.95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0.245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0.19–6.18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0.939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2.80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0.11–68.24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0.527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0.12–4.52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0.728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1.40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0.36–5.38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0.626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5.01e+7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3.85e-14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0.08–1.45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0.148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20 – 15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52.37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3.01–911.43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2.32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0.39–14.00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0.357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16.96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0.65–440.88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0.089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0.05–3.34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0.391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1.62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0.37–7.03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0.519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1.20e+8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4.78e+2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0.21–4.25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0.945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21 – 15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62.97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3.31–1197.04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4.27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0.67–27.26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0.124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53.92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1.83–1584.94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0.021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0.03–12.37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0.755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1.27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0.27–5.95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0.763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2.46e+7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1.45e-14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0.14–3.28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0.630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 xml:space="preserve">  22 – 15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21.22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1.09–413.58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0.044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3.90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0.63–23.90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0.142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76.34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2.87–2032.29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0.01–1.24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0.077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0.92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0.20–4.15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0.912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1.07e+8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6.54e+5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1.13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0.24–5.30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0.879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23 – 15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77.91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3.82–1588.67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3.72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0.55–25.05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0.176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2.93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0.07–122.96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0.573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0.01–1.13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0.062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0.16–4.02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0.787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9.12e+7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8.90e-6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0.18–5.25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0.973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24 – 15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149.93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6.00–3744.07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10.04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1.33–75.95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0.025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3.27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0.09–121.95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0.521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0.02–21.47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0.853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2.55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0.43–14.92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0.300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4.24e+8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5.96e-7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0.03–1.23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0.080</w:t>
            </w:r>
          </w:p>
        </w:tc>
      </w:tr>
      <w:tr w:rsidR="00325AD7" w:rsidRPr="00CB73D3" w:rsidTr="00325AD7">
        <w:tc>
          <w:tcPr>
            <w:tcW w:w="5000" w:type="pct"/>
            <w:gridSpan w:val="25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Religion (ref = No religion)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Christian – No religion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0.11–4.26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0.682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0.18–2.18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0.456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1.09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0.12–9.87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0.939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1.13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0.21–6.08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0.889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0.16–2.73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0.567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0.04–28.68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0.977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8.69e-6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0.11–1.88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0.283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Muslim – No religion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0.19–6.25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0.935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0.19–2.62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0.611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2.46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0.22–27.44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0.464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0.13–3.55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0.638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0.84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0.21–3.36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0.811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1.10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0.03–37.85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0.958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448.03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0.06–1.00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0.050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Traditional – No religion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29.51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0.91–959.10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0.057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4.33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0.43–43.73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0.214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5.95e-7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1.02e+8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12.26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0.72–209.24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0.083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3.88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0.05–301.02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0.542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50.77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0.01–2.23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0.160</w:t>
            </w:r>
          </w:p>
        </w:tc>
      </w:tr>
      <w:tr w:rsidR="00325AD7" w:rsidRPr="00CB73D3" w:rsidTr="00325AD7">
        <w:tc>
          <w:tcPr>
            <w:tcW w:w="5000" w:type="pct"/>
            <w:gridSpan w:val="25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Living Arrangement (ref = Alone)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With family – Alone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0.07–0.72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0.22–1.21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0.128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1.30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0.27–6.27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0.745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1.13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0.20–6.47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0.889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0.33–2.23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0.751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0.10–4.39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0.659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26.03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2.06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0.74–5.74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0.166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Roommate – Alone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0.22–2.18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0.535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0.35–2.11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0.744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3.52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0.83–14.89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0.087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2.45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0.35–17.03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0.364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1.79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0.63–5.13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0.275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1.32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0.17–10.54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0.791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2.27e+5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2.11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0.73–6.10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0.167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Institution – Alone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0.28–2.73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0.826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0.35–1.94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0.653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1.54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0.29–8.00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0.611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1.86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0.27–12.63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0.524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1.19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0.47–3.03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0.719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0.10–6.73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0.861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3.91e+4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3.75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1.36–10.34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0.011</w:t>
            </w:r>
          </w:p>
        </w:tc>
      </w:tr>
      <w:tr w:rsidR="00325AD7" w:rsidRPr="00CB73D3" w:rsidTr="00325AD7">
        <w:tc>
          <w:tcPr>
            <w:tcW w:w="5000" w:type="pct"/>
            <w:gridSpan w:val="25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Marital Status (ref = Single)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Cohabiting – Single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8.82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2.75–28.25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&lt; 0.001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0.40–2.68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0.940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3.62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0.78–16.74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0.099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0.03–0.59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0.35–2.29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0.827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0.08–2.56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0.364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1.15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0.44–3.00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0.774</w:t>
            </w:r>
          </w:p>
        </w:tc>
      </w:tr>
      <w:tr w:rsidR="00325AD7" w:rsidRPr="00CB73D3" w:rsidTr="00325AD7">
        <w:tc>
          <w:tcPr>
            <w:tcW w:w="5000" w:type="pct"/>
            <w:gridSpan w:val="25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Residence (ref = Rural)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Urban – Rural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1.14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0.37–3.47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0.821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2.96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1.10–7.98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1.30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0.30–5.64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0.722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1.57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0.56–4.38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0.392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1.19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0.52–2.74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0.680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4.63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0.51–41.99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0.173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1.86e-18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0.42–2.33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0.970</w:t>
            </w:r>
          </w:p>
        </w:tc>
      </w:tr>
      <w:tr w:rsidR="00325AD7" w:rsidRPr="00CB73D3" w:rsidTr="00325AD7">
        <w:tc>
          <w:tcPr>
            <w:tcW w:w="5000" w:type="pct"/>
            <w:gridSpan w:val="25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Education (ref = No formal education)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Primary – No formal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10.12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1.62–63.03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1.51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0.45–5.10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0.508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8.37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1.17–60.09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1.41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0.28–7.09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0.678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2.13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0.68–6.66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0.192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3.80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0.21–67.69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0.364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1.39e+3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1.16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0.39–3.42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0.789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Secondary/Technical – No formal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1.95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0.53–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7.26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0.3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18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1.51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0.51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–4.43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0.4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53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1.33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0.24–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7.30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0.7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46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1.27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0.29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–5.48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0.7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50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1.6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0.56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–4.55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0.3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76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4.17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0.54–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32.41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0.1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73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1.57e-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0.0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1.0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0.4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0.16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–1.28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>0.1</w:t>
            </w:r>
            <w:r w:rsidRPr="00CB73D3">
              <w:rPr>
                <w:rFonts w:eastAsia="Arial"/>
                <w:sz w:val="16"/>
                <w:szCs w:val="16"/>
              </w:rPr>
              <w:lastRenderedPageBreak/>
              <w:t>35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 xml:space="preserve">  Tertiary – No formal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0.18–2.83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0.631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2.43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0.76–7.78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0.136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1.22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0.19–7.76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0.835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0.07–4.90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0.637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1.37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0.42–4.47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0.607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1.69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0.21–13.67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0.625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4.74e-3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0.07–0.79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0.019</w:t>
            </w:r>
          </w:p>
        </w:tc>
      </w:tr>
      <w:tr w:rsidR="00325AD7" w:rsidRPr="00CB73D3" w:rsidTr="00325AD7">
        <w:tc>
          <w:tcPr>
            <w:tcW w:w="5000" w:type="pct"/>
            <w:gridSpan w:val="25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Ethnicity (ref = Akan)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Ewe – Akan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2.75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1.02–7.40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0.046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1.49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0.74–2.99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0.262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0.42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0.09–1.88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0.255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0.14–1.72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0.259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0.89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0.44–1.78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0.733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1.71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0.32–8.99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0.528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300.80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0.22–0.95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0.036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Ga-Adamgbe – Akan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2.12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0.47–9.64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0.329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1.18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0.38–3.70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0.773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1.62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0.29–9.22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0.586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0.05–1.02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0.053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0.84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0.26–2.71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0.766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4.70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0.27–82.92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0.290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30.13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0.30–2.31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0.724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Mole Dagbani – Akan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2.53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0.81–7.88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0.109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2.13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0.88–5.17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0.095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0.41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0.08–1.98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0.267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0.13–1.78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0.277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0.42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0.16–1.10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0.077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6.19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0.59–64.84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0.128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3.02e+4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1.57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0.59–4.22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0.368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Other – Akan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3.95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0.80–19.44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0.092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1.83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0.60–5.60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0.288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8.17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1.39–48.08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0.020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0.08–1.52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0.162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1.10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0.39–3.16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0.854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49.41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3.93–621.33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0.003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9.74e+16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2.47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0.74–8.24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0.141</w:t>
            </w:r>
          </w:p>
        </w:tc>
      </w:tr>
      <w:tr w:rsidR="00325AD7" w:rsidRPr="00CB73D3" w:rsidTr="00325AD7">
        <w:tc>
          <w:tcPr>
            <w:tcW w:w="5000" w:type="pct"/>
            <w:gridSpan w:val="25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Occupation (ref = Unemployed)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Govt employee – Unemployed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6.95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0.03–1688.24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0.489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0.00–2.08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0.119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1.86e-9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10.21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0.12–866.82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0.305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0.39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0.01–29.38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0.666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204.35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0.28–146564.04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0.113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3.25e-48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1.60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0.02–132.29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0.836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Farming – Unemployed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2.69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0.02–397.79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0.698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5.66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0.27–120.40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0.267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1.34e-9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0.00–3.52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0.208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1.96e-5–0.15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134.69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0.35–51896.45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0.107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6.96e-41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3.26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0.07–160.83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0.552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Artisan – Unemployed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515.31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1.63–163259.63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0.02–9.52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0.565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1.99e-9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2.75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0.04–173.93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0.633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0.04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0.00–1.38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0.074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122.61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1.52–9910.97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0.032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5.18e-14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0.04–18.96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0.935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Trading – Unemployed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5.06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0.04–579.75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0.502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0.03–9.18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0.634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8.17e-10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10.04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0.35–286.16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0.177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0.01–3.43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0.238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1767.64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8.29–376776.11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4.78e-28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0.00–2.79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0.176</w:t>
            </w:r>
          </w:p>
        </w:tc>
      </w:tr>
      <w:tr w:rsidR="00325AD7" w:rsidRPr="00CB73D3" w:rsidTr="00325AD7">
        <w:tc>
          <w:tcPr>
            <w:tcW w:w="5000" w:type="pct"/>
            <w:gridSpan w:val="25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NHIS Coverage (ref = Yes)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No – Yes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0.01–0.69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0.023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0.03–0.86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0.29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0.03–2.63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0.271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0.26–4.51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0.921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1.57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0.50–4.87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0.438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0.00–1.22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0.065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6.83e-10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0.23–1.99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0.480</w:t>
            </w:r>
          </w:p>
        </w:tc>
      </w:tr>
      <w:tr w:rsidR="00325AD7" w:rsidRPr="00CB73D3" w:rsidTr="00325AD7">
        <w:tc>
          <w:tcPr>
            <w:tcW w:w="5000" w:type="pct"/>
            <w:gridSpan w:val="25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Disability Type (ref = Physical)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Visual – Physical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0.13–1.54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0.202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0.28–1.39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0.251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0.13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0.03–0.70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2.26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0.61–8.40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0.225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0.40–1.89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0.713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0.01–4.80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0.324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1.24e-3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0.47–2.15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0.985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Hearing – Physical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0.15–1.46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0.188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0.16–0.90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0.029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0.21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0.04–0.99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0.049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2.99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0.64–14.06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0.165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0.85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0.37–1.97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0.703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2.30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0.36–14.66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0.380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4.94e-4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0.39–2.20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0.859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lastRenderedPageBreak/>
              <w:t xml:space="preserve">  Speech – Physical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0.20–1.71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0.323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0.39–1.74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0.606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0.20–2.53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0.591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0.25–4.18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0.966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2.53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1.13–5.65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0.024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0.12–5.45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0.834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8.18e-6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0.35–1.67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0.506</w:t>
            </w:r>
          </w:p>
        </w:tc>
      </w:tr>
      <w:tr w:rsidR="00325AD7" w:rsidRPr="00CB73D3" w:rsidTr="00325AD7">
        <w:tc>
          <w:tcPr>
            <w:tcW w:w="5000" w:type="pct"/>
            <w:gridSpan w:val="25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Disability Severity (ref = Mild)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Moderate – Mild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1.10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0.51–2.34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0.811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0.38–1.22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0.198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0.21–1.54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0.264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0.32–2.96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0.965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1.37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0.75–2.51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0.304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0.01–0.57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0.015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1.84e-8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0.55–1.91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0.939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Severe – Mild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0.20–1.93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0.407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0.25–1.45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0.263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0.19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0.04–0.95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0.043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0.16–2.36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0.485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1.57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0.67–3.65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0.299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2.46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0.43–13.89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0.310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5.26e-14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0.40–2.19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0.878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Very Severe – Mild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3.03e-8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0.984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0.03–1.32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0.093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0.01–1.63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0.105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0.08–4.04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0.583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0.51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0.11–2.30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0.381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3.68e-7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0.997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1.06e-10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0.22–3.45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0.833</w:t>
            </w:r>
          </w:p>
        </w:tc>
      </w:tr>
      <w:tr w:rsidR="00325AD7" w:rsidRPr="00CB73D3" w:rsidTr="00325AD7">
        <w:tc>
          <w:tcPr>
            <w:tcW w:w="5000" w:type="pct"/>
            <w:gridSpan w:val="25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b/>
                <w:bCs/>
                <w:sz w:val="16"/>
                <w:szCs w:val="16"/>
              </w:rPr>
              <w:t>Disability Duration (ref = Since birth)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1–2 years – Since birth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0.16–2.52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0.526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1.29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0.49–3.39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0.605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0.31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0.05–1.96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0.213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0.02–0.67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1.33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0.43–4.13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0.625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1.79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0.20–16.36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0.605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8.80e-21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0.22–1.71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0.355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3–4 years – Since birth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0.10–0.96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0.042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2.62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1.25–5.51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1.20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0.34–4.17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0.776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0.21–4.17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0.941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1.46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0.66–3.23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0.345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0.04–2.34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0.256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8.84e-9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0.17–0.86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0.020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5–6 years – Since birth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0.11–0.95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2.04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0.95–4.40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0.068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1.90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0.50–7.26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0.347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1.98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0.43–9.19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0.385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1.53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0.69–3.39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0.297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1.60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0.28–9.17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0.601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3.07e+4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0.17–0.83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0.015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7–8 years – Since birth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0.02–0.88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0.036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0.21–1.78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0.370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4.17e-22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0.988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0.07–6.11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0.718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1.02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0.34–3.07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0.965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3.39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0.39–29.09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0.266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6.78e-18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0.16–1.26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0.128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9–10 years – Since birth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6.26e-9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0.994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7.46e-7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0.982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6.33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0.15–270.30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0.336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0.00–23.82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0.375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3.66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0.15–88.65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0.424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2.48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0.05–113.08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0.642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80.84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2.33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0.16–35.0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0.540</w:t>
            </w:r>
          </w:p>
        </w:tc>
      </w:tr>
      <w:tr w:rsidR="00325AD7" w:rsidRPr="00CB73D3" w:rsidTr="00325AD7">
        <w:tc>
          <w:tcPr>
            <w:tcW w:w="299" w:type="pct"/>
          </w:tcPr>
          <w:p w:rsidR="00325AD7" w:rsidRPr="00CB73D3" w:rsidRDefault="00325AD7" w:rsidP="00867BBE">
            <w:pPr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 xml:space="preserve">  11+ years – Since birth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0.09–13.06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0.950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1.57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0.24–10.23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0.637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6.85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0.64–73.39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0.112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7.47e+5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0.996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3.60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0.34–38.09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0.288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4.66e-8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0.999</w:t>
            </w:r>
          </w:p>
        </w:tc>
        <w:tc>
          <w:tcPr>
            <w:tcW w:w="213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1.14e+2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0.00–Inf</w:t>
            </w:r>
          </w:p>
        </w:tc>
        <w:tc>
          <w:tcPr>
            <w:tcW w:w="128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1.000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0.86</w:t>
            </w:r>
          </w:p>
        </w:tc>
        <w:tc>
          <w:tcPr>
            <w:tcW w:w="214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0.12–6.10</w:t>
            </w:r>
          </w:p>
        </w:tc>
        <w:tc>
          <w:tcPr>
            <w:tcW w:w="171" w:type="pct"/>
          </w:tcPr>
          <w:p w:rsidR="00325AD7" w:rsidRPr="00CB73D3" w:rsidRDefault="00325AD7" w:rsidP="00867BBE">
            <w:pPr>
              <w:jc w:val="center"/>
              <w:rPr>
                <w:sz w:val="16"/>
                <w:szCs w:val="16"/>
              </w:rPr>
            </w:pPr>
            <w:r w:rsidRPr="00CB73D3">
              <w:rPr>
                <w:rFonts w:eastAsia="Arial"/>
                <w:sz w:val="16"/>
                <w:szCs w:val="16"/>
              </w:rPr>
              <w:t>0.882</w:t>
            </w:r>
          </w:p>
        </w:tc>
      </w:tr>
    </w:tbl>
    <w:p w:rsidR="00325AD7" w:rsidRPr="00CB73D3" w:rsidRDefault="00325AD7" w:rsidP="00325AD7">
      <w:pPr>
        <w:rPr>
          <w:rFonts w:ascii="Times New Roman" w:hAnsi="Times New Roman" w:cs="Times New Roman"/>
        </w:rPr>
      </w:pPr>
    </w:p>
    <w:p w:rsidR="00325AD7" w:rsidRPr="00CB73D3" w:rsidRDefault="00325AD7" w:rsidP="00325AD7">
      <w:pPr>
        <w:rPr>
          <w:rFonts w:ascii="Times New Roman" w:hAnsi="Times New Roman" w:cs="Times New Roman"/>
        </w:rPr>
      </w:pPr>
      <w:r w:rsidRPr="00CB73D3">
        <w:rPr>
          <w:rFonts w:ascii="Times New Roman" w:eastAsia="Arial" w:hAnsi="Times New Roman" w:cs="Times New Roman"/>
          <w:sz w:val="14"/>
          <w:szCs w:val="14"/>
        </w:rPr>
        <w:t>OR = Odds Ratio; CI = Confidence Interval; p = p-value; McF R² = McFadden R-squared; ANC/PNC = Antenatal/Postnatal Care; SRH = Sexual and Reproductive Health; AYPWD = Adolescents and Young People with Disabilities; NHIS = National Health Insurance Scheme. All models adjusted simultaneously for all variables listed. Inf = Infinite (convergence issue due to small cell sizes in some categories). Bold values indicate statistical significance at p &lt; 0.05. Reference categories are indicated in parentheses for each variable group.</w:t>
      </w:r>
    </w:p>
    <w:p w:rsidR="00325AD7" w:rsidRPr="00CB73D3" w:rsidRDefault="00325AD7" w:rsidP="00325AD7">
      <w:pPr>
        <w:spacing w:after="72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25AD7" w:rsidRPr="00CB73D3" w:rsidRDefault="00325AD7" w:rsidP="00325AD7">
      <w:pPr>
        <w:spacing w:after="72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73D3">
        <w:rPr>
          <w:rFonts w:ascii="Times New Roman" w:hAnsi="Times New Roman" w:cs="Times New Roman"/>
          <w:b/>
          <w:bCs/>
          <w:sz w:val="24"/>
          <w:szCs w:val="24"/>
        </w:rPr>
        <w:t>Table 2: Overall Accessibility to SRH Services: Bivariate and Multivariable Linear Regression Results among AYPWD (N = 440)</w:t>
      </w:r>
    </w:p>
    <w:tbl>
      <w:tblPr>
        <w:tblStyle w:val="TableGrid"/>
        <w:tblW w:w="14245" w:type="dxa"/>
        <w:tblInd w:w="-431" w:type="dxa"/>
        <w:tblLook w:val="04A0" w:firstRow="1" w:lastRow="0" w:firstColumn="1" w:lastColumn="0" w:noHBand="0" w:noVBand="1"/>
      </w:tblPr>
      <w:tblGrid>
        <w:gridCol w:w="4065"/>
        <w:gridCol w:w="921"/>
        <w:gridCol w:w="674"/>
        <w:gridCol w:w="788"/>
        <w:gridCol w:w="839"/>
        <w:gridCol w:w="1561"/>
        <w:gridCol w:w="783"/>
        <w:gridCol w:w="669"/>
        <w:gridCol w:w="783"/>
        <w:gridCol w:w="833"/>
        <w:gridCol w:w="783"/>
        <w:gridCol w:w="1546"/>
      </w:tblGrid>
      <w:tr w:rsidR="00325AD7" w:rsidRPr="00CB73D3" w:rsidTr="00867BBE">
        <w:trPr>
          <w:trHeight w:val="96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Predictor / Category</w:t>
            </w:r>
          </w:p>
        </w:tc>
        <w:tc>
          <w:tcPr>
            <w:tcW w:w="4766" w:type="dxa"/>
            <w:gridSpan w:val="5"/>
            <w:hideMark/>
          </w:tcPr>
          <w:p w:rsidR="00325AD7" w:rsidRPr="00CB73D3" w:rsidRDefault="00325AD7" w:rsidP="00867BBE">
            <w:pPr>
              <w:spacing w:after="72"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Bivariate Results</w:t>
            </w:r>
          </w:p>
        </w:tc>
        <w:tc>
          <w:tcPr>
            <w:tcW w:w="0" w:type="auto"/>
            <w:gridSpan w:val="6"/>
            <w:hideMark/>
          </w:tcPr>
          <w:p w:rsidR="00325AD7" w:rsidRPr="00CB73D3" w:rsidRDefault="00325AD7" w:rsidP="00867BBE">
            <w:pPr>
              <w:spacing w:after="72"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Multivariable Results</w:t>
            </w:r>
          </w:p>
        </w:tc>
      </w:tr>
      <w:tr w:rsidR="00325AD7" w:rsidRPr="00CB73D3" w:rsidTr="00867BBE">
        <w:trPr>
          <w:trHeight w:val="70"/>
        </w:trPr>
        <w:tc>
          <w:tcPr>
            <w:tcW w:w="4052" w:type="dxa"/>
          </w:tcPr>
          <w:p w:rsidR="00325AD7" w:rsidRPr="00CB73D3" w:rsidRDefault="00325AD7" w:rsidP="00867BBE">
            <w:pPr>
              <w:spacing w:after="72" w:line="360" w:lineRule="auto"/>
              <w:rPr>
                <w:b/>
                <w:bCs/>
                <w:sz w:val="20"/>
              </w:rPr>
            </w:pP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after="72"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B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after="72"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SE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after="72"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t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after="72"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p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after="72"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95% CI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after="72"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B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after="72"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SE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after="72"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t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after="72"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p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after="72"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β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after="72"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95% CI</w:t>
            </w:r>
          </w:p>
        </w:tc>
      </w:tr>
      <w:tr w:rsidR="00325AD7" w:rsidRPr="00CB73D3" w:rsidTr="00867BBE">
        <w:trPr>
          <w:trHeight w:val="165"/>
        </w:trPr>
        <w:tc>
          <w:tcPr>
            <w:tcW w:w="12688" w:type="dxa"/>
            <w:gridSpan w:val="11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lastRenderedPageBreak/>
              <w:t>1. Denial of SRH Services/Information due to Disability (ref = Yes, denied)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</w:p>
        </w:tc>
      </w:tr>
      <w:tr w:rsidR="00325AD7" w:rsidRPr="00CB73D3" w:rsidTr="00867BBE">
        <w:trPr>
          <w:trHeight w:val="299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No – Yes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1.009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0.129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7.85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0.588 – 0.981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0.483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0.109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4.450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0.376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0.210 – 0.542</w:t>
            </w:r>
          </w:p>
        </w:tc>
      </w:tr>
      <w:tr w:rsidR="00325AD7" w:rsidRPr="00CB73D3" w:rsidTr="00867BBE">
        <w:trPr>
          <w:trHeight w:val="70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Prefer not to say – Yes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0.496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0.279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1.78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0.076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−0.040 – 0.812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0.652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0.240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2.721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0.007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0.507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0.141 – 0.873</w:t>
            </w:r>
          </w:p>
        </w:tc>
      </w:tr>
      <w:tr w:rsidR="00325AD7" w:rsidRPr="00CB73D3" w:rsidTr="00867BBE">
        <w:trPr>
          <w:trHeight w:val="155"/>
        </w:trPr>
        <w:tc>
          <w:tcPr>
            <w:tcW w:w="12688" w:type="dxa"/>
            <w:gridSpan w:val="11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2. Requirement of an Accompanying Person (ref = Yes, required)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</w:p>
        </w:tc>
      </w:tr>
      <w:tr w:rsidR="00325AD7" w:rsidRPr="00CB73D3" w:rsidTr="00867BBE">
        <w:trPr>
          <w:trHeight w:val="161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Yes-preferred – Yes-required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−0.027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0.144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−0.184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0.854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−0.241 – 0.200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−0.140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0.113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−1.244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0.214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−0.109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−0.281 – 0.063</w:t>
            </w:r>
          </w:p>
        </w:tc>
      </w:tr>
      <w:tr w:rsidR="00325AD7" w:rsidRPr="00CB73D3" w:rsidTr="00867BBE">
        <w:trPr>
          <w:trHeight w:val="295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No, accessed independently – Yes-required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0.176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0.204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0.862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0.389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−0.175 – 0.449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0.030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0.152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0.196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0.845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0.023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−0.209 – 0.255</w:t>
            </w:r>
          </w:p>
        </w:tc>
      </w:tr>
      <w:tr w:rsidR="00325AD7" w:rsidRPr="00CB73D3" w:rsidTr="00867BBE">
        <w:trPr>
          <w:trHeight w:val="93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Not applicable – Yes-required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−0.233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0.184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−1.267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0.206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−0.463 – 0.100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−0.272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0.153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−1.779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0.076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−0.211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−0.445 – 0.022</w:t>
            </w:r>
          </w:p>
        </w:tc>
      </w:tr>
      <w:tr w:rsidR="00325AD7" w:rsidRPr="00CB73D3" w:rsidTr="00867BBE">
        <w:trPr>
          <w:trHeight w:val="85"/>
        </w:trPr>
        <w:tc>
          <w:tcPr>
            <w:tcW w:w="12688" w:type="dxa"/>
            <w:gridSpan w:val="11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3. Privacy When Accessing SRH Services (ref = Yes, fully private)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</w:p>
        </w:tc>
      </w:tr>
      <w:tr w:rsidR="00325AD7" w:rsidRPr="00CB73D3" w:rsidTr="00867BBE">
        <w:trPr>
          <w:trHeight w:val="91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Partially – Yes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−1.190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0.112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−10.61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−1.086 – −0.752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−0.321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0.149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−2.148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0.032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−0.249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−0.478 – −0.021</w:t>
            </w:r>
          </w:p>
        </w:tc>
      </w:tr>
      <w:tr w:rsidR="00325AD7" w:rsidRPr="00CB73D3" w:rsidTr="00867BBE">
        <w:trPr>
          <w:trHeight w:val="144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No – Yes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−1.880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0.156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−12.09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−1.697 – −1.226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−0.602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0.186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−3.238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−0.468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−0.752 – −0.184</w:t>
            </w:r>
          </w:p>
        </w:tc>
      </w:tr>
      <w:tr w:rsidR="00325AD7" w:rsidRPr="00CB73D3" w:rsidTr="00867BBE">
        <w:trPr>
          <w:trHeight w:val="144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Not applicable – Yes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−1.700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0.286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−5.95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−1.760 – −0.885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−0.701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0.326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−2.152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0.032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−0.545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−1.044 – −0.047</w:t>
            </w:r>
          </w:p>
        </w:tc>
      </w:tr>
      <w:tr w:rsidR="00325AD7" w:rsidRPr="00CB73D3" w:rsidTr="00867BBE">
        <w:trPr>
          <w:trHeight w:val="181"/>
        </w:trPr>
        <w:tc>
          <w:tcPr>
            <w:tcW w:w="12688" w:type="dxa"/>
            <w:gridSpan w:val="11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4. Waiting Time Before Accessing SRH Services (ref = Less than 30 minutes)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</w:p>
        </w:tc>
      </w:tr>
      <w:tr w:rsidR="00325AD7" w:rsidRPr="00CB73D3" w:rsidTr="00867BBE">
        <w:trPr>
          <w:trHeight w:val="144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30 minutes – 1 hour – &lt;30 min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−0.668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0.144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−4.66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−0.739 – −0.300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0.153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0.131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1.165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0.245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0.119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−0.082 – 0.319</w:t>
            </w:r>
          </w:p>
        </w:tc>
      </w:tr>
      <w:tr w:rsidR="00325AD7" w:rsidRPr="00CB73D3" w:rsidTr="00867BBE">
        <w:trPr>
          <w:trHeight w:val="144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1–2 hours – &lt;30 min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−0.935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0.153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−6.10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−0.962 – −0.493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0.172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0.146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1.181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0.238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0.134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−0.089 – 0.356</w:t>
            </w:r>
          </w:p>
        </w:tc>
      </w:tr>
      <w:tr w:rsidR="00325AD7" w:rsidRPr="00CB73D3" w:rsidTr="00867BBE">
        <w:trPr>
          <w:trHeight w:val="144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Over 2 hours – &lt;30 min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−1.308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0.223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−5.88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−1.358 – −0.677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0.008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0.202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0.038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0.970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0.006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−0.303 – 0.315</w:t>
            </w:r>
          </w:p>
        </w:tc>
      </w:tr>
      <w:tr w:rsidR="00325AD7" w:rsidRPr="00CB73D3" w:rsidTr="00867BBE">
        <w:trPr>
          <w:trHeight w:val="144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I was not served – &lt;30 min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−1.301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0.284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−4.59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−1.445 – −0.578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0.184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0.295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0.625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0.532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0.143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−0.307 – 0.594</w:t>
            </w:r>
          </w:p>
        </w:tc>
      </w:tr>
      <w:tr w:rsidR="00325AD7" w:rsidRPr="00CB73D3" w:rsidTr="00867BBE">
        <w:trPr>
          <w:trHeight w:val="233"/>
        </w:trPr>
        <w:tc>
          <w:tcPr>
            <w:tcW w:w="12688" w:type="dxa"/>
            <w:gridSpan w:val="11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5. Affordability of SRH Services (ref = Completely free)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after="72" w:line="360" w:lineRule="auto"/>
              <w:rPr>
                <w:b/>
                <w:bCs/>
                <w:sz w:val="20"/>
              </w:rPr>
            </w:pPr>
          </w:p>
        </w:tc>
      </w:tr>
      <w:tr w:rsidR="00325AD7" w:rsidRPr="00CB73D3" w:rsidTr="00867BBE">
        <w:trPr>
          <w:trHeight w:val="144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Partially subsidised – Completely free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−1.018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0.129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−7.89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−0.989 – −0.594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−0.268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0.124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−2.156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0.032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−0.208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−0.398 – −0.018</w:t>
            </w:r>
          </w:p>
        </w:tc>
      </w:tr>
      <w:tr w:rsidR="00325AD7" w:rsidRPr="00CB73D3" w:rsidTr="00867BBE">
        <w:trPr>
          <w:trHeight w:val="269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Too expensive to afford – Completely free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−0.774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0.178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−4.34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−0.874 – −0.329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−0.103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0.156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−0.662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0.509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−0.080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−0.320 – 0.159</w:t>
            </w:r>
          </w:p>
        </w:tc>
      </w:tr>
      <w:tr w:rsidR="00325AD7" w:rsidRPr="00CB73D3" w:rsidTr="00867BBE">
        <w:trPr>
          <w:trHeight w:val="209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Did not inquire – Completely free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−1.456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0.183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−7.95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−1.412 – −0.852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0.095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0.208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0.456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0.649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0.074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−0.245 – 0.392</w:t>
            </w:r>
          </w:p>
        </w:tc>
      </w:tr>
      <w:tr w:rsidR="00325AD7" w:rsidRPr="00CB73D3" w:rsidTr="00867BBE">
        <w:trPr>
          <w:trHeight w:val="284"/>
        </w:trPr>
        <w:tc>
          <w:tcPr>
            <w:tcW w:w="12688" w:type="dxa"/>
            <w:gridSpan w:val="11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6. Availability of Communication Aids (ref = Yes, fully available)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</w:p>
        </w:tc>
      </w:tr>
      <w:tr w:rsidR="00325AD7" w:rsidRPr="00CB73D3" w:rsidTr="00867BBE">
        <w:trPr>
          <w:trHeight w:val="70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Partially – Yes, fully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−1.311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0.107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−12.21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−1.180 – −0.855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−0.189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0.171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−1.100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0.272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−0.147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−0.409 – 0.115</w:t>
            </w:r>
          </w:p>
        </w:tc>
      </w:tr>
      <w:tr w:rsidR="00325AD7" w:rsidRPr="00CB73D3" w:rsidTr="00867BBE">
        <w:trPr>
          <w:trHeight w:val="129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No – Yes, fully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−2.106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0.161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−13.08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−1.880 – −1.392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−0.540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0.237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−2.280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0.023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−0.420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−0.782 – −0.058</w:t>
            </w:r>
          </w:p>
        </w:tc>
      </w:tr>
      <w:tr w:rsidR="00325AD7" w:rsidRPr="00CB73D3" w:rsidTr="00867BBE">
        <w:trPr>
          <w:trHeight w:val="121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Not needed – Yes, fully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−0.803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0.278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−2.89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0.004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−1.050 – −0.200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0.129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0.319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0.405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0.686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0.100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−0.387 – 0.588</w:t>
            </w:r>
          </w:p>
        </w:tc>
      </w:tr>
      <w:tr w:rsidR="00325AD7" w:rsidRPr="00CB73D3" w:rsidTr="00867BBE">
        <w:trPr>
          <w:trHeight w:val="277"/>
        </w:trPr>
        <w:tc>
          <w:tcPr>
            <w:tcW w:w="12688" w:type="dxa"/>
            <w:gridSpan w:val="11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7. Physical Accessibility of Facilities (ref = Fully accessible)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</w:p>
        </w:tc>
      </w:tr>
      <w:tr w:rsidR="00325AD7" w:rsidRPr="00CB73D3" w:rsidTr="00867BBE">
        <w:trPr>
          <w:trHeight w:val="205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lastRenderedPageBreak/>
              <w:t xml:space="preserve">  Partially accessible – Fully accessible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−1.330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0.110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−12.06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−1.200 – −0.864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−0.680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0.176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−3.870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−0.529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−0.798 – −0.260</w:t>
            </w:r>
          </w:p>
        </w:tc>
      </w:tr>
      <w:tr w:rsidR="00325AD7" w:rsidRPr="00CB73D3" w:rsidTr="00867BBE">
        <w:trPr>
          <w:trHeight w:val="70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Not accessible – Fully accessible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−1.840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0.138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−13.30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−1.640 – −1.217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−0.768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0.214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−3.595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−0.597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−0.924 – −0.271</w:t>
            </w:r>
          </w:p>
        </w:tc>
      </w:tr>
      <w:tr w:rsidR="00325AD7" w:rsidRPr="00CB73D3" w:rsidTr="00867BBE">
        <w:trPr>
          <w:trHeight w:val="204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Not applicable – Fully accessible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−2.090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0.234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−8.94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−1.980 – −1.268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−0.806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0.302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−2.673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0.008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−0.627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−1.088 – −0.166</w:t>
            </w:r>
          </w:p>
        </w:tc>
      </w:tr>
      <w:tr w:rsidR="00325AD7" w:rsidRPr="00CB73D3" w:rsidTr="00867BBE">
        <w:trPr>
          <w:trHeight w:val="70"/>
        </w:trPr>
        <w:tc>
          <w:tcPr>
            <w:tcW w:w="12688" w:type="dxa"/>
            <w:gridSpan w:val="11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8. Access to Easy-to-Understand SRH Information (ref = Yes)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</w:p>
        </w:tc>
      </w:tr>
      <w:tr w:rsidR="00325AD7" w:rsidRPr="00CB73D3" w:rsidTr="00867BBE">
        <w:trPr>
          <w:trHeight w:val="131"/>
        </w:trPr>
        <w:tc>
          <w:tcPr>
            <w:tcW w:w="4052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 xml:space="preserve">  No – Yes</w:t>
            </w:r>
          </w:p>
        </w:tc>
        <w:tc>
          <w:tcPr>
            <w:tcW w:w="913" w:type="dxa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−1.400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0.111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−12.70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−1.260 – −0.922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−0.520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0.126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−4.137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&lt; 0.001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−0.405</w:t>
            </w:r>
          </w:p>
        </w:tc>
        <w:tc>
          <w:tcPr>
            <w:tcW w:w="0" w:type="auto"/>
            <w:hideMark/>
          </w:tcPr>
          <w:p w:rsidR="00325AD7" w:rsidRPr="00CB73D3" w:rsidRDefault="00325AD7" w:rsidP="00867BBE">
            <w:pPr>
              <w:spacing w:line="360" w:lineRule="auto"/>
              <w:rPr>
                <w:b/>
                <w:bCs/>
                <w:sz w:val="20"/>
              </w:rPr>
            </w:pPr>
            <w:r w:rsidRPr="00CB73D3">
              <w:rPr>
                <w:b/>
                <w:bCs/>
                <w:sz w:val="20"/>
              </w:rPr>
              <w:t>−0.597 – −0.212</w:t>
            </w:r>
          </w:p>
        </w:tc>
      </w:tr>
    </w:tbl>
    <w:p w:rsidR="00325AD7" w:rsidRPr="00CB73D3" w:rsidRDefault="00325AD7" w:rsidP="00325AD7">
      <w:pPr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CB73D3">
        <w:rPr>
          <w:rFonts w:ascii="Times New Roman" w:hAnsi="Times New Roman" w:cs="Times New Roman"/>
          <w:b/>
          <w:bCs/>
          <w:sz w:val="16"/>
          <w:szCs w:val="16"/>
        </w:rPr>
        <w:t>Bivariate model fits: SRH information denial R² = 0.125; Accompanying person R² = 0.007 (ns); Privacy R² = 0.319; Waiting time R² = 0.137; Affordability R² = 0.180; Communication aids R² = 0.356; Physical accessibility R² = 0.381; SRH information access R² = 0.269.</w:t>
      </w:r>
    </w:p>
    <w:p w:rsidR="00325AD7" w:rsidRPr="00CB73D3" w:rsidRDefault="00325AD7" w:rsidP="00325AD7">
      <w:pPr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CB73D3">
        <w:rPr>
          <w:rFonts w:ascii="Times New Roman" w:hAnsi="Times New Roman" w:cs="Times New Roman"/>
          <w:b/>
          <w:bCs/>
          <w:sz w:val="16"/>
          <w:szCs w:val="16"/>
        </w:rPr>
        <w:t>Multivariable model fit: R = 0.711, R² = 0.506, Adjusted R² = 0.480, F(22, 417) = 19.4, p &lt; 0.001. VIF values rang</w:t>
      </w:r>
      <w:bookmarkStart w:id="0" w:name="_GoBack"/>
      <w:bookmarkEnd w:id="0"/>
      <w:r w:rsidRPr="00CB73D3">
        <w:rPr>
          <w:rFonts w:ascii="Times New Roman" w:hAnsi="Times New Roman" w:cs="Times New Roman"/>
          <w:b/>
          <w:bCs/>
          <w:sz w:val="16"/>
          <w:szCs w:val="16"/>
        </w:rPr>
        <w:t>ed from 1.08 to 1.44, indicating no multicollinearity. Durbin–Watson = 1.41.</w:t>
      </w:r>
    </w:p>
    <w:p w:rsidR="00325AD7" w:rsidRPr="00CB73D3" w:rsidRDefault="00325AD7" w:rsidP="00325AD7">
      <w:pPr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CB73D3">
        <w:rPr>
          <w:rFonts w:ascii="Times New Roman" w:hAnsi="Times New Roman" w:cs="Times New Roman"/>
          <w:b/>
          <w:bCs/>
          <w:sz w:val="16"/>
          <w:szCs w:val="16"/>
        </w:rPr>
        <w:t>B = unstandardized regression coefficient; β = standardized regression coefficient; SE = standard error; CI = confidence interval. Dependent variable: Overall perceived ease of access to SRH services (OEA_SRH_Info; higher scores = greater perceived accessibility). Bold p-values indicate statistical significance (p &lt; 0.05). ns = not significant.</w:t>
      </w:r>
    </w:p>
    <w:p w:rsidR="00325AD7" w:rsidRPr="00CB73D3" w:rsidRDefault="00325AD7" w:rsidP="00325AD7">
      <w:pPr>
        <w:spacing w:after="72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25AD7" w:rsidRPr="00CB73D3" w:rsidRDefault="00325AD7" w:rsidP="00325AD7"/>
    <w:p w:rsidR="00986CB5" w:rsidRDefault="00325AD7"/>
    <w:sectPr w:rsidR="00986CB5" w:rsidSect="00325AD7">
      <w:pgSz w:w="16838" w:h="11906" w:orient="landscape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31E59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9"/>
    <w:multiLevelType w:val="singleLevel"/>
    <w:tmpl w:val="254073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7F1392B"/>
    <w:multiLevelType w:val="multilevel"/>
    <w:tmpl w:val="B20C0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995D3D"/>
    <w:multiLevelType w:val="singleLevel"/>
    <w:tmpl w:val="35995D3D"/>
    <w:lvl w:ilvl="0">
      <w:start w:val="1"/>
      <w:numFmt w:val="decimal"/>
      <w:suff w:val="space"/>
      <w:lvlText w:val="(%1)"/>
      <w:lvlJc w:val="left"/>
    </w:lvl>
  </w:abstractNum>
  <w:abstractNum w:abstractNumId="4" w15:restartNumberingAfterBreak="0">
    <w:nsid w:val="4548D2B9"/>
    <w:multiLevelType w:val="singleLevel"/>
    <w:tmpl w:val="4548D2B9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" w15:restartNumberingAfterBreak="0">
    <w:nsid w:val="45C715B3"/>
    <w:multiLevelType w:val="hybridMultilevel"/>
    <w:tmpl w:val="659A32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3B1B96"/>
    <w:multiLevelType w:val="hybridMultilevel"/>
    <w:tmpl w:val="FC26D4E2"/>
    <w:lvl w:ilvl="0" w:tplc="7DEA09E8">
      <w:start w:val="1"/>
      <w:numFmt w:val="bullet"/>
      <w:lvlText w:val="●"/>
      <w:lvlJc w:val="left"/>
      <w:pPr>
        <w:ind w:left="720" w:hanging="360"/>
      </w:pPr>
    </w:lvl>
    <w:lvl w:ilvl="1" w:tplc="5AFCD40E">
      <w:start w:val="1"/>
      <w:numFmt w:val="bullet"/>
      <w:lvlText w:val="○"/>
      <w:lvlJc w:val="left"/>
      <w:pPr>
        <w:ind w:left="1440" w:hanging="360"/>
      </w:pPr>
    </w:lvl>
    <w:lvl w:ilvl="2" w:tplc="A0DA45CC">
      <w:start w:val="1"/>
      <w:numFmt w:val="bullet"/>
      <w:lvlText w:val="■"/>
      <w:lvlJc w:val="left"/>
      <w:pPr>
        <w:ind w:left="2160" w:hanging="360"/>
      </w:pPr>
    </w:lvl>
    <w:lvl w:ilvl="3" w:tplc="22465F68">
      <w:start w:val="1"/>
      <w:numFmt w:val="bullet"/>
      <w:lvlText w:val="●"/>
      <w:lvlJc w:val="left"/>
      <w:pPr>
        <w:ind w:left="2880" w:hanging="360"/>
      </w:pPr>
    </w:lvl>
    <w:lvl w:ilvl="4" w:tplc="9C944DF0">
      <w:start w:val="1"/>
      <w:numFmt w:val="bullet"/>
      <w:lvlText w:val="○"/>
      <w:lvlJc w:val="left"/>
      <w:pPr>
        <w:ind w:left="3600" w:hanging="360"/>
      </w:pPr>
    </w:lvl>
    <w:lvl w:ilvl="5" w:tplc="5B761B02">
      <w:start w:val="1"/>
      <w:numFmt w:val="bullet"/>
      <w:lvlText w:val="■"/>
      <w:lvlJc w:val="left"/>
      <w:pPr>
        <w:ind w:left="4320" w:hanging="360"/>
      </w:pPr>
    </w:lvl>
    <w:lvl w:ilvl="6" w:tplc="93D60B3C">
      <w:start w:val="1"/>
      <w:numFmt w:val="bullet"/>
      <w:lvlText w:val="●"/>
      <w:lvlJc w:val="left"/>
      <w:pPr>
        <w:ind w:left="5040" w:hanging="360"/>
      </w:pPr>
    </w:lvl>
    <w:lvl w:ilvl="7" w:tplc="60EEED2E">
      <w:start w:val="1"/>
      <w:numFmt w:val="bullet"/>
      <w:lvlText w:val="●"/>
      <w:lvlJc w:val="left"/>
      <w:pPr>
        <w:ind w:left="5760" w:hanging="360"/>
      </w:pPr>
    </w:lvl>
    <w:lvl w:ilvl="8" w:tplc="BD7CF8F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AD7"/>
    <w:rsid w:val="00325AD7"/>
    <w:rsid w:val="007C166A"/>
    <w:rsid w:val="00A6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A5E4B7-1836-429A-9A9F-3474DA46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AD7"/>
    <w:pPr>
      <w:spacing w:after="0" w:line="240" w:lineRule="auto"/>
    </w:pPr>
    <w:rPr>
      <w:rFonts w:eastAsiaTheme="minorEastAsia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5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5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5AD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25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25AD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5A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A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A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A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AD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25A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25AD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25AD7"/>
    <w:rPr>
      <w:rFonts w:eastAsiaTheme="majorEastAsia" w:cstheme="majorBidi"/>
      <w:i/>
      <w:iCs/>
      <w:color w:val="2E74B5" w:themeColor="accent1" w:themeShade="BF"/>
      <w:sz w:val="21"/>
    </w:rPr>
  </w:style>
  <w:style w:type="character" w:customStyle="1" w:styleId="Heading5Char">
    <w:name w:val="Heading 5 Char"/>
    <w:basedOn w:val="DefaultParagraphFont"/>
    <w:link w:val="Heading5"/>
    <w:uiPriority w:val="9"/>
    <w:rsid w:val="00325AD7"/>
    <w:rPr>
      <w:rFonts w:eastAsiaTheme="majorEastAsia" w:cstheme="majorBidi"/>
      <w:color w:val="2E74B5" w:themeColor="accent1" w:themeShade="BF"/>
      <w:sz w:val="21"/>
    </w:rPr>
  </w:style>
  <w:style w:type="character" w:customStyle="1" w:styleId="Heading6Char">
    <w:name w:val="Heading 6 Char"/>
    <w:basedOn w:val="DefaultParagraphFont"/>
    <w:link w:val="Heading6"/>
    <w:uiPriority w:val="9"/>
    <w:rsid w:val="00325AD7"/>
    <w:rPr>
      <w:rFonts w:eastAsiaTheme="majorEastAsia" w:cstheme="majorBidi"/>
      <w:i/>
      <w:iCs/>
      <w:color w:val="595959" w:themeColor="text1" w:themeTint="A6"/>
      <w:sz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AD7"/>
    <w:rPr>
      <w:rFonts w:eastAsiaTheme="majorEastAsia" w:cstheme="majorBidi"/>
      <w:color w:val="595959" w:themeColor="text1" w:themeTint="A6"/>
      <w:sz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AD7"/>
    <w:rPr>
      <w:rFonts w:eastAsiaTheme="majorEastAsia" w:cstheme="majorBidi"/>
      <w:i/>
      <w:iCs/>
      <w:color w:val="272727" w:themeColor="text1" w:themeTint="D8"/>
      <w:sz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AD7"/>
    <w:rPr>
      <w:rFonts w:eastAsiaTheme="majorEastAsia" w:cstheme="majorBidi"/>
      <w:color w:val="272727" w:themeColor="text1" w:themeTint="D8"/>
      <w:sz w:val="21"/>
    </w:rPr>
  </w:style>
  <w:style w:type="paragraph" w:styleId="Title">
    <w:name w:val="Title"/>
    <w:basedOn w:val="Normal"/>
    <w:next w:val="Normal"/>
    <w:link w:val="TitleChar"/>
    <w:uiPriority w:val="10"/>
    <w:qFormat/>
    <w:rsid w:val="00325A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5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5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5AD7"/>
    <w:rPr>
      <w:rFonts w:eastAsiaTheme="minorEastAsia"/>
      <w:i/>
      <w:iCs/>
      <w:color w:val="404040" w:themeColor="text1" w:themeTint="BF"/>
      <w:sz w:val="21"/>
    </w:rPr>
  </w:style>
  <w:style w:type="paragraph" w:styleId="ListParagraph">
    <w:name w:val="List Paragraph"/>
    <w:basedOn w:val="Normal"/>
    <w:qFormat/>
    <w:rsid w:val="00325A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5AD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AD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AD7"/>
    <w:rPr>
      <w:rFonts w:eastAsiaTheme="minorEastAsia"/>
      <w:i/>
      <w:iCs/>
      <w:color w:val="2E74B5" w:themeColor="accent1" w:themeShade="BF"/>
      <w:sz w:val="21"/>
    </w:rPr>
  </w:style>
  <w:style w:type="character" w:styleId="IntenseReference">
    <w:name w:val="Intense Reference"/>
    <w:basedOn w:val="DefaultParagraphFont"/>
    <w:uiPriority w:val="32"/>
    <w:qFormat/>
    <w:rsid w:val="00325AD7"/>
    <w:rPr>
      <w:b/>
      <w:bCs/>
      <w:smallCaps/>
      <w:color w:val="2E74B5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qFormat/>
    <w:rsid w:val="00325AD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25AD7"/>
    <w:rPr>
      <w:rFonts w:eastAsiaTheme="minorEastAsia"/>
      <w:sz w:val="18"/>
      <w:szCs w:val="18"/>
    </w:rPr>
  </w:style>
  <w:style w:type="character" w:styleId="FootnoteReference">
    <w:name w:val="footnote reference"/>
    <w:uiPriority w:val="99"/>
    <w:semiHidden/>
    <w:unhideWhenUsed/>
    <w:qFormat/>
    <w:rsid w:val="00325AD7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qFormat/>
    <w:rsid w:val="00325AD7"/>
    <w:pPr>
      <w:spacing w:before="144" w:after="0" w:line="240" w:lineRule="auto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325AD7"/>
    <w:rPr>
      <w:rFonts w:eastAsiaTheme="minorEastAsia"/>
      <w:sz w:val="20"/>
      <w:szCs w:val="20"/>
    </w:rPr>
  </w:style>
  <w:style w:type="paragraph" w:styleId="Header">
    <w:name w:val="header"/>
    <w:basedOn w:val="Normal"/>
    <w:link w:val="HeaderChar"/>
    <w:qFormat/>
    <w:rsid w:val="00325AD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325AD7"/>
    <w:rPr>
      <w:rFonts w:eastAsiaTheme="minorEastAsia"/>
      <w:sz w:val="18"/>
      <w:szCs w:val="18"/>
    </w:rPr>
  </w:style>
  <w:style w:type="character" w:styleId="Hyperlink">
    <w:name w:val="Hyperlink"/>
    <w:uiPriority w:val="99"/>
    <w:unhideWhenUsed/>
    <w:qFormat/>
    <w:rsid w:val="00325AD7"/>
    <w:rPr>
      <w:color w:val="0563C1"/>
      <w:u w:val="single"/>
    </w:rPr>
  </w:style>
  <w:style w:type="paragraph" w:styleId="NormalWeb">
    <w:name w:val="Normal (Web)"/>
    <w:uiPriority w:val="99"/>
    <w:qFormat/>
    <w:rsid w:val="00325AD7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table" w:styleId="TableGrid">
    <w:name w:val="Table Grid"/>
    <w:basedOn w:val="TableNormal"/>
    <w:uiPriority w:val="39"/>
    <w:qFormat/>
    <w:rsid w:val="00325AD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qFormat/>
    <w:rsid w:val="00325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325A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AD7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325A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25AD7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unhideWhenUsed/>
    <w:rsid w:val="00325AD7"/>
    <w:pPr>
      <w:spacing w:after="0" w:line="240" w:lineRule="auto"/>
    </w:pPr>
    <w:rPr>
      <w:rFonts w:eastAsiaTheme="minorEastAsia"/>
      <w:sz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25AD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325A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25AD7"/>
    <w:rPr>
      <w:rFonts w:ascii="Segoe UI" w:eastAsiaTheme="minorEastAsia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5AD7"/>
    <w:rPr>
      <w:color w:val="605E5C"/>
      <w:shd w:val="clear" w:color="auto" w:fill="E1DFDD"/>
    </w:rPr>
  </w:style>
  <w:style w:type="character" w:styleId="LineNumber">
    <w:name w:val="line number"/>
    <w:basedOn w:val="DefaultParagraphFont"/>
    <w:rsid w:val="00325AD7"/>
  </w:style>
  <w:style w:type="paragraph" w:customStyle="1" w:styleId="Strong1">
    <w:name w:val="Strong1"/>
    <w:qFormat/>
    <w:rsid w:val="00325AD7"/>
    <w:pPr>
      <w:spacing w:after="0" w:line="240" w:lineRule="auto"/>
    </w:pPr>
    <w:rPr>
      <w:rFonts w:ascii="Arial" w:eastAsia="Arial" w:hAnsi="Arial" w:cs="Arial"/>
      <w:b/>
      <w:bCs/>
      <w:sz w:val="14"/>
      <w:szCs w:val="14"/>
    </w:rPr>
  </w:style>
  <w:style w:type="character" w:styleId="EndnoteReference">
    <w:name w:val="endnote reference"/>
    <w:uiPriority w:val="99"/>
    <w:unhideWhenUsed/>
    <w:rsid w:val="00325AD7"/>
    <w:rPr>
      <w:vertAlign w:val="superscript"/>
    </w:rPr>
  </w:style>
  <w:style w:type="paragraph" w:styleId="EndnoteText">
    <w:name w:val="endnote text"/>
    <w:link w:val="EndnoteTextChar"/>
    <w:uiPriority w:val="99"/>
    <w:unhideWhenUsed/>
    <w:rsid w:val="00325AD7"/>
    <w:pPr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25AD7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2129</Words>
  <Characters>12140</Characters>
  <Application>Microsoft Office Word</Application>
  <DocSecurity>0</DocSecurity>
  <Lines>101</Lines>
  <Paragraphs>28</Paragraphs>
  <ScaleCrop>false</ScaleCrop>
  <Company/>
  <LinksUpToDate>false</LinksUpToDate>
  <CharactersWithSpaces>14241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Merriecris Palopalo</dc:creator>
  <cp:keywords/>
  <dc:description/>
  <cp:lastModifiedBy>Merriecris Palopalo</cp:lastModifiedBy>
  <cp:revision>1</cp:revision>
  <dcterms:created xsi:type="dcterms:W3CDTF">2026-06-24T07:54:00Z</dcterms:created>
  <dcterms:modified xsi:type="dcterms:W3CDTF">2026-06-24T07:55:00Z</dcterms:modified>
</cp:coreProperties>
</file>