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1C31" w14:textId="77777777" w:rsidR="00E97724" w:rsidRPr="00DA04AE" w:rsidRDefault="00E97724" w:rsidP="00E97724">
      <w:pPr>
        <w:spacing w:before="280" w:after="280"/>
        <w:rPr>
          <w:rFonts w:asciiTheme="majorBidi" w:hAnsiTheme="majorBidi" w:cstheme="majorBidi"/>
          <w:b/>
          <w:bCs/>
        </w:rPr>
      </w:pPr>
      <w:r w:rsidRPr="00DA04AE">
        <w:rPr>
          <w:rFonts w:asciiTheme="majorBidi" w:hAnsiTheme="majorBidi" w:cstheme="majorBidi"/>
          <w:b/>
          <w:bCs/>
          <w:sz w:val="22"/>
          <w:szCs w:val="22"/>
        </w:rPr>
        <w:t xml:space="preserve">Supplementary </w:t>
      </w:r>
      <w:r w:rsidRPr="00DA04AE">
        <w:rPr>
          <w:rStyle w:val="Strong"/>
          <w:rFonts w:asciiTheme="majorBidi" w:hAnsiTheme="majorBidi" w:cstheme="majorBidi"/>
          <w:sz w:val="22"/>
          <w:szCs w:val="22"/>
        </w:rPr>
        <w:t>Table S1.</w:t>
      </w:r>
      <w:r w:rsidRPr="00DA04AE">
        <w:rPr>
          <w:rFonts w:asciiTheme="majorBidi" w:hAnsiTheme="majorBidi" w:cstheme="majorBidi"/>
          <w:sz w:val="22"/>
          <w:szCs w:val="22"/>
        </w:rPr>
        <w:t xml:space="preserve"> Prevalence of high emotional eating by subscale across Saudi regions.</w:t>
      </w:r>
    </w:p>
    <w:p w14:paraId="3EA93C4C" w14:textId="77777777" w:rsidR="00E97724" w:rsidRPr="00DA04AE" w:rsidRDefault="00E97724" w:rsidP="00E97724">
      <w:pPr>
        <w:ind w:right="-270"/>
        <w:rPr>
          <w:rFonts w:asciiTheme="majorBidi" w:hAnsiTheme="majorBidi" w:cstheme="majorBidi"/>
          <w:b/>
          <w:bCs/>
          <w:sz w:val="21"/>
          <w:szCs w:val="21"/>
        </w:rPr>
      </w:pPr>
    </w:p>
    <w:p w14:paraId="7D7B07CC" w14:textId="77777777" w:rsidR="00E97724" w:rsidRPr="00DA04AE" w:rsidRDefault="00E97724" w:rsidP="00E97724">
      <w:pPr>
        <w:ind w:right="-270"/>
        <w:rPr>
          <w:rFonts w:asciiTheme="majorBidi" w:hAnsiTheme="majorBidi" w:cstheme="majorBidi"/>
          <w:b/>
          <w:bCs/>
          <w:sz w:val="21"/>
          <w:szCs w:val="21"/>
        </w:rPr>
      </w:pPr>
      <w:r w:rsidRPr="00DA04AE">
        <w:rPr>
          <w:rFonts w:asciiTheme="majorBidi" w:hAnsiTheme="majorBidi" w:cstheme="majorBidi"/>
          <w:b/>
          <w:bCs/>
          <w:sz w:val="21"/>
          <w:szCs w:val="21"/>
        </w:rPr>
        <w:t>Table S1. Prevalence of high emotional eating by subscales across Saudi regions</w:t>
      </w:r>
    </w:p>
    <w:tbl>
      <w:tblPr>
        <w:tblStyle w:val="PlainTable2"/>
        <w:tblW w:w="10490" w:type="dxa"/>
        <w:tblInd w:w="-284" w:type="dxa"/>
        <w:tblLook w:val="04A0" w:firstRow="1" w:lastRow="0" w:firstColumn="1" w:lastColumn="0" w:noHBand="0" w:noVBand="1"/>
      </w:tblPr>
      <w:tblGrid>
        <w:gridCol w:w="1719"/>
        <w:gridCol w:w="1173"/>
        <w:gridCol w:w="1930"/>
        <w:gridCol w:w="2007"/>
        <w:gridCol w:w="1806"/>
        <w:gridCol w:w="1855"/>
      </w:tblGrid>
      <w:tr w:rsidR="00E97724" w:rsidRPr="00DA04AE" w14:paraId="2633F135" w14:textId="77777777" w:rsidTr="00BC0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73E720C1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Region</w:t>
            </w:r>
          </w:p>
        </w:tc>
        <w:tc>
          <w:tcPr>
            <w:tcW w:w="1173" w:type="dxa"/>
            <w:hideMark/>
          </w:tcPr>
          <w:p w14:paraId="04E091D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n (%)</w:t>
            </w:r>
          </w:p>
        </w:tc>
        <w:tc>
          <w:tcPr>
            <w:tcW w:w="1930" w:type="dxa"/>
            <w:hideMark/>
          </w:tcPr>
          <w:p w14:paraId="3648879A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 xml:space="preserve">Sadness &amp; Irritability </w:t>
            </w:r>
          </w:p>
          <w:p w14:paraId="17870141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 xml:space="preserve">(95% CI) </w:t>
            </w:r>
          </w:p>
        </w:tc>
        <w:tc>
          <w:tcPr>
            <w:tcW w:w="2007" w:type="dxa"/>
            <w:hideMark/>
          </w:tcPr>
          <w:p w14:paraId="3147DA14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Exhaustion</w:t>
            </w:r>
          </w:p>
          <w:p w14:paraId="2C86055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(95% CI)</w:t>
            </w:r>
          </w:p>
        </w:tc>
        <w:tc>
          <w:tcPr>
            <w:tcW w:w="1806" w:type="dxa"/>
            <w:hideMark/>
          </w:tcPr>
          <w:p w14:paraId="2C878671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Excitement</w:t>
            </w:r>
          </w:p>
          <w:p w14:paraId="663D5A7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(95% CI)</w:t>
            </w:r>
          </w:p>
        </w:tc>
        <w:tc>
          <w:tcPr>
            <w:tcW w:w="1855" w:type="dxa"/>
            <w:hideMark/>
          </w:tcPr>
          <w:p w14:paraId="5AC56B83" w14:textId="77777777" w:rsidR="00E97724" w:rsidRPr="00DA04AE" w:rsidRDefault="00E97724" w:rsidP="00BC0718">
            <w:pPr>
              <w:bidi w:val="0"/>
              <w:spacing w:line="360" w:lineRule="auto"/>
              <w:ind w:right="-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Distress</w:t>
            </w:r>
          </w:p>
          <w:p w14:paraId="62BA7554" w14:textId="77777777" w:rsidR="00E97724" w:rsidRPr="00DA04AE" w:rsidRDefault="00E97724" w:rsidP="00BC0718">
            <w:pPr>
              <w:bidi w:val="0"/>
              <w:spacing w:line="360" w:lineRule="auto"/>
              <w:ind w:right="-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(95% CI)</w:t>
            </w:r>
          </w:p>
        </w:tc>
      </w:tr>
      <w:tr w:rsidR="00E97724" w:rsidRPr="00DA04AE" w14:paraId="7981070C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31B941FE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Riyadh</w:t>
            </w:r>
          </w:p>
        </w:tc>
        <w:tc>
          <w:tcPr>
            <w:tcW w:w="1173" w:type="dxa"/>
            <w:hideMark/>
          </w:tcPr>
          <w:p w14:paraId="2B25688B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859 (19.5)</w:t>
            </w:r>
          </w:p>
        </w:tc>
        <w:tc>
          <w:tcPr>
            <w:tcW w:w="1930" w:type="dxa"/>
            <w:hideMark/>
          </w:tcPr>
          <w:p w14:paraId="552869F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30.8(27.8–33.9)</w:t>
            </w:r>
          </w:p>
          <w:p w14:paraId="0A764842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76BEB46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30.6 (27.6–33.7)</w:t>
            </w:r>
          </w:p>
          <w:p w14:paraId="0D1D09D4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2E0EB51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35.2 (32.0–38.3)</w:t>
            </w:r>
          </w:p>
        </w:tc>
        <w:tc>
          <w:tcPr>
            <w:tcW w:w="1855" w:type="dxa"/>
          </w:tcPr>
          <w:p w14:paraId="05466AE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31.5 (28.5–34.6)</w:t>
            </w:r>
          </w:p>
        </w:tc>
      </w:tr>
      <w:tr w:rsidR="00E97724" w:rsidRPr="00DA04AE" w14:paraId="41616E2A" w14:textId="77777777" w:rsidTr="00BC0718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65F84859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Makkah</w:t>
            </w:r>
          </w:p>
        </w:tc>
        <w:tc>
          <w:tcPr>
            <w:tcW w:w="1173" w:type="dxa"/>
            <w:hideMark/>
          </w:tcPr>
          <w:p w14:paraId="00FC7B3E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596 (13.5)</w:t>
            </w:r>
          </w:p>
        </w:tc>
        <w:tc>
          <w:tcPr>
            <w:tcW w:w="1930" w:type="dxa"/>
            <w:hideMark/>
          </w:tcPr>
          <w:p w14:paraId="7110A52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27.9 (24.3–31.4)</w:t>
            </w:r>
          </w:p>
          <w:p w14:paraId="269BD841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43C3FED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24.3 (20.9–27.7)</w:t>
            </w:r>
          </w:p>
          <w:p w14:paraId="5113838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74A97F39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32.6 (28.8–36.3)</w:t>
            </w:r>
          </w:p>
          <w:p w14:paraId="25829BDB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1EA1D47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27.2 (23.6–30.7)</w:t>
            </w:r>
          </w:p>
        </w:tc>
      </w:tr>
      <w:tr w:rsidR="00E97724" w:rsidRPr="00DA04AE" w14:paraId="03CDFB8F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51CC2849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Madinah</w:t>
            </w:r>
          </w:p>
        </w:tc>
        <w:tc>
          <w:tcPr>
            <w:tcW w:w="1173" w:type="dxa"/>
            <w:hideMark/>
          </w:tcPr>
          <w:p w14:paraId="203248FF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332 (7.5)</w:t>
            </w:r>
          </w:p>
        </w:tc>
        <w:tc>
          <w:tcPr>
            <w:tcW w:w="1930" w:type="dxa"/>
            <w:hideMark/>
          </w:tcPr>
          <w:p w14:paraId="4427154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21.1 (16.7–25.4)</w:t>
            </w:r>
          </w:p>
          <w:p w14:paraId="2A676EC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5D118E0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20.8 (16.5–25.1)</w:t>
            </w:r>
          </w:p>
          <w:p w14:paraId="058366B0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1D0718E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25.6 (21.0–30.2)</w:t>
            </w:r>
          </w:p>
          <w:p w14:paraId="3451FFE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48D3E391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22.9 (18.4–27.4)</w:t>
            </w:r>
          </w:p>
        </w:tc>
      </w:tr>
      <w:tr w:rsidR="00E97724" w:rsidRPr="00DA04AE" w14:paraId="15BB41AC" w14:textId="77777777" w:rsidTr="00BC071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1038542D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Eastern Province</w:t>
            </w:r>
          </w:p>
        </w:tc>
        <w:tc>
          <w:tcPr>
            <w:tcW w:w="1173" w:type="dxa"/>
            <w:hideMark/>
          </w:tcPr>
          <w:p w14:paraId="5C01F0C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486 (11.0)</w:t>
            </w:r>
          </w:p>
        </w:tc>
        <w:tc>
          <w:tcPr>
            <w:tcW w:w="1930" w:type="dxa"/>
            <w:hideMark/>
          </w:tcPr>
          <w:p w14:paraId="517FD9F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18.9 (15.5–22.3)</w:t>
            </w:r>
          </w:p>
          <w:p w14:paraId="30DA9FDE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4E33E32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23.6 (19.9–27.3)</w:t>
            </w:r>
          </w:p>
          <w:p w14:paraId="379D873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3159FA9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24.2 (20.5–28.0)</w:t>
            </w:r>
          </w:p>
          <w:p w14:paraId="63F02F80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105B32DF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20.9 (17.4–24.5)</w:t>
            </w:r>
          </w:p>
        </w:tc>
      </w:tr>
      <w:tr w:rsidR="00E97724" w:rsidRPr="00DA04AE" w14:paraId="70310FFB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4BD320DA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Qassim</w:t>
            </w:r>
          </w:p>
        </w:tc>
        <w:tc>
          <w:tcPr>
            <w:tcW w:w="1173" w:type="dxa"/>
            <w:hideMark/>
          </w:tcPr>
          <w:p w14:paraId="7DA01BF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322 (7.3)</w:t>
            </w:r>
          </w:p>
        </w:tc>
        <w:tc>
          <w:tcPr>
            <w:tcW w:w="1930" w:type="dxa"/>
            <w:hideMark/>
          </w:tcPr>
          <w:p w14:paraId="025DCB98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20.5 (16.1–24.9)</w:t>
            </w:r>
          </w:p>
          <w:p w14:paraId="6358393E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4A98F41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17.4 (13.3–21.5)</w:t>
            </w:r>
          </w:p>
          <w:p w14:paraId="68D9DF4A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0958032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27.0(22.2–31.8)</w:t>
            </w:r>
          </w:p>
          <w:p w14:paraId="107DF73E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4B82B39B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23.0 (18.4–27.5)</w:t>
            </w:r>
          </w:p>
        </w:tc>
      </w:tr>
      <w:tr w:rsidR="00E97724" w:rsidRPr="00DA04AE" w14:paraId="537DD3EF" w14:textId="77777777" w:rsidTr="00BC071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hideMark/>
          </w:tcPr>
          <w:p w14:paraId="253F05C0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Asir</w:t>
            </w:r>
          </w:p>
        </w:tc>
        <w:tc>
          <w:tcPr>
            <w:tcW w:w="1173" w:type="dxa"/>
            <w:hideMark/>
          </w:tcPr>
          <w:p w14:paraId="7DCC4A13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233 (5.3)</w:t>
            </w:r>
          </w:p>
        </w:tc>
        <w:tc>
          <w:tcPr>
            <w:tcW w:w="1930" w:type="dxa"/>
            <w:hideMark/>
          </w:tcPr>
          <w:p w14:paraId="2142A50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26.2 (20.6–31.8)</w:t>
            </w:r>
          </w:p>
          <w:p w14:paraId="14C0D2A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  <w:hideMark/>
          </w:tcPr>
          <w:p w14:paraId="445D5E5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30.5 (24.6–36.3)</w:t>
            </w:r>
          </w:p>
          <w:p w14:paraId="4CF88F50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  <w:hideMark/>
          </w:tcPr>
          <w:p w14:paraId="769EBEE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34.8 (28.7–40.8)</w:t>
            </w:r>
          </w:p>
          <w:p w14:paraId="430DE79A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077AD06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25.3 (19.8–30.8)</w:t>
            </w:r>
          </w:p>
          <w:p w14:paraId="0D99772E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222B9677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D3868D2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Tabuk</w:t>
            </w:r>
          </w:p>
        </w:tc>
        <w:tc>
          <w:tcPr>
            <w:tcW w:w="1173" w:type="dxa"/>
          </w:tcPr>
          <w:p w14:paraId="1819F079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270 (6.1)</w:t>
            </w:r>
          </w:p>
        </w:tc>
        <w:tc>
          <w:tcPr>
            <w:tcW w:w="1930" w:type="dxa"/>
          </w:tcPr>
          <w:p w14:paraId="362AFD91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23.3 (18.3–28.3)</w:t>
            </w:r>
          </w:p>
          <w:p w14:paraId="2A4E7294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1E8E558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26.3 (21.1–31.5)</w:t>
            </w:r>
          </w:p>
          <w:p w14:paraId="5573297A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3E0B119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32.2 (26.7–37.7)</w:t>
            </w:r>
          </w:p>
          <w:p w14:paraId="49AE0F9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3598EFDE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25.2 (20.1–30.3)</w:t>
            </w:r>
          </w:p>
          <w:p w14:paraId="4736F39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62EEFD7E" w14:textId="77777777" w:rsidTr="00BC071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D3805F4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Hail</w:t>
            </w:r>
          </w:p>
        </w:tc>
        <w:tc>
          <w:tcPr>
            <w:tcW w:w="1173" w:type="dxa"/>
          </w:tcPr>
          <w:p w14:paraId="694960B8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439 (10.0)</w:t>
            </w:r>
          </w:p>
          <w:p w14:paraId="3F104F1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30" w:type="dxa"/>
          </w:tcPr>
          <w:p w14:paraId="6FB6A31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28.9 (24.7–33.1)</w:t>
            </w:r>
          </w:p>
          <w:p w14:paraId="4C9C31C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1F2E799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32.1 (27.8–36.4)</w:t>
            </w:r>
          </w:p>
          <w:p w14:paraId="54FB1E3F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40C43DEA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36.4 (32.0–40.9)</w:t>
            </w:r>
          </w:p>
          <w:p w14:paraId="43880A7B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5506EDA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28.7 (24.5– 32.9)</w:t>
            </w:r>
          </w:p>
          <w:p w14:paraId="05D8A2EC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18266FD2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57FA8BD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Northern Borders</w:t>
            </w:r>
          </w:p>
        </w:tc>
        <w:tc>
          <w:tcPr>
            <w:tcW w:w="1173" w:type="dxa"/>
          </w:tcPr>
          <w:p w14:paraId="0D790599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226 (5.1)</w:t>
            </w:r>
          </w:p>
        </w:tc>
        <w:tc>
          <w:tcPr>
            <w:tcW w:w="1930" w:type="dxa"/>
          </w:tcPr>
          <w:p w14:paraId="76D8752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33.2 (27.1–39.3)</w:t>
            </w:r>
          </w:p>
          <w:p w14:paraId="691255D1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7F73233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35.4 (29.2–41.6)</w:t>
            </w:r>
          </w:p>
          <w:p w14:paraId="7F1BE613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6C565DF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39.8 (33.5–46.1)</w:t>
            </w:r>
          </w:p>
          <w:p w14:paraId="485F9855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1663D95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36.3 (30.1–42.5)</w:t>
            </w:r>
          </w:p>
          <w:p w14:paraId="0F966828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42C81FDC" w14:textId="77777777" w:rsidTr="00BC071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59C81FD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Jazan</w:t>
            </w:r>
          </w:p>
        </w:tc>
        <w:tc>
          <w:tcPr>
            <w:tcW w:w="1173" w:type="dxa"/>
          </w:tcPr>
          <w:p w14:paraId="30339151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199 (4.5)</w:t>
            </w:r>
          </w:p>
        </w:tc>
        <w:tc>
          <w:tcPr>
            <w:tcW w:w="1930" w:type="dxa"/>
          </w:tcPr>
          <w:p w14:paraId="455A9210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31.7 (25.3–38.1)</w:t>
            </w:r>
          </w:p>
          <w:p w14:paraId="3EA24E2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739CD59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31.7 (25.3–38.1)</w:t>
            </w:r>
          </w:p>
          <w:p w14:paraId="62BA7D6F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276AF01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42.7 (35.9–49.5)</w:t>
            </w:r>
          </w:p>
          <w:p w14:paraId="4C89FB0C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6470E0E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30.2 (23.8–36.5)</w:t>
            </w:r>
          </w:p>
          <w:p w14:paraId="59704306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4479C2F9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27B1D3B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Najran</w:t>
            </w:r>
          </w:p>
        </w:tc>
        <w:tc>
          <w:tcPr>
            <w:tcW w:w="1173" w:type="dxa"/>
          </w:tcPr>
          <w:p w14:paraId="181D1FE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99 (2.2)</w:t>
            </w:r>
          </w:p>
        </w:tc>
        <w:tc>
          <w:tcPr>
            <w:tcW w:w="1930" w:type="dxa"/>
          </w:tcPr>
          <w:p w14:paraId="305D8EA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22.2 (14.1–30.3)</w:t>
            </w:r>
          </w:p>
          <w:p w14:paraId="10356253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6B09C797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21.2 (13.2–29.2)</w:t>
            </w:r>
          </w:p>
          <w:p w14:paraId="713AE9F5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7C2E50D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29.3 (20.4–38.2)</w:t>
            </w:r>
          </w:p>
          <w:p w14:paraId="17DF42A9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6B0D140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18.2 (10.7–25.7)</w:t>
            </w:r>
          </w:p>
          <w:p w14:paraId="6FC71B93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31378B8B" w14:textId="77777777" w:rsidTr="00BC071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E39ABF1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Al-Baha</w:t>
            </w:r>
          </w:p>
        </w:tc>
        <w:tc>
          <w:tcPr>
            <w:tcW w:w="1173" w:type="dxa"/>
          </w:tcPr>
          <w:p w14:paraId="5585FC1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202 (4.6)</w:t>
            </w:r>
          </w:p>
        </w:tc>
        <w:tc>
          <w:tcPr>
            <w:tcW w:w="1930" w:type="dxa"/>
          </w:tcPr>
          <w:p w14:paraId="1024D966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25.2 (19.3–31.2)</w:t>
            </w:r>
          </w:p>
          <w:p w14:paraId="70B4C5C4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6213D46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29.7 (23.5–35.9)</w:t>
            </w:r>
          </w:p>
          <w:p w14:paraId="2DC787E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5AB5434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36.1 (29.6–42.7)</w:t>
            </w:r>
          </w:p>
          <w:p w14:paraId="76E36BAF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0DA717C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25.2 (19.3–31.2)</w:t>
            </w:r>
          </w:p>
          <w:p w14:paraId="5E48FDA5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E97724" w:rsidRPr="00DA04AE" w14:paraId="7EDA723C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AF11CDA" w14:textId="77777777" w:rsidR="00E97724" w:rsidRPr="00DA04AE" w:rsidRDefault="00E97724" w:rsidP="00BC0718">
            <w:pPr>
              <w:bidi w:val="0"/>
              <w:spacing w:line="360" w:lineRule="auto"/>
              <w:jc w:val="left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Al-</w:t>
            </w:r>
            <w:proofErr w:type="spellStart"/>
            <w:r w:rsidRPr="00DA04AE">
              <w:rPr>
                <w:rFonts w:asciiTheme="majorBidi" w:hAnsiTheme="majorBidi" w:cstheme="majorBidi"/>
                <w:sz w:val="21"/>
                <w:szCs w:val="21"/>
              </w:rPr>
              <w:t>Jouf</w:t>
            </w:r>
            <w:proofErr w:type="spellEnd"/>
          </w:p>
        </w:tc>
        <w:tc>
          <w:tcPr>
            <w:tcW w:w="1173" w:type="dxa"/>
          </w:tcPr>
          <w:p w14:paraId="4EECAA5D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sz w:val="21"/>
                <w:szCs w:val="21"/>
              </w:rPr>
              <w:t>135 (3.1)</w:t>
            </w:r>
          </w:p>
        </w:tc>
        <w:tc>
          <w:tcPr>
            <w:tcW w:w="1930" w:type="dxa"/>
          </w:tcPr>
          <w:p w14:paraId="6850A37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28.1 (20.6–35.7)</w:t>
            </w:r>
          </w:p>
          <w:p w14:paraId="789B61AB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07" w:type="dxa"/>
          </w:tcPr>
          <w:p w14:paraId="7BFED6B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31.1 (23.4–38.8)</w:t>
            </w:r>
          </w:p>
          <w:p w14:paraId="7A809647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06" w:type="dxa"/>
          </w:tcPr>
          <w:p w14:paraId="3212139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38.5 (30.4–46.6)</w:t>
            </w:r>
          </w:p>
          <w:p w14:paraId="7A871E36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855" w:type="dxa"/>
          </w:tcPr>
          <w:p w14:paraId="2C9EF5F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25.2 (17.9–32.4)</w:t>
            </w:r>
          </w:p>
          <w:p w14:paraId="694E608A" w14:textId="77777777" w:rsidR="00E97724" w:rsidRPr="00DA04AE" w:rsidRDefault="00E97724" w:rsidP="00BC0718">
            <w:pPr>
              <w:bidi w:val="0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</w:tbl>
    <w:p w14:paraId="1D5D5B6A" w14:textId="77777777" w:rsidR="00E97724" w:rsidRPr="00DA04AE" w:rsidRDefault="00E97724" w:rsidP="00E97724">
      <w:pPr>
        <w:ind w:left="180" w:right="-270"/>
        <w:rPr>
          <w:rFonts w:asciiTheme="majorBidi" w:hAnsiTheme="majorBidi" w:cstheme="majorBidi"/>
          <w:i/>
          <w:iCs/>
          <w:sz w:val="18"/>
          <w:szCs w:val="18"/>
        </w:rPr>
      </w:pPr>
      <w:r w:rsidRPr="00DA04AE">
        <w:rPr>
          <w:rFonts w:asciiTheme="majorBidi" w:hAnsiTheme="majorBidi" w:cstheme="majorBidi"/>
          <w:i/>
          <w:iCs/>
          <w:sz w:val="18"/>
          <w:szCs w:val="18"/>
        </w:rPr>
        <w:t xml:space="preserve">High emotional eating was defined as Emotional Eating Score (EES) ≥75th percentile of the total sample distribution. Prevalence estimates are presented with 95% confidence intervals (CI). </w:t>
      </w:r>
    </w:p>
    <w:p w14:paraId="2188AF7A" w14:textId="77777777" w:rsidR="00E97724" w:rsidRPr="00DA04AE" w:rsidRDefault="00E97724" w:rsidP="00E97724">
      <w:pPr>
        <w:ind w:left="180" w:right="-270"/>
        <w:rPr>
          <w:rFonts w:asciiTheme="majorBidi" w:hAnsiTheme="majorBidi" w:cstheme="majorBidi"/>
          <w:i/>
          <w:iCs/>
          <w:sz w:val="18"/>
          <w:szCs w:val="18"/>
        </w:rPr>
      </w:pPr>
      <w:r w:rsidRPr="00DA04AE">
        <w:rPr>
          <w:rFonts w:asciiTheme="majorBidi" w:hAnsiTheme="majorBidi" w:cstheme="majorBidi"/>
          <w:i/>
          <w:iCs/>
          <w:sz w:val="18"/>
          <w:szCs w:val="18"/>
        </w:rPr>
        <w:t>n (%) represents the regional sample size and its proportion of the total analytical sample (N = 4,412). Regions are listed in approximate order of population size; total EES prevalence by region is shown in Figure 1.</w:t>
      </w:r>
    </w:p>
    <w:p w14:paraId="13C0971E" w14:textId="77777777" w:rsidR="00E97724" w:rsidRPr="00DA04AE" w:rsidRDefault="00E97724" w:rsidP="00E97724">
      <w:pPr>
        <w:rPr>
          <w:rFonts w:asciiTheme="majorBidi" w:hAnsiTheme="majorBidi" w:cstheme="majorBidi"/>
          <w:sz w:val="22"/>
          <w:szCs w:val="22"/>
        </w:rPr>
      </w:pPr>
    </w:p>
    <w:p w14:paraId="5E720B6D" w14:textId="77777777" w:rsidR="00E97724" w:rsidRPr="00DA04AE" w:rsidRDefault="00E97724" w:rsidP="00E97724">
      <w:pPr>
        <w:rPr>
          <w:rFonts w:asciiTheme="majorBidi" w:hAnsiTheme="majorBidi" w:cstheme="majorBidi"/>
          <w:sz w:val="22"/>
          <w:szCs w:val="22"/>
        </w:rPr>
      </w:pPr>
    </w:p>
    <w:p w14:paraId="582D30E8" w14:textId="77777777" w:rsidR="00E97724" w:rsidRPr="00DA04AE" w:rsidRDefault="00E97724" w:rsidP="00E97724">
      <w:pPr>
        <w:rPr>
          <w:rFonts w:asciiTheme="majorBidi" w:hAnsiTheme="majorBidi" w:cstheme="majorBidi"/>
          <w:sz w:val="22"/>
          <w:szCs w:val="22"/>
        </w:rPr>
      </w:pPr>
    </w:p>
    <w:p w14:paraId="58BA2C17" w14:textId="77777777" w:rsidR="00E97724" w:rsidRPr="00DA04AE" w:rsidRDefault="00E97724" w:rsidP="00E97724">
      <w:pPr>
        <w:rPr>
          <w:rFonts w:asciiTheme="majorBidi" w:hAnsiTheme="majorBidi" w:cstheme="majorBidi"/>
          <w:sz w:val="22"/>
          <w:szCs w:val="22"/>
        </w:rPr>
      </w:pPr>
    </w:p>
    <w:p w14:paraId="793A5933" w14:textId="77777777" w:rsidR="00E97724" w:rsidRPr="00DA04AE" w:rsidRDefault="00E97724" w:rsidP="00E97724">
      <w:pPr>
        <w:tabs>
          <w:tab w:val="right" w:pos="8730"/>
        </w:tabs>
        <w:ind w:right="90"/>
        <w:rPr>
          <w:rFonts w:asciiTheme="majorBidi" w:hAnsiTheme="majorBidi" w:cstheme="majorBidi"/>
          <w:b/>
          <w:bCs/>
          <w:sz w:val="21"/>
          <w:szCs w:val="21"/>
        </w:rPr>
      </w:pPr>
      <w:r w:rsidRPr="00DA04AE">
        <w:rPr>
          <w:rStyle w:val="Strong"/>
          <w:rFonts w:asciiTheme="majorBidi" w:hAnsiTheme="majorBidi" w:cstheme="majorBidi"/>
          <w:sz w:val="22"/>
          <w:szCs w:val="22"/>
        </w:rPr>
        <w:t xml:space="preserve">Supplementary Table S2. </w:t>
      </w:r>
      <w:r w:rsidRPr="00DA04AE">
        <w:rPr>
          <w:rFonts w:asciiTheme="majorBidi" w:hAnsiTheme="majorBidi" w:cstheme="majorBidi"/>
          <w:sz w:val="22"/>
          <w:szCs w:val="22"/>
        </w:rPr>
        <w:t>Association between emotional eating scores and body mass index with incremental adjustment (Models 1–3), overall and stratified by sex</w:t>
      </w:r>
    </w:p>
    <w:tbl>
      <w:tblPr>
        <w:tblStyle w:val="PlainTable2"/>
        <w:tblW w:w="5797" w:type="pct"/>
        <w:tblInd w:w="-567" w:type="dxa"/>
        <w:tblLayout w:type="fixed"/>
        <w:tblLook w:val="04A0" w:firstRow="1" w:lastRow="0" w:firstColumn="1" w:lastColumn="0" w:noHBand="0" w:noVBand="1"/>
      </w:tblPr>
      <w:tblGrid>
        <w:gridCol w:w="1266"/>
        <w:gridCol w:w="857"/>
        <w:gridCol w:w="1565"/>
        <w:gridCol w:w="421"/>
        <w:gridCol w:w="436"/>
        <w:gridCol w:w="925"/>
        <w:gridCol w:w="1389"/>
        <w:gridCol w:w="415"/>
        <w:gridCol w:w="323"/>
        <w:gridCol w:w="816"/>
        <w:gridCol w:w="1491"/>
        <w:gridCol w:w="655"/>
        <w:gridCol w:w="293"/>
      </w:tblGrid>
      <w:tr w:rsidR="00E97724" w:rsidRPr="00DA04AE" w14:paraId="5F4B2742" w14:textId="77777777" w:rsidTr="00BC071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5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4E7CFA7A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1310" w:type="pct"/>
            <w:gridSpan w:val="3"/>
          </w:tcPr>
          <w:p w14:paraId="2BA20B63" w14:textId="77777777" w:rsidR="00E97724" w:rsidRPr="00DA04AE" w:rsidRDefault="00E97724" w:rsidP="00BC07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</w:pPr>
            <w:r w:rsidRPr="00DA04AE">
              <w:rPr>
                <w:rStyle w:val="Strong"/>
                <w:rFonts w:asciiTheme="majorBidi" w:hAnsiTheme="majorBidi" w:cstheme="majorBidi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458" w:type="pct"/>
            <w:gridSpan w:val="4"/>
            <w:noWrap/>
            <w:hideMark/>
          </w:tcPr>
          <w:p w14:paraId="029BB27B" w14:textId="77777777" w:rsidR="00E97724" w:rsidRPr="00DA04AE" w:rsidRDefault="00E97724" w:rsidP="00BC07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Men</w:t>
            </w:r>
          </w:p>
        </w:tc>
        <w:tc>
          <w:tcPr>
            <w:tcW w:w="1514" w:type="pct"/>
            <w:gridSpan w:val="4"/>
            <w:noWrap/>
            <w:hideMark/>
          </w:tcPr>
          <w:p w14:paraId="2A1AC02C" w14:textId="77777777" w:rsidR="00E97724" w:rsidRPr="00DA04AE" w:rsidRDefault="00E97724" w:rsidP="00BC07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Women</w:t>
            </w:r>
          </w:p>
        </w:tc>
      </w:tr>
      <w:tr w:rsidR="00E97724" w:rsidRPr="00DA04AE" w14:paraId="3A2F3300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612E068F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lastRenderedPageBreak/>
              <w:t>Predictor</w:t>
            </w:r>
          </w:p>
        </w:tc>
        <w:tc>
          <w:tcPr>
            <w:tcW w:w="395" w:type="pct"/>
          </w:tcPr>
          <w:p w14:paraId="3DBE9841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Exp(B)</w:t>
            </w:r>
          </w:p>
        </w:tc>
        <w:tc>
          <w:tcPr>
            <w:tcW w:w="721" w:type="pct"/>
          </w:tcPr>
          <w:p w14:paraId="53E3DC9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95% CI for Exp(B)</w:t>
            </w:r>
          </w:p>
        </w:tc>
        <w:tc>
          <w:tcPr>
            <w:tcW w:w="395" w:type="pct"/>
            <w:gridSpan w:val="2"/>
          </w:tcPr>
          <w:p w14:paraId="6791702E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p</w:t>
            </w:r>
          </w:p>
        </w:tc>
        <w:tc>
          <w:tcPr>
            <w:tcW w:w="426" w:type="pct"/>
            <w:noWrap/>
            <w:hideMark/>
          </w:tcPr>
          <w:p w14:paraId="518975D1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Exp(B)</w:t>
            </w:r>
          </w:p>
        </w:tc>
        <w:tc>
          <w:tcPr>
            <w:tcW w:w="640" w:type="pct"/>
            <w:noWrap/>
            <w:hideMark/>
          </w:tcPr>
          <w:p w14:paraId="2179BC5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95% CI for Exp(B)</w:t>
            </w:r>
          </w:p>
        </w:tc>
        <w:tc>
          <w:tcPr>
            <w:tcW w:w="340" w:type="pct"/>
            <w:gridSpan w:val="2"/>
            <w:noWrap/>
            <w:hideMark/>
          </w:tcPr>
          <w:p w14:paraId="563B91F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p</w:t>
            </w:r>
          </w:p>
        </w:tc>
        <w:tc>
          <w:tcPr>
            <w:tcW w:w="376" w:type="pct"/>
            <w:noWrap/>
            <w:hideMark/>
          </w:tcPr>
          <w:p w14:paraId="465BF00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Exp(B)</w:t>
            </w:r>
          </w:p>
        </w:tc>
        <w:tc>
          <w:tcPr>
            <w:tcW w:w="687" w:type="pct"/>
            <w:noWrap/>
            <w:hideMark/>
          </w:tcPr>
          <w:p w14:paraId="5013E59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95% CI for Exp(B)</w:t>
            </w:r>
          </w:p>
        </w:tc>
        <w:tc>
          <w:tcPr>
            <w:tcW w:w="437" w:type="pct"/>
            <w:gridSpan w:val="2"/>
            <w:noWrap/>
            <w:hideMark/>
          </w:tcPr>
          <w:p w14:paraId="265C3377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</w:rPr>
              <w:t>p</w:t>
            </w:r>
          </w:p>
        </w:tc>
      </w:tr>
      <w:tr w:rsidR="00E97724" w:rsidRPr="00DA04AE" w14:paraId="5E43E425" w14:textId="77777777" w:rsidTr="00BC071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3FC44783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Model 1</w:t>
            </w:r>
          </w:p>
        </w:tc>
        <w:tc>
          <w:tcPr>
            <w:tcW w:w="395" w:type="pct"/>
          </w:tcPr>
          <w:p w14:paraId="67F8557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721" w:type="pct"/>
          </w:tcPr>
          <w:p w14:paraId="3CF481A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395" w:type="pct"/>
            <w:gridSpan w:val="2"/>
          </w:tcPr>
          <w:p w14:paraId="0B1E334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426" w:type="pct"/>
            <w:noWrap/>
            <w:hideMark/>
          </w:tcPr>
          <w:p w14:paraId="20A18482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40" w:type="pct"/>
            <w:noWrap/>
            <w:hideMark/>
          </w:tcPr>
          <w:p w14:paraId="6F6529AB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40" w:type="pct"/>
            <w:gridSpan w:val="2"/>
            <w:noWrap/>
            <w:hideMark/>
          </w:tcPr>
          <w:p w14:paraId="16FC790A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76" w:type="pct"/>
            <w:noWrap/>
            <w:hideMark/>
          </w:tcPr>
          <w:p w14:paraId="6EBC281B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87" w:type="pct"/>
            <w:noWrap/>
            <w:hideMark/>
          </w:tcPr>
          <w:p w14:paraId="435B8BD8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437" w:type="pct"/>
            <w:gridSpan w:val="2"/>
            <w:noWrap/>
            <w:hideMark/>
          </w:tcPr>
          <w:p w14:paraId="2A10B6D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</w:p>
        </w:tc>
      </w:tr>
      <w:tr w:rsidR="00E97724" w:rsidRPr="00DA04AE" w14:paraId="639A7447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6D94518E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Total EES</w:t>
            </w:r>
          </w:p>
        </w:tc>
        <w:tc>
          <w:tcPr>
            <w:tcW w:w="395" w:type="pct"/>
          </w:tcPr>
          <w:p w14:paraId="6E09A6E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721" w:type="pct"/>
          </w:tcPr>
          <w:p w14:paraId="0355B2F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1.001–1.001</w:t>
            </w:r>
          </w:p>
        </w:tc>
        <w:tc>
          <w:tcPr>
            <w:tcW w:w="395" w:type="pct"/>
            <w:gridSpan w:val="2"/>
          </w:tcPr>
          <w:p w14:paraId="09C01BC8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29F67DE8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7048F43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.999–1.000</w:t>
            </w:r>
          </w:p>
        </w:tc>
        <w:tc>
          <w:tcPr>
            <w:tcW w:w="340" w:type="pct"/>
            <w:gridSpan w:val="2"/>
            <w:noWrap/>
            <w:hideMark/>
          </w:tcPr>
          <w:p w14:paraId="39CEA28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0.957</w:t>
            </w:r>
          </w:p>
        </w:tc>
        <w:tc>
          <w:tcPr>
            <w:tcW w:w="376" w:type="pct"/>
            <w:noWrap/>
            <w:hideMark/>
          </w:tcPr>
          <w:p w14:paraId="473DCAC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687" w:type="pct"/>
            <w:noWrap/>
            <w:hideMark/>
          </w:tcPr>
          <w:p w14:paraId="2898A41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1.001–1.002</w:t>
            </w:r>
          </w:p>
        </w:tc>
        <w:tc>
          <w:tcPr>
            <w:tcW w:w="437" w:type="pct"/>
            <w:gridSpan w:val="2"/>
            <w:noWrap/>
            <w:hideMark/>
          </w:tcPr>
          <w:p w14:paraId="02DC970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6F9F175A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376BC35A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Sadness &amp; Irritability</w:t>
            </w:r>
          </w:p>
        </w:tc>
        <w:tc>
          <w:tcPr>
            <w:tcW w:w="395" w:type="pct"/>
          </w:tcPr>
          <w:p w14:paraId="3C32325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6CC1AA29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1.001–1.003</w:t>
            </w:r>
          </w:p>
        </w:tc>
        <w:tc>
          <w:tcPr>
            <w:tcW w:w="395" w:type="pct"/>
            <w:gridSpan w:val="2"/>
          </w:tcPr>
          <w:p w14:paraId="5CA9EB7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7DBA345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6B765208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.999–1.001</w:t>
            </w:r>
          </w:p>
        </w:tc>
        <w:tc>
          <w:tcPr>
            <w:tcW w:w="340" w:type="pct"/>
            <w:gridSpan w:val="2"/>
            <w:noWrap/>
            <w:hideMark/>
          </w:tcPr>
          <w:p w14:paraId="3535DCB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0.744</w:t>
            </w:r>
          </w:p>
        </w:tc>
        <w:tc>
          <w:tcPr>
            <w:tcW w:w="376" w:type="pct"/>
            <w:noWrap/>
            <w:hideMark/>
          </w:tcPr>
          <w:p w14:paraId="6E6224C9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687" w:type="pct"/>
            <w:noWrap/>
            <w:hideMark/>
          </w:tcPr>
          <w:p w14:paraId="462A22F6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1.003–1.005</w:t>
            </w:r>
          </w:p>
        </w:tc>
        <w:tc>
          <w:tcPr>
            <w:tcW w:w="437" w:type="pct"/>
            <w:gridSpan w:val="2"/>
            <w:noWrap/>
            <w:hideMark/>
          </w:tcPr>
          <w:p w14:paraId="598C1F7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3F6ADD52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454FC7B7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Exhaustion</w:t>
            </w:r>
          </w:p>
        </w:tc>
        <w:tc>
          <w:tcPr>
            <w:tcW w:w="395" w:type="pct"/>
          </w:tcPr>
          <w:p w14:paraId="20AD803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3B1D65F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1.000–1.003</w:t>
            </w:r>
          </w:p>
        </w:tc>
        <w:tc>
          <w:tcPr>
            <w:tcW w:w="395" w:type="pct"/>
            <w:gridSpan w:val="2"/>
          </w:tcPr>
          <w:p w14:paraId="71DCE12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.022</w:t>
            </w:r>
          </w:p>
        </w:tc>
        <w:tc>
          <w:tcPr>
            <w:tcW w:w="426" w:type="pct"/>
            <w:noWrap/>
            <w:hideMark/>
          </w:tcPr>
          <w:p w14:paraId="41B7B3F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</w:t>
            </w:r>
          </w:p>
        </w:tc>
        <w:tc>
          <w:tcPr>
            <w:tcW w:w="640" w:type="pct"/>
            <w:noWrap/>
            <w:hideMark/>
          </w:tcPr>
          <w:p w14:paraId="3F80208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.997–1.001</w:t>
            </w:r>
          </w:p>
        </w:tc>
        <w:tc>
          <w:tcPr>
            <w:tcW w:w="340" w:type="pct"/>
            <w:gridSpan w:val="2"/>
            <w:noWrap/>
            <w:hideMark/>
          </w:tcPr>
          <w:p w14:paraId="316C1F4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0.185</w:t>
            </w:r>
          </w:p>
        </w:tc>
        <w:tc>
          <w:tcPr>
            <w:tcW w:w="376" w:type="pct"/>
            <w:noWrap/>
            <w:hideMark/>
          </w:tcPr>
          <w:p w14:paraId="1BF7B60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1.005</w:t>
            </w:r>
          </w:p>
        </w:tc>
        <w:tc>
          <w:tcPr>
            <w:tcW w:w="687" w:type="pct"/>
            <w:noWrap/>
            <w:hideMark/>
          </w:tcPr>
          <w:p w14:paraId="090F64AB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1.003–1.007</w:t>
            </w:r>
          </w:p>
        </w:tc>
        <w:tc>
          <w:tcPr>
            <w:tcW w:w="437" w:type="pct"/>
            <w:gridSpan w:val="2"/>
            <w:noWrap/>
            <w:hideMark/>
          </w:tcPr>
          <w:p w14:paraId="2E95AF17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7977DA09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01B97613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Excitement</w:t>
            </w:r>
          </w:p>
        </w:tc>
        <w:tc>
          <w:tcPr>
            <w:tcW w:w="395" w:type="pct"/>
          </w:tcPr>
          <w:p w14:paraId="42F35DD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0D64D28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1.001–1.004</w:t>
            </w:r>
          </w:p>
        </w:tc>
        <w:tc>
          <w:tcPr>
            <w:tcW w:w="395" w:type="pct"/>
            <w:gridSpan w:val="2"/>
          </w:tcPr>
          <w:p w14:paraId="6FECB34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.005</w:t>
            </w:r>
          </w:p>
        </w:tc>
        <w:tc>
          <w:tcPr>
            <w:tcW w:w="426" w:type="pct"/>
            <w:noWrap/>
            <w:hideMark/>
          </w:tcPr>
          <w:p w14:paraId="66A73DE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38FFACB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.997–1.003</w:t>
            </w:r>
          </w:p>
        </w:tc>
        <w:tc>
          <w:tcPr>
            <w:tcW w:w="340" w:type="pct"/>
            <w:gridSpan w:val="2"/>
            <w:noWrap/>
            <w:hideMark/>
          </w:tcPr>
          <w:p w14:paraId="439135A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0.971</w:t>
            </w:r>
          </w:p>
        </w:tc>
        <w:tc>
          <w:tcPr>
            <w:tcW w:w="376" w:type="pct"/>
            <w:noWrap/>
            <w:hideMark/>
          </w:tcPr>
          <w:p w14:paraId="34C5283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1.006</w:t>
            </w:r>
          </w:p>
        </w:tc>
        <w:tc>
          <w:tcPr>
            <w:tcW w:w="687" w:type="pct"/>
            <w:noWrap/>
            <w:hideMark/>
          </w:tcPr>
          <w:p w14:paraId="0AA4447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1.003–1.008</w:t>
            </w:r>
          </w:p>
        </w:tc>
        <w:tc>
          <w:tcPr>
            <w:tcW w:w="437" w:type="pct"/>
            <w:gridSpan w:val="2"/>
            <w:noWrap/>
            <w:hideMark/>
          </w:tcPr>
          <w:p w14:paraId="5AE40A9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25C54C4B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05F48389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Distress</w:t>
            </w:r>
          </w:p>
        </w:tc>
        <w:tc>
          <w:tcPr>
            <w:tcW w:w="395" w:type="pct"/>
          </w:tcPr>
          <w:p w14:paraId="1066C06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721" w:type="pct"/>
          </w:tcPr>
          <w:p w14:paraId="50F06B5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1.003–1.006</w:t>
            </w:r>
          </w:p>
        </w:tc>
        <w:tc>
          <w:tcPr>
            <w:tcW w:w="395" w:type="pct"/>
            <w:gridSpan w:val="2"/>
          </w:tcPr>
          <w:p w14:paraId="3252B15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296AFE9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640" w:type="pct"/>
            <w:noWrap/>
            <w:hideMark/>
          </w:tcPr>
          <w:p w14:paraId="08B5135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.998–1.003</w:t>
            </w:r>
          </w:p>
        </w:tc>
        <w:tc>
          <w:tcPr>
            <w:tcW w:w="340" w:type="pct"/>
            <w:gridSpan w:val="2"/>
            <w:noWrap/>
            <w:hideMark/>
          </w:tcPr>
          <w:p w14:paraId="25B2A99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0.567</w:t>
            </w:r>
          </w:p>
        </w:tc>
        <w:tc>
          <w:tcPr>
            <w:tcW w:w="376" w:type="pct"/>
            <w:noWrap/>
            <w:hideMark/>
          </w:tcPr>
          <w:p w14:paraId="52211BA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1.007</w:t>
            </w:r>
          </w:p>
        </w:tc>
        <w:tc>
          <w:tcPr>
            <w:tcW w:w="687" w:type="pct"/>
            <w:noWrap/>
            <w:hideMark/>
          </w:tcPr>
          <w:p w14:paraId="5B2E19E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1.005–1.009</w:t>
            </w:r>
          </w:p>
        </w:tc>
        <w:tc>
          <w:tcPr>
            <w:tcW w:w="437" w:type="pct"/>
            <w:gridSpan w:val="2"/>
            <w:noWrap/>
            <w:hideMark/>
          </w:tcPr>
          <w:p w14:paraId="12A3822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4D464233" w14:textId="77777777" w:rsidTr="00BC071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1D0C9438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Model 2</w:t>
            </w:r>
          </w:p>
        </w:tc>
        <w:tc>
          <w:tcPr>
            <w:tcW w:w="395" w:type="pct"/>
          </w:tcPr>
          <w:p w14:paraId="069ED9F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721" w:type="pct"/>
          </w:tcPr>
          <w:p w14:paraId="171BFC3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395" w:type="pct"/>
            <w:gridSpan w:val="2"/>
          </w:tcPr>
          <w:p w14:paraId="27A6D77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426" w:type="pct"/>
            <w:noWrap/>
            <w:hideMark/>
          </w:tcPr>
          <w:p w14:paraId="46A5C1A2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40" w:type="pct"/>
            <w:noWrap/>
            <w:hideMark/>
          </w:tcPr>
          <w:p w14:paraId="60023AEB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40" w:type="pct"/>
            <w:gridSpan w:val="2"/>
            <w:noWrap/>
            <w:hideMark/>
          </w:tcPr>
          <w:p w14:paraId="509B25C2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76" w:type="pct"/>
            <w:noWrap/>
            <w:hideMark/>
          </w:tcPr>
          <w:p w14:paraId="6B045BE4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87" w:type="pct"/>
            <w:noWrap/>
            <w:hideMark/>
          </w:tcPr>
          <w:p w14:paraId="2146208F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437" w:type="pct"/>
            <w:gridSpan w:val="2"/>
            <w:noWrap/>
            <w:hideMark/>
          </w:tcPr>
          <w:p w14:paraId="1A5BC2A0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</w:p>
        </w:tc>
      </w:tr>
      <w:tr w:rsidR="00E97724" w:rsidRPr="00DA04AE" w14:paraId="296CBE30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1B6682B6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Total EES</w:t>
            </w:r>
          </w:p>
        </w:tc>
        <w:tc>
          <w:tcPr>
            <w:tcW w:w="395" w:type="pct"/>
          </w:tcPr>
          <w:p w14:paraId="46B12DF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721" w:type="pct"/>
          </w:tcPr>
          <w:p w14:paraId="163D8998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1.001–1.001</w:t>
            </w:r>
          </w:p>
        </w:tc>
        <w:tc>
          <w:tcPr>
            <w:tcW w:w="395" w:type="pct"/>
            <w:gridSpan w:val="2"/>
          </w:tcPr>
          <w:p w14:paraId="51D4416B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56DE7E5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30A27D1E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.999–1.000</w:t>
            </w:r>
          </w:p>
        </w:tc>
        <w:tc>
          <w:tcPr>
            <w:tcW w:w="340" w:type="pct"/>
            <w:gridSpan w:val="2"/>
            <w:noWrap/>
            <w:hideMark/>
          </w:tcPr>
          <w:p w14:paraId="64A6BEB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0.784</w:t>
            </w:r>
          </w:p>
        </w:tc>
        <w:tc>
          <w:tcPr>
            <w:tcW w:w="376" w:type="pct"/>
            <w:noWrap/>
            <w:hideMark/>
          </w:tcPr>
          <w:p w14:paraId="6BF04681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687" w:type="pct"/>
            <w:noWrap/>
            <w:hideMark/>
          </w:tcPr>
          <w:p w14:paraId="7BCDA7A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1.001–1.002</w:t>
            </w:r>
          </w:p>
        </w:tc>
        <w:tc>
          <w:tcPr>
            <w:tcW w:w="437" w:type="pct"/>
            <w:gridSpan w:val="2"/>
            <w:noWrap/>
            <w:hideMark/>
          </w:tcPr>
          <w:p w14:paraId="1BA5244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6139E06F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4BC8F27B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Sadness &amp; Irritability</w:t>
            </w:r>
          </w:p>
        </w:tc>
        <w:tc>
          <w:tcPr>
            <w:tcW w:w="395" w:type="pct"/>
          </w:tcPr>
          <w:p w14:paraId="770B379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04618790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1.001–1.003</w:t>
            </w:r>
          </w:p>
        </w:tc>
        <w:tc>
          <w:tcPr>
            <w:tcW w:w="395" w:type="pct"/>
            <w:gridSpan w:val="2"/>
          </w:tcPr>
          <w:p w14:paraId="2C9A46A7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3595360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3845AD30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.999–1.001</w:t>
            </w:r>
          </w:p>
        </w:tc>
        <w:tc>
          <w:tcPr>
            <w:tcW w:w="340" w:type="pct"/>
            <w:gridSpan w:val="2"/>
            <w:noWrap/>
            <w:hideMark/>
          </w:tcPr>
          <w:p w14:paraId="6411E8B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0.950</w:t>
            </w:r>
          </w:p>
        </w:tc>
        <w:tc>
          <w:tcPr>
            <w:tcW w:w="376" w:type="pct"/>
            <w:noWrap/>
            <w:hideMark/>
          </w:tcPr>
          <w:p w14:paraId="1E18E1D6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687" w:type="pct"/>
            <w:noWrap/>
            <w:hideMark/>
          </w:tcPr>
          <w:p w14:paraId="3B9C9B2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1.003–1.005</w:t>
            </w:r>
          </w:p>
        </w:tc>
        <w:tc>
          <w:tcPr>
            <w:tcW w:w="437" w:type="pct"/>
            <w:gridSpan w:val="2"/>
            <w:noWrap/>
            <w:hideMark/>
          </w:tcPr>
          <w:p w14:paraId="01F9A4F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37E3A1DB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0463DA39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Exhaustion</w:t>
            </w:r>
          </w:p>
        </w:tc>
        <w:tc>
          <w:tcPr>
            <w:tcW w:w="395" w:type="pct"/>
          </w:tcPr>
          <w:p w14:paraId="05B7634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676922F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1.000–1.003</w:t>
            </w:r>
          </w:p>
        </w:tc>
        <w:tc>
          <w:tcPr>
            <w:tcW w:w="395" w:type="pct"/>
            <w:gridSpan w:val="2"/>
          </w:tcPr>
          <w:p w14:paraId="47702F95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.027</w:t>
            </w:r>
          </w:p>
        </w:tc>
        <w:tc>
          <w:tcPr>
            <w:tcW w:w="426" w:type="pct"/>
            <w:noWrap/>
            <w:hideMark/>
          </w:tcPr>
          <w:p w14:paraId="35DE41A5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</w:t>
            </w:r>
          </w:p>
        </w:tc>
        <w:tc>
          <w:tcPr>
            <w:tcW w:w="640" w:type="pct"/>
            <w:noWrap/>
            <w:hideMark/>
          </w:tcPr>
          <w:p w14:paraId="2A891A9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.996–1.001</w:t>
            </w:r>
          </w:p>
        </w:tc>
        <w:tc>
          <w:tcPr>
            <w:tcW w:w="340" w:type="pct"/>
            <w:gridSpan w:val="2"/>
            <w:noWrap/>
            <w:hideMark/>
          </w:tcPr>
          <w:p w14:paraId="68CE609B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0.156</w:t>
            </w:r>
          </w:p>
        </w:tc>
        <w:tc>
          <w:tcPr>
            <w:tcW w:w="376" w:type="pct"/>
            <w:noWrap/>
            <w:hideMark/>
          </w:tcPr>
          <w:p w14:paraId="505D1245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687" w:type="pct"/>
            <w:noWrap/>
            <w:hideMark/>
          </w:tcPr>
          <w:p w14:paraId="1D92B37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1.002–1.006</w:t>
            </w:r>
          </w:p>
        </w:tc>
        <w:tc>
          <w:tcPr>
            <w:tcW w:w="437" w:type="pct"/>
            <w:gridSpan w:val="2"/>
            <w:noWrap/>
            <w:hideMark/>
          </w:tcPr>
          <w:p w14:paraId="1FFC94C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1D08041B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32C51E0F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Excitement</w:t>
            </w:r>
          </w:p>
        </w:tc>
        <w:tc>
          <w:tcPr>
            <w:tcW w:w="395" w:type="pct"/>
          </w:tcPr>
          <w:p w14:paraId="4F1EF49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71997E0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1.001–1.004</w:t>
            </w:r>
          </w:p>
        </w:tc>
        <w:tc>
          <w:tcPr>
            <w:tcW w:w="395" w:type="pct"/>
            <w:gridSpan w:val="2"/>
          </w:tcPr>
          <w:p w14:paraId="2885799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.004</w:t>
            </w:r>
          </w:p>
        </w:tc>
        <w:tc>
          <w:tcPr>
            <w:tcW w:w="426" w:type="pct"/>
            <w:noWrap/>
            <w:hideMark/>
          </w:tcPr>
          <w:p w14:paraId="23973B0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7BC13258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.997–1.002</w:t>
            </w:r>
          </w:p>
        </w:tc>
        <w:tc>
          <w:tcPr>
            <w:tcW w:w="340" w:type="pct"/>
            <w:gridSpan w:val="2"/>
            <w:noWrap/>
            <w:hideMark/>
          </w:tcPr>
          <w:p w14:paraId="3DB544E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0.841</w:t>
            </w:r>
          </w:p>
        </w:tc>
        <w:tc>
          <w:tcPr>
            <w:tcW w:w="376" w:type="pct"/>
            <w:noWrap/>
            <w:hideMark/>
          </w:tcPr>
          <w:p w14:paraId="6E20C07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1.005</w:t>
            </w:r>
          </w:p>
        </w:tc>
        <w:tc>
          <w:tcPr>
            <w:tcW w:w="687" w:type="pct"/>
            <w:noWrap/>
            <w:hideMark/>
          </w:tcPr>
          <w:p w14:paraId="79843C57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1.003–1.008</w:t>
            </w:r>
          </w:p>
        </w:tc>
        <w:tc>
          <w:tcPr>
            <w:tcW w:w="437" w:type="pct"/>
            <w:gridSpan w:val="2"/>
            <w:noWrap/>
            <w:hideMark/>
          </w:tcPr>
          <w:p w14:paraId="610BCEC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2B1B409F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57923D8C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Distress</w:t>
            </w:r>
          </w:p>
        </w:tc>
        <w:tc>
          <w:tcPr>
            <w:tcW w:w="395" w:type="pct"/>
          </w:tcPr>
          <w:p w14:paraId="2050177A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721" w:type="pct"/>
          </w:tcPr>
          <w:p w14:paraId="3BA16136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1.003–1.006</w:t>
            </w:r>
          </w:p>
        </w:tc>
        <w:tc>
          <w:tcPr>
            <w:tcW w:w="395" w:type="pct"/>
            <w:gridSpan w:val="2"/>
          </w:tcPr>
          <w:p w14:paraId="391B2FCE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6305CDD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70B6D9C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.998–1.003</w:t>
            </w:r>
          </w:p>
        </w:tc>
        <w:tc>
          <w:tcPr>
            <w:tcW w:w="340" w:type="pct"/>
            <w:gridSpan w:val="2"/>
            <w:noWrap/>
            <w:hideMark/>
          </w:tcPr>
          <w:p w14:paraId="31CD2F8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0.719</w:t>
            </w:r>
          </w:p>
        </w:tc>
        <w:tc>
          <w:tcPr>
            <w:tcW w:w="376" w:type="pct"/>
            <w:noWrap/>
            <w:hideMark/>
          </w:tcPr>
          <w:p w14:paraId="27A573D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1.007</w:t>
            </w:r>
          </w:p>
        </w:tc>
        <w:tc>
          <w:tcPr>
            <w:tcW w:w="687" w:type="pct"/>
            <w:noWrap/>
            <w:hideMark/>
          </w:tcPr>
          <w:p w14:paraId="115A97A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1.005–1.009</w:t>
            </w:r>
          </w:p>
        </w:tc>
        <w:tc>
          <w:tcPr>
            <w:tcW w:w="437" w:type="pct"/>
            <w:gridSpan w:val="2"/>
            <w:noWrap/>
            <w:hideMark/>
          </w:tcPr>
          <w:p w14:paraId="5B78247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4D75F596" w14:textId="77777777" w:rsidTr="00BC071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4F8ADC5E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Model 3</w:t>
            </w:r>
          </w:p>
        </w:tc>
        <w:tc>
          <w:tcPr>
            <w:tcW w:w="395" w:type="pct"/>
          </w:tcPr>
          <w:p w14:paraId="1D34DC5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721" w:type="pct"/>
          </w:tcPr>
          <w:p w14:paraId="0FF6A9F0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395" w:type="pct"/>
            <w:gridSpan w:val="2"/>
          </w:tcPr>
          <w:p w14:paraId="04E220FA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</w:p>
        </w:tc>
        <w:tc>
          <w:tcPr>
            <w:tcW w:w="426" w:type="pct"/>
            <w:noWrap/>
            <w:hideMark/>
          </w:tcPr>
          <w:p w14:paraId="7217C08D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40" w:type="pct"/>
            <w:noWrap/>
            <w:hideMark/>
          </w:tcPr>
          <w:p w14:paraId="1442E819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40" w:type="pct"/>
            <w:gridSpan w:val="2"/>
            <w:noWrap/>
            <w:hideMark/>
          </w:tcPr>
          <w:p w14:paraId="65CEB8C2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376" w:type="pct"/>
            <w:noWrap/>
            <w:hideMark/>
          </w:tcPr>
          <w:p w14:paraId="4692D4BA" w14:textId="77777777" w:rsidR="00E97724" w:rsidRPr="00DA04AE" w:rsidRDefault="00E97724" w:rsidP="00BC0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b/>
                <w:bCs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687" w:type="pct"/>
            <w:noWrap/>
            <w:hideMark/>
          </w:tcPr>
          <w:p w14:paraId="09F7ACC7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  <w:t> </w:t>
            </w:r>
          </w:p>
        </w:tc>
        <w:tc>
          <w:tcPr>
            <w:tcW w:w="437" w:type="pct"/>
            <w:gridSpan w:val="2"/>
            <w:noWrap/>
            <w:hideMark/>
          </w:tcPr>
          <w:p w14:paraId="7DAC1386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</w:p>
        </w:tc>
      </w:tr>
      <w:tr w:rsidR="00E97724" w:rsidRPr="00DA04AE" w14:paraId="3C2F384B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415B69B6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Total EES</w:t>
            </w:r>
          </w:p>
        </w:tc>
        <w:tc>
          <w:tcPr>
            <w:tcW w:w="395" w:type="pct"/>
          </w:tcPr>
          <w:p w14:paraId="6AF34C5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721" w:type="pct"/>
          </w:tcPr>
          <w:p w14:paraId="12C5CFE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1.000–1.001</w:t>
            </w:r>
          </w:p>
        </w:tc>
        <w:tc>
          <w:tcPr>
            <w:tcW w:w="395" w:type="pct"/>
            <w:gridSpan w:val="2"/>
          </w:tcPr>
          <w:p w14:paraId="49C4857D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1341E055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6147E12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.999–1.000</w:t>
            </w:r>
          </w:p>
        </w:tc>
        <w:tc>
          <w:tcPr>
            <w:tcW w:w="340" w:type="pct"/>
            <w:gridSpan w:val="2"/>
            <w:noWrap/>
            <w:hideMark/>
          </w:tcPr>
          <w:p w14:paraId="1D94E7C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0.613</w:t>
            </w:r>
          </w:p>
        </w:tc>
        <w:tc>
          <w:tcPr>
            <w:tcW w:w="376" w:type="pct"/>
            <w:noWrap/>
            <w:hideMark/>
          </w:tcPr>
          <w:p w14:paraId="748BFAD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687" w:type="pct"/>
            <w:noWrap/>
            <w:hideMark/>
          </w:tcPr>
          <w:p w14:paraId="392292C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1.001–1.002</w:t>
            </w:r>
          </w:p>
        </w:tc>
        <w:tc>
          <w:tcPr>
            <w:tcW w:w="437" w:type="pct"/>
            <w:gridSpan w:val="2"/>
            <w:noWrap/>
            <w:hideMark/>
          </w:tcPr>
          <w:p w14:paraId="7E6678A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3B909831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7A8F73BA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Sadness &amp; Irritability</w:t>
            </w:r>
          </w:p>
        </w:tc>
        <w:tc>
          <w:tcPr>
            <w:tcW w:w="395" w:type="pct"/>
          </w:tcPr>
          <w:p w14:paraId="6C57A8A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79EDA85D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1.001–1.002</w:t>
            </w:r>
          </w:p>
        </w:tc>
        <w:tc>
          <w:tcPr>
            <w:tcW w:w="395" w:type="pct"/>
            <w:gridSpan w:val="2"/>
          </w:tcPr>
          <w:p w14:paraId="2D6103A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7DD6E27B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37BB7255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.999–1.001</w:t>
            </w:r>
          </w:p>
        </w:tc>
        <w:tc>
          <w:tcPr>
            <w:tcW w:w="340" w:type="pct"/>
            <w:gridSpan w:val="2"/>
            <w:noWrap/>
            <w:hideMark/>
          </w:tcPr>
          <w:p w14:paraId="2D1E051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0.810</w:t>
            </w:r>
          </w:p>
        </w:tc>
        <w:tc>
          <w:tcPr>
            <w:tcW w:w="376" w:type="pct"/>
            <w:noWrap/>
            <w:hideMark/>
          </w:tcPr>
          <w:p w14:paraId="73B51D03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</w:t>
            </w:r>
          </w:p>
        </w:tc>
        <w:tc>
          <w:tcPr>
            <w:tcW w:w="687" w:type="pct"/>
            <w:noWrap/>
            <w:hideMark/>
          </w:tcPr>
          <w:p w14:paraId="0626F30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1.002–1.004</w:t>
            </w:r>
          </w:p>
        </w:tc>
        <w:tc>
          <w:tcPr>
            <w:tcW w:w="437" w:type="pct"/>
            <w:gridSpan w:val="2"/>
            <w:noWrap/>
            <w:hideMark/>
          </w:tcPr>
          <w:p w14:paraId="1F452B08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6CB5FE0E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352B51D0" w14:textId="77777777" w:rsidR="00E97724" w:rsidRPr="00DA04AE" w:rsidRDefault="00E97724" w:rsidP="00BC0718">
            <w:pPr>
              <w:bidi w:val="0"/>
              <w:jc w:val="left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Exhaustion</w:t>
            </w:r>
          </w:p>
        </w:tc>
        <w:tc>
          <w:tcPr>
            <w:tcW w:w="395" w:type="pct"/>
          </w:tcPr>
          <w:p w14:paraId="59EE736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</w:t>
            </w:r>
          </w:p>
        </w:tc>
        <w:tc>
          <w:tcPr>
            <w:tcW w:w="721" w:type="pct"/>
          </w:tcPr>
          <w:p w14:paraId="2BCD096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1.000–1.003</w:t>
            </w:r>
          </w:p>
        </w:tc>
        <w:tc>
          <w:tcPr>
            <w:tcW w:w="395" w:type="pct"/>
            <w:gridSpan w:val="2"/>
          </w:tcPr>
          <w:p w14:paraId="73EECB5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.039</w:t>
            </w:r>
          </w:p>
        </w:tc>
        <w:tc>
          <w:tcPr>
            <w:tcW w:w="426" w:type="pct"/>
            <w:noWrap/>
            <w:hideMark/>
          </w:tcPr>
          <w:p w14:paraId="2AFB024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.999</w:t>
            </w:r>
          </w:p>
        </w:tc>
        <w:tc>
          <w:tcPr>
            <w:tcW w:w="640" w:type="pct"/>
            <w:noWrap/>
            <w:hideMark/>
          </w:tcPr>
          <w:p w14:paraId="7A9215A8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.997–1.001</w:t>
            </w:r>
          </w:p>
        </w:tc>
        <w:tc>
          <w:tcPr>
            <w:tcW w:w="340" w:type="pct"/>
            <w:gridSpan w:val="2"/>
            <w:noWrap/>
            <w:hideMark/>
          </w:tcPr>
          <w:p w14:paraId="5155C804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0.159</w:t>
            </w:r>
          </w:p>
        </w:tc>
        <w:tc>
          <w:tcPr>
            <w:tcW w:w="376" w:type="pct"/>
            <w:noWrap/>
            <w:hideMark/>
          </w:tcPr>
          <w:p w14:paraId="62E7103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687" w:type="pct"/>
            <w:noWrap/>
            <w:hideMark/>
          </w:tcPr>
          <w:p w14:paraId="5565710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1.002–1.006</w:t>
            </w:r>
          </w:p>
        </w:tc>
        <w:tc>
          <w:tcPr>
            <w:tcW w:w="437" w:type="pct"/>
            <w:gridSpan w:val="2"/>
            <w:noWrap/>
            <w:hideMark/>
          </w:tcPr>
          <w:p w14:paraId="2FAF21F2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0CAE5836" w14:textId="77777777" w:rsidTr="00BC071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1CE04152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212121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212121"/>
                <w:sz w:val="21"/>
                <w:szCs w:val="21"/>
              </w:rPr>
              <w:t>Excitement</w:t>
            </w:r>
          </w:p>
        </w:tc>
        <w:tc>
          <w:tcPr>
            <w:tcW w:w="395" w:type="pct"/>
          </w:tcPr>
          <w:p w14:paraId="62369F5C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</w:t>
            </w:r>
          </w:p>
        </w:tc>
        <w:tc>
          <w:tcPr>
            <w:tcW w:w="721" w:type="pct"/>
          </w:tcPr>
          <w:p w14:paraId="648C6B9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1.001–1.004</w:t>
            </w:r>
          </w:p>
        </w:tc>
        <w:tc>
          <w:tcPr>
            <w:tcW w:w="395" w:type="pct"/>
            <w:gridSpan w:val="2"/>
          </w:tcPr>
          <w:p w14:paraId="7A0800D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.012</w:t>
            </w:r>
          </w:p>
        </w:tc>
        <w:tc>
          <w:tcPr>
            <w:tcW w:w="426" w:type="pct"/>
            <w:noWrap/>
            <w:hideMark/>
          </w:tcPr>
          <w:p w14:paraId="2014ACB8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5432D14E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.997–1.002</w:t>
            </w:r>
          </w:p>
        </w:tc>
        <w:tc>
          <w:tcPr>
            <w:tcW w:w="340" w:type="pct"/>
            <w:gridSpan w:val="2"/>
            <w:noWrap/>
            <w:hideMark/>
          </w:tcPr>
          <w:p w14:paraId="3C947B99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0.784</w:t>
            </w:r>
          </w:p>
        </w:tc>
        <w:tc>
          <w:tcPr>
            <w:tcW w:w="376" w:type="pct"/>
            <w:noWrap/>
            <w:hideMark/>
          </w:tcPr>
          <w:p w14:paraId="27566364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1.005</w:t>
            </w:r>
          </w:p>
        </w:tc>
        <w:tc>
          <w:tcPr>
            <w:tcW w:w="687" w:type="pct"/>
            <w:noWrap/>
            <w:hideMark/>
          </w:tcPr>
          <w:p w14:paraId="382FBFC1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1.003–1.007</w:t>
            </w:r>
          </w:p>
        </w:tc>
        <w:tc>
          <w:tcPr>
            <w:tcW w:w="437" w:type="pct"/>
            <w:gridSpan w:val="2"/>
            <w:noWrap/>
            <w:hideMark/>
          </w:tcPr>
          <w:p w14:paraId="1ADC3372" w14:textId="77777777" w:rsidR="00E97724" w:rsidRPr="00DA04AE" w:rsidRDefault="00E97724" w:rsidP="00BC0718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  <w:tr w:rsidR="00E97724" w:rsidRPr="00DA04AE" w14:paraId="0838ED65" w14:textId="77777777" w:rsidTr="00BC0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noWrap/>
            <w:hideMark/>
          </w:tcPr>
          <w:p w14:paraId="177AC126" w14:textId="77777777" w:rsidR="00E97724" w:rsidRPr="00DA04AE" w:rsidRDefault="00E97724" w:rsidP="00BC0718">
            <w:pPr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Distress</w:t>
            </w:r>
          </w:p>
        </w:tc>
        <w:tc>
          <w:tcPr>
            <w:tcW w:w="395" w:type="pct"/>
          </w:tcPr>
          <w:p w14:paraId="5B5084C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</w:t>
            </w:r>
          </w:p>
        </w:tc>
        <w:tc>
          <w:tcPr>
            <w:tcW w:w="721" w:type="pct"/>
          </w:tcPr>
          <w:p w14:paraId="3B01B190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1.002–1.005</w:t>
            </w:r>
          </w:p>
        </w:tc>
        <w:tc>
          <w:tcPr>
            <w:tcW w:w="395" w:type="pct"/>
            <w:gridSpan w:val="2"/>
          </w:tcPr>
          <w:p w14:paraId="4B05A5CC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426" w:type="pct"/>
            <w:noWrap/>
            <w:hideMark/>
          </w:tcPr>
          <w:p w14:paraId="32B65DB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  <w:rtl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640" w:type="pct"/>
            <w:noWrap/>
            <w:hideMark/>
          </w:tcPr>
          <w:p w14:paraId="193566A9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.998–1.002</w:t>
            </w:r>
          </w:p>
        </w:tc>
        <w:tc>
          <w:tcPr>
            <w:tcW w:w="340" w:type="pct"/>
            <w:gridSpan w:val="2"/>
            <w:noWrap/>
            <w:hideMark/>
          </w:tcPr>
          <w:p w14:paraId="30B01193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0.984</w:t>
            </w:r>
          </w:p>
        </w:tc>
        <w:tc>
          <w:tcPr>
            <w:tcW w:w="376" w:type="pct"/>
            <w:noWrap/>
            <w:hideMark/>
          </w:tcPr>
          <w:p w14:paraId="6D9F065F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1.006</w:t>
            </w:r>
          </w:p>
        </w:tc>
        <w:tc>
          <w:tcPr>
            <w:tcW w:w="687" w:type="pct"/>
            <w:noWrap/>
            <w:hideMark/>
          </w:tcPr>
          <w:p w14:paraId="08C45FC7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1.004–1.008</w:t>
            </w:r>
          </w:p>
        </w:tc>
        <w:tc>
          <w:tcPr>
            <w:tcW w:w="437" w:type="pct"/>
            <w:gridSpan w:val="2"/>
            <w:noWrap/>
            <w:hideMark/>
          </w:tcPr>
          <w:p w14:paraId="709B131B" w14:textId="77777777" w:rsidR="00E97724" w:rsidRPr="00DA04AE" w:rsidRDefault="00E97724" w:rsidP="00BC071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DA04AE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&lt;.001</w:t>
            </w:r>
          </w:p>
        </w:tc>
      </w:tr>
    </w:tbl>
    <w:p w14:paraId="0AF7F577" w14:textId="77777777" w:rsidR="00E97724" w:rsidRPr="00DA04AE" w:rsidRDefault="00E97724" w:rsidP="00E97724">
      <w:pPr>
        <w:ind w:left="90" w:right="-1166"/>
        <w:rPr>
          <w:rFonts w:asciiTheme="majorBidi" w:hAnsiTheme="majorBidi" w:cstheme="majorBidi"/>
          <w:sz w:val="20"/>
          <w:szCs w:val="20"/>
        </w:rPr>
      </w:pPr>
      <w:r w:rsidRPr="00DA04AE">
        <w:rPr>
          <w:rFonts w:asciiTheme="majorBidi" w:hAnsiTheme="majorBidi" w:cstheme="majorBidi"/>
          <w:sz w:val="20"/>
          <w:szCs w:val="20"/>
        </w:rPr>
        <w:t>Exponentiated coefficients (Exp(B)) with 95% confidence intervals (CI) were derived from sex-stratified generalized linear models with a gamma distribution and log link.</w:t>
      </w:r>
      <w:r w:rsidRPr="00DA04AE">
        <w:rPr>
          <w:rFonts w:asciiTheme="majorBidi" w:hAnsiTheme="majorBidi" w:cstheme="majorBidi"/>
          <w:sz w:val="20"/>
          <w:szCs w:val="20"/>
        </w:rPr>
        <w:br/>
        <w:t>Model 1 was adjusted for age, education level, marital status, income, and self-reported health conditions.</w:t>
      </w:r>
      <w:r w:rsidRPr="00DA04AE">
        <w:rPr>
          <w:rFonts w:asciiTheme="majorBidi" w:hAnsiTheme="majorBidi" w:cstheme="majorBidi"/>
          <w:sz w:val="20"/>
          <w:szCs w:val="20"/>
        </w:rPr>
        <w:br/>
        <w:t>Model 2 was additionally adjusted for weight-related behaviors (following a weight-loss diet, physical activity for weight loss, weight-loss medication use, smoking status, and recent weight gain).</w:t>
      </w:r>
      <w:r w:rsidRPr="00DA04AE">
        <w:rPr>
          <w:rFonts w:asciiTheme="majorBidi" w:hAnsiTheme="majorBidi" w:cstheme="majorBidi"/>
          <w:sz w:val="20"/>
          <w:szCs w:val="20"/>
        </w:rPr>
        <w:br/>
        <w:t>Model 3 was further adjusted for clinical indicators (SCOFF score, family history of eating disorders, and general medication use); contraceptive use was included only in women models.</w:t>
      </w:r>
      <w:r w:rsidRPr="00DA04AE">
        <w:rPr>
          <w:rFonts w:asciiTheme="majorBidi" w:hAnsiTheme="majorBidi" w:cstheme="majorBidi"/>
          <w:sz w:val="20"/>
          <w:szCs w:val="20"/>
        </w:rPr>
        <w:br/>
        <w:t xml:space="preserve">Statistical significance was set at </w:t>
      </w:r>
      <w:r w:rsidRPr="00DA04AE"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DA04AE">
        <w:rPr>
          <w:rFonts w:asciiTheme="majorBidi" w:hAnsiTheme="majorBidi" w:cstheme="majorBidi"/>
          <w:sz w:val="20"/>
          <w:szCs w:val="20"/>
        </w:rPr>
        <w:t xml:space="preserve"> &lt; 0.05. EES, Emotional Eating Score</w:t>
      </w:r>
    </w:p>
    <w:p w14:paraId="65908B6D" w14:textId="77777777" w:rsidR="00E97724" w:rsidRPr="00DA04AE" w:rsidRDefault="00E97724" w:rsidP="00E97724">
      <w:pPr>
        <w:rPr>
          <w:rFonts w:asciiTheme="majorBidi" w:hAnsiTheme="majorBidi" w:cstheme="majorBidi"/>
          <w:sz w:val="22"/>
          <w:szCs w:val="22"/>
        </w:rPr>
      </w:pPr>
    </w:p>
    <w:p w14:paraId="7541D373" w14:textId="77777777" w:rsidR="00E97724" w:rsidRPr="00DA04AE" w:rsidRDefault="00E97724" w:rsidP="00E97724">
      <w:pPr>
        <w:pStyle w:val="EndNoteBibliography"/>
        <w:ind w:left="720" w:hanging="720"/>
        <w:rPr>
          <w:rFonts w:asciiTheme="majorBidi" w:hAnsiTheme="majorBidi" w:cstheme="majorBidi"/>
          <w:sz w:val="22"/>
          <w:szCs w:val="22"/>
        </w:rPr>
      </w:pPr>
    </w:p>
    <w:p w14:paraId="29334E9F" w14:textId="77777777" w:rsidR="00F229BE" w:rsidRPr="00DA04AE" w:rsidRDefault="00F229BE">
      <w:pPr>
        <w:rPr>
          <w:rFonts w:asciiTheme="majorBidi" w:hAnsiTheme="majorBidi" w:cstheme="majorBidi"/>
          <w:sz w:val="22"/>
          <w:szCs w:val="22"/>
        </w:rPr>
      </w:pPr>
    </w:p>
    <w:sectPr w:rsidR="00F229BE" w:rsidRPr="00DA04AE" w:rsidSect="00E97724">
      <w:footerReference w:type="default" r:id="rId4"/>
      <w:pgSz w:w="12240" w:h="15840"/>
      <w:pgMar w:top="1272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D078" w14:textId="77777777" w:rsidR="00E97724" w:rsidRPr="006F057C" w:rsidRDefault="00E97724">
    <w:pPr>
      <w:pStyle w:val="Footer"/>
      <w:tabs>
        <w:tab w:val="clear" w:pos="4680"/>
        <w:tab w:val="clear" w:pos="9360"/>
      </w:tabs>
      <w:jc w:val="center"/>
      <w:rPr>
        <w:caps/>
        <w:noProof/>
        <w:color w:val="000000" w:themeColor="text1"/>
      </w:rPr>
    </w:pPr>
    <w:r w:rsidRPr="006F057C">
      <w:rPr>
        <w:caps/>
        <w:color w:val="000000" w:themeColor="text1"/>
      </w:rPr>
      <w:fldChar w:fldCharType="begin"/>
    </w:r>
    <w:r w:rsidRPr="006F057C">
      <w:rPr>
        <w:caps/>
        <w:color w:val="000000" w:themeColor="text1"/>
      </w:rPr>
      <w:instrText xml:space="preserve"> PAGE   \* MERGEFORMAT </w:instrText>
    </w:r>
    <w:r w:rsidRPr="006F057C">
      <w:rPr>
        <w:caps/>
        <w:color w:val="000000" w:themeColor="text1"/>
      </w:rPr>
      <w:fldChar w:fldCharType="separate"/>
    </w:r>
    <w:r w:rsidRPr="006F057C">
      <w:rPr>
        <w:caps/>
        <w:noProof/>
        <w:color w:val="000000" w:themeColor="text1"/>
      </w:rPr>
      <w:t>2</w:t>
    </w:r>
    <w:r w:rsidRPr="006F057C">
      <w:rPr>
        <w:caps/>
        <w:noProof/>
        <w:color w:val="000000" w:themeColor="text1"/>
      </w:rPr>
      <w:fldChar w:fldCharType="end"/>
    </w:r>
  </w:p>
  <w:p w14:paraId="059F88CE" w14:textId="77777777" w:rsidR="00E97724" w:rsidRPr="006F057C" w:rsidRDefault="00E97724">
    <w:pPr>
      <w:pStyle w:val="Footer"/>
      <w:rPr>
        <w:color w:val="000000" w:themeColor="text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24"/>
    <w:rsid w:val="00AA3684"/>
    <w:rsid w:val="00AD35CD"/>
    <w:rsid w:val="00BD222F"/>
    <w:rsid w:val="00D40625"/>
    <w:rsid w:val="00DA04AE"/>
    <w:rsid w:val="00E27E0A"/>
    <w:rsid w:val="00E97724"/>
    <w:rsid w:val="00F2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91A54"/>
  <w15:chartTrackingRefBased/>
  <w15:docId w15:val="{047EBB1D-4A38-C04B-848A-680F8B17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72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7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7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7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7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7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7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7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7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7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7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7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7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7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7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7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724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E97724"/>
    <w:pPr>
      <w:bidi/>
      <w:spacing w:after="0" w:line="240" w:lineRule="auto"/>
      <w:jc w:val="righ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E97724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977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72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97724"/>
  </w:style>
  <w:style w:type="character" w:customStyle="1" w:styleId="EndNoteBibliographyChar">
    <w:name w:val="EndNote Bibliography Char"/>
    <w:basedOn w:val="DefaultParagraphFont"/>
    <w:link w:val="EndNoteBibliography"/>
    <w:rsid w:val="00E97724"/>
    <w:rPr>
      <w:rFonts w:ascii="Times New Roman" w:eastAsia="Times New Roman" w:hAnsi="Times New Roman" w:cs="Times New Roman"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97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3626</Characters>
  <Application>Microsoft Office Word</Application>
  <DocSecurity>0</DocSecurity>
  <Lines>69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DR.eram AL</dc:creator>
  <cp:keywords/>
  <dc:description/>
  <cp:lastModifiedBy>DR.eram AL</cp:lastModifiedBy>
  <cp:revision>1</cp:revision>
  <dcterms:created xsi:type="dcterms:W3CDTF">2026-05-26T22:53:00Z</dcterms:created>
  <dcterms:modified xsi:type="dcterms:W3CDTF">2026-05-26T23:43:00Z</dcterms:modified>
</cp:coreProperties>
</file>