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728B5" w14:textId="745B149F" w:rsidR="00ED57C2" w:rsidRPr="00034007" w:rsidRDefault="00ED57C2" w:rsidP="00EC2DC2">
      <w:pPr>
        <w:pStyle w:val="ab"/>
        <w:keepNext/>
        <w:rPr>
          <w:rFonts w:ascii="Times New Roman" w:hAnsi="Times New Roman" w:cs="Times New Roman"/>
          <w:b w:val="0"/>
          <w:bCs w:val="0"/>
        </w:rPr>
      </w:pPr>
      <w:r w:rsidRPr="00034007">
        <w:rPr>
          <w:rFonts w:ascii="Times New Roman" w:hAnsi="Times New Roman" w:cs="Times New Roman"/>
        </w:rPr>
        <w:t xml:space="preserve">Additional file </w:t>
      </w:r>
      <w:r w:rsidR="00887848" w:rsidRPr="00034007">
        <w:rPr>
          <w:rFonts w:ascii="Times New Roman" w:hAnsi="Times New Roman" w:cs="Times New Roman" w:hint="eastAsia"/>
        </w:rPr>
        <w:t>3</w:t>
      </w:r>
      <w:r w:rsidRPr="00034007">
        <w:rPr>
          <w:rFonts w:ascii="Times New Roman" w:hAnsi="Times New Roman" w:cs="Times New Roman"/>
        </w:rPr>
        <w:t xml:space="preserve">. </w:t>
      </w:r>
      <w:r w:rsidRPr="00034007">
        <w:rPr>
          <w:rFonts w:ascii="Times New Roman" w:hAnsi="Times New Roman" w:cs="Times New Roman"/>
          <w:b w:val="0"/>
          <w:bCs w:val="0"/>
        </w:rPr>
        <w:t>Robustness analysis using directly age-standardi</w:t>
      </w:r>
      <w:r w:rsidR="007154C3" w:rsidRPr="00034007">
        <w:rPr>
          <w:rFonts w:ascii="Times New Roman" w:hAnsi="Times New Roman" w:cs="Times New Roman" w:hint="eastAsia"/>
          <w:b w:val="0"/>
          <w:bCs w:val="0"/>
        </w:rPr>
        <w:t>s</w:t>
      </w:r>
      <w:r w:rsidRPr="00034007">
        <w:rPr>
          <w:rFonts w:ascii="Times New Roman" w:hAnsi="Times New Roman" w:cs="Times New Roman"/>
          <w:b w:val="0"/>
          <w:bCs w:val="0"/>
        </w:rPr>
        <w:t>ed rates: comparison of model-based and age-standardi</w:t>
      </w:r>
      <w:r w:rsidR="007154C3" w:rsidRPr="00034007">
        <w:rPr>
          <w:rFonts w:ascii="Times New Roman" w:hAnsi="Times New Roman" w:cs="Times New Roman" w:hint="eastAsia"/>
          <w:b w:val="0"/>
          <w:bCs w:val="0"/>
        </w:rPr>
        <w:t>s</w:t>
      </w:r>
      <w:r w:rsidRPr="00034007">
        <w:rPr>
          <w:rFonts w:ascii="Times New Roman" w:hAnsi="Times New Roman" w:cs="Times New Roman"/>
          <w:b w:val="0"/>
          <w:bCs w:val="0"/>
        </w:rPr>
        <w:t>ed inequality indices (2016–2024)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1"/>
        <w:gridCol w:w="1001"/>
        <w:gridCol w:w="1002"/>
        <w:gridCol w:w="1002"/>
        <w:gridCol w:w="1002"/>
        <w:gridCol w:w="1002"/>
        <w:gridCol w:w="1002"/>
        <w:gridCol w:w="1002"/>
        <w:gridCol w:w="1002"/>
      </w:tblGrid>
      <w:tr w:rsidR="00CD319E" w:rsidRPr="00034007" w14:paraId="0952FB1F" w14:textId="71765FA3" w:rsidTr="00CD319E">
        <w:tc>
          <w:tcPr>
            <w:tcW w:w="1001" w:type="dxa"/>
            <w:vMerge w:val="restart"/>
            <w:tcBorders>
              <w:top w:val="single" w:sz="4" w:space="0" w:color="auto"/>
            </w:tcBorders>
            <w:vAlign w:val="center"/>
          </w:tcPr>
          <w:p w14:paraId="111D9BBE" w14:textId="29132B33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Year</w:t>
            </w:r>
          </w:p>
        </w:tc>
        <w:tc>
          <w:tcPr>
            <w:tcW w:w="400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B6388" w14:textId="22B274AC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Model-based (age- and sex-adjusted)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3FF775" w14:textId="405A5C72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Directly age-</w:t>
            </w:r>
            <w:r w:rsidR="00023828"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standardi</w:t>
            </w:r>
            <w:r w:rsidR="00023828" w:rsidRPr="00034007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</w:t>
            </w:r>
            <w:r w:rsidR="00023828"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</w:t>
            </w:r>
          </w:p>
        </w:tc>
      </w:tr>
      <w:tr w:rsidR="00CD319E" w:rsidRPr="00034007" w14:paraId="1525551D" w14:textId="62053E76" w:rsidTr="00CD319E">
        <w:tc>
          <w:tcPr>
            <w:tcW w:w="1001" w:type="dxa"/>
            <w:vMerge/>
            <w:vAlign w:val="center"/>
          </w:tcPr>
          <w:p w14:paraId="4F787E4C" w14:textId="77777777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0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7AA754" w14:textId="3C216EF2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Education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E6718" w14:textId="3FD356F3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Income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3BD348" w14:textId="7D886861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Education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A117A" w14:textId="55F48A97" w:rsidR="00CD319E" w:rsidRPr="00034007" w:rsidRDefault="00CD319E" w:rsidP="00ED57C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Income</w:t>
            </w:r>
          </w:p>
        </w:tc>
      </w:tr>
      <w:tr w:rsidR="00CD319E" w:rsidRPr="00034007" w14:paraId="7E6A4580" w14:textId="14BD62A5" w:rsidTr="00CD319E">
        <w:tc>
          <w:tcPr>
            <w:tcW w:w="1001" w:type="dxa"/>
            <w:vMerge/>
            <w:tcBorders>
              <w:bottom w:val="single" w:sz="4" w:space="0" w:color="auto"/>
            </w:tcBorders>
          </w:tcPr>
          <w:p w14:paraId="543EF8D9" w14:textId="77777777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auto"/>
              <w:bottom w:val="single" w:sz="4" w:space="0" w:color="auto"/>
            </w:tcBorders>
          </w:tcPr>
          <w:p w14:paraId="0EDD8955" w14:textId="0159028F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SII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63EA35F4" w14:textId="15F57259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RII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2B24B4B3" w14:textId="53E3682A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SII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3A34EF73" w14:textId="1E295B4C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RII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1BD2E001" w14:textId="1BA6F907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SII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03E835F2" w14:textId="21B60433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RII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492D370F" w14:textId="788ACB87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SII</w:t>
            </w:r>
          </w:p>
        </w:tc>
        <w:tc>
          <w:tcPr>
            <w:tcW w:w="1002" w:type="dxa"/>
            <w:tcBorders>
              <w:top w:val="single" w:sz="4" w:space="0" w:color="auto"/>
              <w:bottom w:val="single" w:sz="4" w:space="0" w:color="auto"/>
            </w:tcBorders>
          </w:tcPr>
          <w:p w14:paraId="407E0804" w14:textId="64929E87" w:rsidR="00CD319E" w:rsidRPr="00034007" w:rsidRDefault="00CD319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RII</w:t>
            </w:r>
          </w:p>
        </w:tc>
      </w:tr>
      <w:tr w:rsidR="00ED57C2" w:rsidRPr="00034007" w14:paraId="67C67216" w14:textId="3E066482" w:rsidTr="00CD319E">
        <w:tc>
          <w:tcPr>
            <w:tcW w:w="1001" w:type="dxa"/>
            <w:tcBorders>
              <w:top w:val="single" w:sz="4" w:space="0" w:color="auto"/>
            </w:tcBorders>
            <w:vAlign w:val="center"/>
          </w:tcPr>
          <w:p w14:paraId="4DF92F5E" w14:textId="3A06F7C4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1001" w:type="dxa"/>
            <w:tcBorders>
              <w:top w:val="single" w:sz="4" w:space="0" w:color="auto"/>
            </w:tcBorders>
          </w:tcPr>
          <w:p w14:paraId="6B9B0A54" w14:textId="74E5DEB5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35E828E9" w14:textId="2B1D53E0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267637CE" w14:textId="103CA756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2047A66A" w14:textId="706FDA99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77C7FC68" w14:textId="0D165C4D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4E2B220F" w14:textId="08024026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0E3117DE" w14:textId="78BB5BCC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0.27</w:t>
            </w:r>
          </w:p>
        </w:tc>
        <w:tc>
          <w:tcPr>
            <w:tcW w:w="1002" w:type="dxa"/>
            <w:tcBorders>
              <w:top w:val="single" w:sz="4" w:space="0" w:color="auto"/>
            </w:tcBorders>
          </w:tcPr>
          <w:p w14:paraId="164AAE04" w14:textId="47EFBA7A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</w:tr>
      <w:tr w:rsidR="00ED57C2" w:rsidRPr="00034007" w14:paraId="280B5933" w14:textId="4A027A50" w:rsidTr="00CD319E">
        <w:tc>
          <w:tcPr>
            <w:tcW w:w="1001" w:type="dxa"/>
            <w:vAlign w:val="center"/>
          </w:tcPr>
          <w:p w14:paraId="4313B1A0" w14:textId="0BF5C12A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2017</w:t>
            </w:r>
          </w:p>
        </w:tc>
        <w:tc>
          <w:tcPr>
            <w:tcW w:w="1001" w:type="dxa"/>
          </w:tcPr>
          <w:p w14:paraId="659215B9" w14:textId="020E921A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002" w:type="dxa"/>
          </w:tcPr>
          <w:p w14:paraId="305848CD" w14:textId="24A94B33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1002" w:type="dxa"/>
          </w:tcPr>
          <w:p w14:paraId="45EDBE35" w14:textId="3525DA68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1002" w:type="dxa"/>
          </w:tcPr>
          <w:p w14:paraId="4CA6DA02" w14:textId="510771E7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1002" w:type="dxa"/>
          </w:tcPr>
          <w:p w14:paraId="38066800" w14:textId="39EE47AC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002" w:type="dxa"/>
          </w:tcPr>
          <w:p w14:paraId="68D0A9B4" w14:textId="18750F1D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1002" w:type="dxa"/>
          </w:tcPr>
          <w:p w14:paraId="57F5917D" w14:textId="2E3577BE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1002" w:type="dxa"/>
          </w:tcPr>
          <w:p w14:paraId="5C1B2501" w14:textId="49E6F9D2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</w:tr>
      <w:tr w:rsidR="00ED57C2" w:rsidRPr="00034007" w14:paraId="25B8E094" w14:textId="18677E51" w:rsidTr="00CD319E">
        <w:tc>
          <w:tcPr>
            <w:tcW w:w="1001" w:type="dxa"/>
            <w:vAlign w:val="center"/>
          </w:tcPr>
          <w:p w14:paraId="5669C833" w14:textId="48F4E691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001" w:type="dxa"/>
          </w:tcPr>
          <w:p w14:paraId="33324217" w14:textId="22BA65AB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002" w:type="dxa"/>
          </w:tcPr>
          <w:p w14:paraId="2A1E45F9" w14:textId="10C42E11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1.34</w:t>
            </w:r>
          </w:p>
        </w:tc>
        <w:tc>
          <w:tcPr>
            <w:tcW w:w="1002" w:type="dxa"/>
          </w:tcPr>
          <w:p w14:paraId="666F1E39" w14:textId="48AC03FD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02" w:type="dxa"/>
          </w:tcPr>
          <w:p w14:paraId="4FE75676" w14:textId="181C95AC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1.40</w:t>
            </w:r>
          </w:p>
        </w:tc>
        <w:tc>
          <w:tcPr>
            <w:tcW w:w="1002" w:type="dxa"/>
          </w:tcPr>
          <w:p w14:paraId="78ECB9F7" w14:textId="28D68CA6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002" w:type="dxa"/>
          </w:tcPr>
          <w:p w14:paraId="2CA7356A" w14:textId="2308FCEE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1002" w:type="dxa"/>
          </w:tcPr>
          <w:p w14:paraId="3038E68B" w14:textId="798E92F5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02" w:type="dxa"/>
          </w:tcPr>
          <w:p w14:paraId="5565B2EE" w14:textId="0EAA563C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</w:tr>
      <w:tr w:rsidR="00ED57C2" w:rsidRPr="00034007" w14:paraId="2E2B035B" w14:textId="398E3592" w:rsidTr="00CD319E">
        <w:tc>
          <w:tcPr>
            <w:tcW w:w="1001" w:type="dxa"/>
            <w:vAlign w:val="center"/>
          </w:tcPr>
          <w:p w14:paraId="10B0443C" w14:textId="6ADD7181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2019</w:t>
            </w:r>
          </w:p>
        </w:tc>
        <w:tc>
          <w:tcPr>
            <w:tcW w:w="1001" w:type="dxa"/>
          </w:tcPr>
          <w:p w14:paraId="55366100" w14:textId="71719B6F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002" w:type="dxa"/>
          </w:tcPr>
          <w:p w14:paraId="2234277A" w14:textId="0F7F3A7E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1002" w:type="dxa"/>
          </w:tcPr>
          <w:p w14:paraId="45DB2B11" w14:textId="2F134917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002" w:type="dxa"/>
          </w:tcPr>
          <w:p w14:paraId="04100A6A" w14:textId="37C33082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1002" w:type="dxa"/>
          </w:tcPr>
          <w:p w14:paraId="766C32CF" w14:textId="5DCD4F22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002" w:type="dxa"/>
          </w:tcPr>
          <w:p w14:paraId="2FE63925" w14:textId="5C7441F8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1002" w:type="dxa"/>
          </w:tcPr>
          <w:p w14:paraId="6E9ED82C" w14:textId="7CE3931A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002" w:type="dxa"/>
          </w:tcPr>
          <w:p w14:paraId="1FA9E51A" w14:textId="11775180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</w:tr>
      <w:tr w:rsidR="00ED57C2" w:rsidRPr="00034007" w14:paraId="0D04A7EA" w14:textId="53C6DFB9" w:rsidTr="00CD319E">
        <w:tc>
          <w:tcPr>
            <w:tcW w:w="1001" w:type="dxa"/>
            <w:vAlign w:val="center"/>
          </w:tcPr>
          <w:p w14:paraId="4FC15A01" w14:textId="16D68962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2020</w:t>
            </w:r>
          </w:p>
        </w:tc>
        <w:tc>
          <w:tcPr>
            <w:tcW w:w="1001" w:type="dxa"/>
          </w:tcPr>
          <w:p w14:paraId="47A6AE9B" w14:textId="5D049C63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002" w:type="dxa"/>
          </w:tcPr>
          <w:p w14:paraId="60854CC5" w14:textId="2F650511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1002" w:type="dxa"/>
          </w:tcPr>
          <w:p w14:paraId="74DF00F2" w14:textId="0047790C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002" w:type="dxa"/>
          </w:tcPr>
          <w:p w14:paraId="2A344CE2" w14:textId="359428B2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1002" w:type="dxa"/>
          </w:tcPr>
          <w:p w14:paraId="33765571" w14:textId="241EF8C9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002" w:type="dxa"/>
          </w:tcPr>
          <w:p w14:paraId="5DB893A2" w14:textId="49DE308E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1002" w:type="dxa"/>
          </w:tcPr>
          <w:p w14:paraId="21C0F576" w14:textId="681D6FF7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002" w:type="dxa"/>
          </w:tcPr>
          <w:p w14:paraId="0F81AEC7" w14:textId="3CFD2789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</w:tr>
      <w:tr w:rsidR="00ED57C2" w:rsidRPr="00034007" w14:paraId="19FF9291" w14:textId="7D1AB15A" w:rsidTr="00CD319E">
        <w:tc>
          <w:tcPr>
            <w:tcW w:w="1001" w:type="dxa"/>
            <w:vAlign w:val="center"/>
          </w:tcPr>
          <w:p w14:paraId="77F46FCE" w14:textId="6C1ACAEB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2021</w:t>
            </w:r>
          </w:p>
        </w:tc>
        <w:tc>
          <w:tcPr>
            <w:tcW w:w="1001" w:type="dxa"/>
          </w:tcPr>
          <w:p w14:paraId="77722286" w14:textId="66DCFE04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  <w:tc>
          <w:tcPr>
            <w:tcW w:w="1002" w:type="dxa"/>
          </w:tcPr>
          <w:p w14:paraId="70A37613" w14:textId="08883EE0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1002" w:type="dxa"/>
          </w:tcPr>
          <w:p w14:paraId="49F5996F" w14:textId="63E9EE67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0.23</w:t>
            </w:r>
          </w:p>
        </w:tc>
        <w:tc>
          <w:tcPr>
            <w:tcW w:w="1002" w:type="dxa"/>
          </w:tcPr>
          <w:p w14:paraId="6E0C0BC4" w14:textId="1F783406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1002" w:type="dxa"/>
          </w:tcPr>
          <w:p w14:paraId="5F2C533D" w14:textId="0EB04C11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002" w:type="dxa"/>
          </w:tcPr>
          <w:p w14:paraId="428240DF" w14:textId="70720BB9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1002" w:type="dxa"/>
          </w:tcPr>
          <w:p w14:paraId="39168CDF" w14:textId="3BE2C84C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1002" w:type="dxa"/>
          </w:tcPr>
          <w:p w14:paraId="0412B838" w14:textId="0DA6E862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</w:tr>
      <w:tr w:rsidR="00ED57C2" w:rsidRPr="00034007" w14:paraId="7590477B" w14:textId="5D31ECD2" w:rsidTr="00CD319E">
        <w:tc>
          <w:tcPr>
            <w:tcW w:w="1001" w:type="dxa"/>
            <w:vAlign w:val="center"/>
          </w:tcPr>
          <w:p w14:paraId="60078687" w14:textId="004EBE2E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2022</w:t>
            </w:r>
          </w:p>
        </w:tc>
        <w:tc>
          <w:tcPr>
            <w:tcW w:w="1001" w:type="dxa"/>
          </w:tcPr>
          <w:p w14:paraId="1BC0CE20" w14:textId="0260692A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1002" w:type="dxa"/>
          </w:tcPr>
          <w:p w14:paraId="4EB05660" w14:textId="1708ABBE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1002" w:type="dxa"/>
          </w:tcPr>
          <w:p w14:paraId="5DEE75EB" w14:textId="18FFA2AD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0.16</w:t>
            </w:r>
          </w:p>
        </w:tc>
        <w:tc>
          <w:tcPr>
            <w:tcW w:w="1002" w:type="dxa"/>
          </w:tcPr>
          <w:p w14:paraId="202E986E" w14:textId="401F5FFD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1002" w:type="dxa"/>
          </w:tcPr>
          <w:p w14:paraId="369A888E" w14:textId="71B2DF23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  <w:tc>
          <w:tcPr>
            <w:tcW w:w="1002" w:type="dxa"/>
          </w:tcPr>
          <w:p w14:paraId="61758C32" w14:textId="20882BEE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1002" w:type="dxa"/>
          </w:tcPr>
          <w:p w14:paraId="465D85C6" w14:textId="1888D13F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002" w:type="dxa"/>
          </w:tcPr>
          <w:p w14:paraId="5F572222" w14:textId="23DD0267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</w:tr>
      <w:tr w:rsidR="00ED57C2" w:rsidRPr="00034007" w14:paraId="025A3A6C" w14:textId="2CC55722" w:rsidTr="00CD319E">
        <w:tc>
          <w:tcPr>
            <w:tcW w:w="1001" w:type="dxa"/>
            <w:vAlign w:val="center"/>
          </w:tcPr>
          <w:p w14:paraId="7EB9E388" w14:textId="25BFC1D2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001" w:type="dxa"/>
          </w:tcPr>
          <w:p w14:paraId="3C5ADC81" w14:textId="1D01A22B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  <w:tc>
          <w:tcPr>
            <w:tcW w:w="1002" w:type="dxa"/>
          </w:tcPr>
          <w:p w14:paraId="04CA23B3" w14:textId="235A016B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1002" w:type="dxa"/>
          </w:tcPr>
          <w:p w14:paraId="59C82D8B" w14:textId="53B7C298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  <w:tc>
          <w:tcPr>
            <w:tcW w:w="1002" w:type="dxa"/>
          </w:tcPr>
          <w:p w14:paraId="6F880B14" w14:textId="3DFB1FB5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1002" w:type="dxa"/>
          </w:tcPr>
          <w:p w14:paraId="511DF972" w14:textId="19B94E83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</w:tc>
        <w:tc>
          <w:tcPr>
            <w:tcW w:w="1002" w:type="dxa"/>
          </w:tcPr>
          <w:p w14:paraId="05F77BEF" w14:textId="3613DDC8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1002" w:type="dxa"/>
          </w:tcPr>
          <w:p w14:paraId="4F385264" w14:textId="6DD2DE24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1002" w:type="dxa"/>
          </w:tcPr>
          <w:p w14:paraId="29AC7298" w14:textId="1F277805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</w:tr>
      <w:tr w:rsidR="00ED57C2" w:rsidRPr="00034007" w14:paraId="4CD0E7C5" w14:textId="77777777" w:rsidTr="00CD319E">
        <w:tc>
          <w:tcPr>
            <w:tcW w:w="1001" w:type="dxa"/>
            <w:tcBorders>
              <w:bottom w:val="single" w:sz="4" w:space="0" w:color="auto"/>
            </w:tcBorders>
            <w:vAlign w:val="center"/>
          </w:tcPr>
          <w:p w14:paraId="72F19BB4" w14:textId="54C562B1" w:rsidR="00ED57C2" w:rsidRPr="00034007" w:rsidRDefault="00ED57C2" w:rsidP="00ED57C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2024</w:t>
            </w:r>
          </w:p>
        </w:tc>
        <w:tc>
          <w:tcPr>
            <w:tcW w:w="1001" w:type="dxa"/>
            <w:tcBorders>
              <w:bottom w:val="single" w:sz="4" w:space="0" w:color="auto"/>
            </w:tcBorders>
          </w:tcPr>
          <w:p w14:paraId="39EF4945" w14:textId="1E219693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2BDA9FBA" w14:textId="289972C3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7D2E7D3B" w14:textId="44CE03D5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0.21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7B873864" w14:textId="39256C75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0D8B4D31" w14:textId="3D6420B9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341D03D4" w14:textId="78D05391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5828AA3D" w14:textId="2D2520CD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14:paraId="2B17D847" w14:textId="76E3A8CC" w:rsidR="00ED57C2" w:rsidRPr="00034007" w:rsidRDefault="00ED57C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34007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</w:tr>
    </w:tbl>
    <w:p w14:paraId="202B5AAB" w14:textId="1FF18FF0" w:rsidR="00094931" w:rsidRPr="00034007" w:rsidRDefault="00ED57C2">
      <w:pPr>
        <w:rPr>
          <w:rFonts w:ascii="Times New Roman" w:hAnsi="Times New Roman" w:cs="Times New Roman"/>
          <w:sz w:val="18"/>
          <w:szCs w:val="20"/>
        </w:rPr>
      </w:pPr>
      <w:r w:rsidRPr="00034007">
        <w:rPr>
          <w:rFonts w:ascii="Times New Roman" w:hAnsi="Times New Roman" w:cs="Times New Roman"/>
          <w:sz w:val="18"/>
          <w:szCs w:val="20"/>
        </w:rPr>
        <w:t>Notes: SII, slope index of inequality; RII, relative index of inequality.</w:t>
      </w:r>
      <w:r w:rsidRPr="00034007">
        <w:rPr>
          <w:rFonts w:ascii="Times New Roman" w:hAnsi="Times New Roman" w:cs="Times New Roman"/>
          <w:sz w:val="18"/>
          <w:szCs w:val="20"/>
        </w:rPr>
        <w:br/>
        <w:t>Model-based estimates are the age- and sex- adjusted indices reported in the main analysis (Figure 3); the RII is a prevalence ratio from modified Poisson regression</w:t>
      </w:r>
      <w:r w:rsidR="00C76C7C" w:rsidRPr="00034007">
        <w:rPr>
          <w:rFonts w:ascii="Times New Roman" w:hAnsi="Times New Roman" w:cs="Times New Roman" w:hint="eastAsia"/>
          <w:sz w:val="18"/>
          <w:szCs w:val="20"/>
        </w:rPr>
        <w:t>.</w:t>
      </w:r>
      <w:r w:rsidRPr="00034007">
        <w:rPr>
          <w:rFonts w:ascii="Times New Roman" w:hAnsi="Times New Roman" w:cs="Times New Roman"/>
          <w:sz w:val="18"/>
          <w:szCs w:val="20"/>
        </w:rPr>
        <w:t xml:space="preserve"> Age-standardi</w:t>
      </w:r>
      <w:r w:rsidR="007154C3" w:rsidRPr="00034007">
        <w:rPr>
          <w:rFonts w:ascii="Times New Roman" w:hAnsi="Times New Roman" w:cs="Times New Roman" w:hint="eastAsia"/>
          <w:sz w:val="18"/>
          <w:szCs w:val="20"/>
        </w:rPr>
        <w:t>s</w:t>
      </w:r>
      <w:r w:rsidRPr="00034007">
        <w:rPr>
          <w:rFonts w:ascii="Times New Roman" w:hAnsi="Times New Roman" w:cs="Times New Roman"/>
          <w:sz w:val="18"/>
          <w:szCs w:val="20"/>
        </w:rPr>
        <w:t>ed estimates were derived from directly standardi</w:t>
      </w:r>
      <w:r w:rsidR="007154C3" w:rsidRPr="00034007">
        <w:rPr>
          <w:rFonts w:ascii="Times New Roman" w:hAnsi="Times New Roman" w:cs="Times New Roman" w:hint="eastAsia"/>
          <w:sz w:val="18"/>
          <w:szCs w:val="20"/>
        </w:rPr>
        <w:t>s</w:t>
      </w:r>
      <w:r w:rsidRPr="00034007">
        <w:rPr>
          <w:rFonts w:ascii="Times New Roman" w:hAnsi="Times New Roman" w:cs="Times New Roman"/>
          <w:sz w:val="18"/>
          <w:szCs w:val="20"/>
        </w:rPr>
        <w:t>ed rates using the pooled 2016–2024 age distribution as the fixed reference.</w:t>
      </w:r>
      <w:r w:rsidR="00094931" w:rsidRPr="00034007">
        <w:rPr>
          <w:rFonts w:ascii="Times New Roman" w:hAnsi="Times New Roman" w:cs="Times New Roman"/>
          <w:sz w:val="18"/>
          <w:szCs w:val="20"/>
        </w:rPr>
        <w:br/>
      </w:r>
      <w:r w:rsidR="00E60AEB" w:rsidRPr="00034007">
        <w:rPr>
          <w:rFonts w:ascii="Times New Roman" w:hAnsi="Times New Roman" w:cs="Times New Roman"/>
          <w:sz w:val="18"/>
          <w:szCs w:val="20"/>
        </w:rPr>
        <w:t>For direct age-standardisation, education was collapsed into three categories to ensure stable estimation across age strata. Therefore, education-based estimates from this sensitivity analysis are not directly identical to the main f</w:t>
      </w:r>
      <w:r w:rsidR="00FB7864" w:rsidRPr="00034007">
        <w:rPr>
          <w:rFonts w:ascii="Times New Roman" w:hAnsi="Times New Roman" w:cs="Times New Roman" w:hint="eastAsia"/>
          <w:sz w:val="18"/>
          <w:szCs w:val="20"/>
        </w:rPr>
        <w:t>our</w:t>
      </w:r>
      <w:r w:rsidR="00E60AEB" w:rsidRPr="00034007">
        <w:rPr>
          <w:rFonts w:ascii="Times New Roman" w:hAnsi="Times New Roman" w:cs="Times New Roman"/>
          <w:sz w:val="18"/>
          <w:szCs w:val="20"/>
        </w:rPr>
        <w:t>-</w:t>
      </w:r>
      <w:r w:rsidR="00FB7864" w:rsidRPr="00034007">
        <w:rPr>
          <w:rFonts w:ascii="Times New Roman" w:hAnsi="Times New Roman" w:cs="Times New Roman" w:hint="eastAsia"/>
          <w:sz w:val="18"/>
          <w:szCs w:val="20"/>
        </w:rPr>
        <w:t>category</w:t>
      </w:r>
      <w:r w:rsidR="00E60AEB" w:rsidRPr="00034007">
        <w:rPr>
          <w:rFonts w:ascii="Times New Roman" w:hAnsi="Times New Roman" w:cs="Times New Roman"/>
          <w:sz w:val="18"/>
          <w:szCs w:val="20"/>
        </w:rPr>
        <w:t xml:space="preserve"> education-based SII/RII estimates.</w:t>
      </w:r>
    </w:p>
    <w:sectPr w:rsidR="00094931" w:rsidRPr="0003400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1C3FA" w14:textId="77777777" w:rsidR="008B2EB0" w:rsidRDefault="008B2EB0" w:rsidP="00EC2DC2">
      <w:pPr>
        <w:spacing w:after="0"/>
      </w:pPr>
      <w:r>
        <w:separator/>
      </w:r>
    </w:p>
  </w:endnote>
  <w:endnote w:type="continuationSeparator" w:id="0">
    <w:p w14:paraId="4C0A7DE4" w14:textId="77777777" w:rsidR="008B2EB0" w:rsidRDefault="008B2EB0" w:rsidP="00EC2D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B7F7" w14:textId="77777777" w:rsidR="008B2EB0" w:rsidRDefault="008B2EB0" w:rsidP="00EC2DC2">
      <w:pPr>
        <w:spacing w:after="0"/>
      </w:pPr>
      <w:r>
        <w:separator/>
      </w:r>
    </w:p>
  </w:footnote>
  <w:footnote w:type="continuationSeparator" w:id="0">
    <w:p w14:paraId="58E200B2" w14:textId="77777777" w:rsidR="008B2EB0" w:rsidRDefault="008B2EB0" w:rsidP="00EC2DC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7C2"/>
    <w:rsid w:val="00023828"/>
    <w:rsid w:val="00030826"/>
    <w:rsid w:val="00034007"/>
    <w:rsid w:val="00044B97"/>
    <w:rsid w:val="00092B85"/>
    <w:rsid w:val="00094931"/>
    <w:rsid w:val="0015374E"/>
    <w:rsid w:val="001E2EA8"/>
    <w:rsid w:val="00212731"/>
    <w:rsid w:val="0021727C"/>
    <w:rsid w:val="00303492"/>
    <w:rsid w:val="003D0CA5"/>
    <w:rsid w:val="003D0D15"/>
    <w:rsid w:val="003F1313"/>
    <w:rsid w:val="003F4B8F"/>
    <w:rsid w:val="00412FFB"/>
    <w:rsid w:val="00514365"/>
    <w:rsid w:val="005A512B"/>
    <w:rsid w:val="0065361D"/>
    <w:rsid w:val="00670749"/>
    <w:rsid w:val="006D2DB1"/>
    <w:rsid w:val="006F7F4B"/>
    <w:rsid w:val="007154C3"/>
    <w:rsid w:val="007371D4"/>
    <w:rsid w:val="00747470"/>
    <w:rsid w:val="00887848"/>
    <w:rsid w:val="00897755"/>
    <w:rsid w:val="008B2EB0"/>
    <w:rsid w:val="00924869"/>
    <w:rsid w:val="00981EC5"/>
    <w:rsid w:val="0099154B"/>
    <w:rsid w:val="00A13FD2"/>
    <w:rsid w:val="00A86C3B"/>
    <w:rsid w:val="00AC1C00"/>
    <w:rsid w:val="00B1265F"/>
    <w:rsid w:val="00C4782C"/>
    <w:rsid w:val="00C76C7C"/>
    <w:rsid w:val="00CD319E"/>
    <w:rsid w:val="00D14C1F"/>
    <w:rsid w:val="00DC031F"/>
    <w:rsid w:val="00DF0F25"/>
    <w:rsid w:val="00E132FC"/>
    <w:rsid w:val="00E60AEB"/>
    <w:rsid w:val="00EC2DC2"/>
    <w:rsid w:val="00ED2881"/>
    <w:rsid w:val="00ED57C2"/>
    <w:rsid w:val="00EE6730"/>
    <w:rsid w:val="00F05F54"/>
    <w:rsid w:val="00F765E2"/>
    <w:rsid w:val="00FB7864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F85FF1"/>
  <w15:chartTrackingRefBased/>
  <w15:docId w15:val="{AA62BDF2-B843-4A99-BD50-1AAC10BC2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D57C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D5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D57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57C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57C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57C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57C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57C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57C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D57C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D57C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D57C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D57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D57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D57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D57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D57C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D57C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D57C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D5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D57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D57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D5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D57C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D57C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D57C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D5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D57C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ED57C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ED57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ED57C2"/>
    <w:rPr>
      <w:b/>
      <w:bCs/>
      <w:sz w:val="20"/>
      <w:szCs w:val="20"/>
    </w:rPr>
  </w:style>
  <w:style w:type="paragraph" w:styleId="ac">
    <w:name w:val="header"/>
    <w:basedOn w:val="a"/>
    <w:link w:val="Char3"/>
    <w:uiPriority w:val="99"/>
    <w:unhideWhenUsed/>
    <w:rsid w:val="00EC2DC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EC2DC2"/>
  </w:style>
  <w:style w:type="paragraph" w:styleId="ad">
    <w:name w:val="footer"/>
    <w:basedOn w:val="a"/>
    <w:link w:val="Char4"/>
    <w:uiPriority w:val="99"/>
    <w:unhideWhenUsed/>
    <w:rsid w:val="00EC2DC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EC2DC2"/>
  </w:style>
  <w:style w:type="character" w:styleId="ae">
    <w:name w:val="annotation reference"/>
    <w:basedOn w:val="a0"/>
    <w:uiPriority w:val="99"/>
    <w:semiHidden/>
    <w:unhideWhenUsed/>
    <w:rsid w:val="00092B85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092B85"/>
  </w:style>
  <w:style w:type="character" w:customStyle="1" w:styleId="Char5">
    <w:name w:val="메모 텍스트 Char"/>
    <w:basedOn w:val="a0"/>
    <w:link w:val="af"/>
    <w:uiPriority w:val="99"/>
    <w:rsid w:val="00092B85"/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092B85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092B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원태균</dc:creator>
  <cp:keywords/>
  <dc:description/>
  <cp:lastModifiedBy>원태균</cp:lastModifiedBy>
  <cp:revision>9</cp:revision>
  <dcterms:created xsi:type="dcterms:W3CDTF">2026-06-30T15:53:00Z</dcterms:created>
  <dcterms:modified xsi:type="dcterms:W3CDTF">2026-07-03T06:02:00Z</dcterms:modified>
</cp:coreProperties>
</file>