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D9AE1">
      <w:pPr>
        <w:spacing w:after="240"/>
        <w:jc w:val="center"/>
      </w:pPr>
      <w:bookmarkStart w:id="0" w:name="_GoBack"/>
      <w:bookmarkEnd w:id="0"/>
      <w:r>
        <w:rPr>
          <w:rFonts w:ascii="Times New Roman" w:hAnsi="Times New Roman" w:eastAsia="Times New Roman"/>
          <w:b/>
          <w:sz w:val="30"/>
        </w:rPr>
        <w:t>Supplementary Appendix</w:t>
      </w:r>
    </w:p>
    <w:p w14:paraId="0AFE8EE4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Tables and Figures Included</w:t>
      </w:r>
    </w:p>
    <w:p w14:paraId="728391C0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S1. Missingness detail for the main analysis variables</w:t>
      </w:r>
    </w:p>
    <w:p w14:paraId="17C8F451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This table reports overall and wave-specific missingness. The high apparent missingness for high_oop_ratio50 reflects that this ratio-based variable is defined among medical spenders with non-missing total and out-of-pocket medical expenditure.</w:t>
      </w:r>
    </w:p>
    <w:p w14:paraId="5FA47B3D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S2. Additional sensitivity analyses</w:t>
      </w:r>
    </w:p>
    <w:p w14:paraId="16D728FE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Included models:</w:t>
      </w:r>
    </w:p>
    <w:p w14:paraId="08193E3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High OOP ratio thresholds of 40% and 60%</w:t>
      </w:r>
    </w:p>
    <w:p w14:paraId="27DE9A5E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Continuous OOP ratio among medical spenders</w:t>
      </w:r>
    </w:p>
    <w:p w14:paraId="58E1F3AE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Log out-of-pocket expenditure among spenders only</w:t>
      </w:r>
    </w:p>
    <w:p w14:paraId="019CD2A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Province fixed-effect log OOP model</w:t>
      </w:r>
    </w:p>
    <w:p w14:paraId="1A8CA84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Province fixed-effect high OOP ratio model</w:t>
      </w:r>
    </w:p>
    <w:p w14:paraId="1AB93E97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S3. Respondent-level clustered standard-error sensitivity analyses</w:t>
      </w:r>
    </w:p>
    <w:p w14:paraId="54F57AD1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Included models:</w:t>
      </w:r>
    </w:p>
    <w:p w14:paraId="48529356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Main log(OOP+1) model with standard errors clustered at respondent ID</w:t>
      </w:r>
    </w:p>
    <w:p w14:paraId="626F652F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Main high OOP ratio &gt;=50% model with standard errors clustered at respondent ID</w:t>
      </w:r>
    </w:p>
    <w:p w14:paraId="56CCB403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S4. Income-rank sensitivity analyses for high OOP ratio &gt;=50%</w:t>
      </w:r>
    </w:p>
    <w:p w14:paraId="78388F33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Included models:</w:t>
      </w:r>
    </w:p>
    <w:p w14:paraId="549774C6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Scheme by low-income-rank interaction model among medical spenders</w:t>
      </w:r>
    </w:p>
    <w:p w14:paraId="53586007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Income-rank stratified models for ranks 1-2 and ranks 3-5</w:t>
      </w:r>
    </w:p>
    <w:p w14:paraId="18A8B25B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S5. Year-stratified models</w:t>
      </w:r>
    </w:p>
    <w:p w14:paraId="3F53929E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Included models:</w:t>
      </w:r>
    </w:p>
    <w:p w14:paraId="4500C16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Year-specific log(OOP+1) models</w:t>
      </w:r>
    </w:p>
    <w:p w14:paraId="31258D0C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Year-specific high OOP ratio &gt;=50% models among medical spenders</w:t>
      </w:r>
    </w:p>
    <w:p w14:paraId="46211494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S6. Year-by-scheme descriptive outcome table</w:t>
      </w:r>
    </w:p>
    <w:p w14:paraId="5EDA33B0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Contents:</w:t>
      </w:r>
    </w:p>
    <w:p w14:paraId="3F444540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Weighted scheme share by year</w:t>
      </w:r>
    </w:p>
    <w:p w14:paraId="3854FBB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Poor-health prevalence by year and scheme</w:t>
      </w:r>
    </w:p>
    <w:p w14:paraId="6B70EC79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Mean log OOP and mean OOP</w:t>
      </w:r>
    </w:p>
    <w:p w14:paraId="63C76CB7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Mean OOP ratio among spenders</w:t>
      </w:r>
    </w:p>
    <w:p w14:paraId="5FC93DC3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High OOP burden prevalence at 40%, 50%, and 60% thresholds</w:t>
      </w:r>
    </w:p>
    <w:p w14:paraId="7BD1C4A5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Table S7. Full subgroup results for log out-of-pocket expenditure</w:t>
      </w:r>
    </w:p>
    <w:p w14:paraId="0E7702F4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Subgroups:</w:t>
      </w:r>
    </w:p>
    <w:p w14:paraId="4A00BB42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Sex</w:t>
      </w:r>
    </w:p>
    <w:p w14:paraId="1808C5EE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Urban-rural residence</w:t>
      </w:r>
    </w:p>
    <w:p w14:paraId="07B4DAA6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Age group</w:t>
      </w:r>
    </w:p>
    <w:p w14:paraId="03C98481">
      <w:pPr>
        <w:spacing w:after="120" w:line="276" w:lineRule="auto"/>
      </w:pPr>
      <w:r>
        <w:rPr>
          <w:rFonts w:ascii="Times New Roman" w:hAnsi="Times New Roman" w:eastAsia="Times New Roman"/>
          <w:sz w:val="24"/>
        </w:rPr>
        <w:t>- Chronic disease status</w:t>
      </w:r>
    </w:p>
    <w:p w14:paraId="7BFB33B2">
      <w:pPr>
        <w:spacing w:after="120" w:line="276" w:lineRule="auto"/>
      </w:pPr>
      <w:r>
        <w:rPr>
          <w:rFonts w:ascii="Times New Roman" w:hAnsi="Times New Roman" w:eastAsia="Times New Roman"/>
          <w:b/>
          <w:sz w:val="24"/>
        </w:rPr>
        <w:t>Supplementary Figure S1. Main adjusted effects figure</w:t>
      </w:r>
    </w:p>
    <w:p w14:paraId="342FB62D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S1. Missingness Detail for Main Analysis Variables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4"/>
        <w:gridCol w:w="2304"/>
        <w:gridCol w:w="2304"/>
        <w:gridCol w:w="2304"/>
        <w:gridCol w:w="2304"/>
      </w:tblGrid>
      <w:tr w14:paraId="4ED3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0DC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variable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6C8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overall_missing_pct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DAEB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missing_2016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8D9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missing_2018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227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missing_2020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D2B1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missing_2022</w:t>
            </w:r>
          </w:p>
        </w:tc>
      </w:tr>
      <w:tr w14:paraId="26B8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AAE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scheme_analysis4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A68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10.78%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8FA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C34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13.65%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DADE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15.83%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903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16.71%</w:t>
            </w:r>
          </w:p>
        </w:tc>
      </w:tr>
      <w:tr w14:paraId="5019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574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log_oop_medical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A17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41.76%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CF0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29.29%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BB50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40.14%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82E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51.84%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005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51.78%</w:t>
            </w:r>
          </w:p>
        </w:tc>
      </w:tr>
      <w:tr w14:paraId="4C024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5166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high_oop_ratio50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4D7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91.40%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FF1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90.71%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E6C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90.18%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EEAB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92.84%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177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92.58%</w:t>
            </w:r>
          </w:p>
        </w:tc>
      </w:tr>
      <w:tr w14:paraId="30DB7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F0132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poor_health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630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1.09%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89B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1DEE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1.14%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5AF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1.52%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698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2.14%</w:t>
            </w:r>
          </w:p>
        </w:tc>
      </w:tr>
      <w:tr w14:paraId="32CE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FC69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020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A14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433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BD9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73F8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</w:tr>
      <w:tr w14:paraId="0E96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8207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sex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70D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AE9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22F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B0D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4DB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0.00%</w:t>
            </w:r>
          </w:p>
        </w:tc>
      </w:tr>
      <w:tr w14:paraId="77EA1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7B42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education_years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52D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15.47%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DA2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19.22%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293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13.33%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CBE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9.18%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380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19.59%</w:t>
            </w:r>
          </w:p>
        </w:tc>
      </w:tr>
      <w:tr w14:paraId="3167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1C9B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income_rank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67F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17.46%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05F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15.63%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3AA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17.20%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C61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18.35%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878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19.61%</w:t>
            </w:r>
          </w:p>
        </w:tc>
      </w:tr>
      <w:tr w14:paraId="5758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5C22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employment_active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3414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12.55%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683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13.82%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5A19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10.00%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1EA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12.52%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860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14.28%</w:t>
            </w:r>
          </w:p>
        </w:tc>
      </w:tr>
      <w:tr w14:paraId="20DE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E9708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urban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381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4.06%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4F3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0.80%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DC5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6.07%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C21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8.57%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2870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1.28%</w:t>
            </w:r>
          </w:p>
        </w:tc>
      </w:tr>
      <w:tr w14:paraId="127A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E600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chronic_disease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C60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12.90%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64B2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9.85%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D7CE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13.12%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3226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14.48%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6FE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15.43%</w:t>
            </w:r>
          </w:p>
        </w:tc>
      </w:tr>
      <w:tr w14:paraId="70F7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584F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province_code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988D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E269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47E7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1A8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A90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0.06%</w:t>
            </w:r>
          </w:p>
        </w:tc>
      </w:tr>
    </w:tbl>
    <w:p w14:paraId="5A159F8B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Percent missing is shown overall and separately by survey year.</w:t>
      </w:r>
    </w:p>
    <w:p w14:paraId="12748723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S2. Additional Sensitivity Analyses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2764"/>
        <w:gridCol w:w="2764"/>
        <w:gridCol w:w="2764"/>
        <w:gridCol w:w="2768"/>
      </w:tblGrid>
      <w:tr w14:paraId="1D74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D4D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206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Comparison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E9FE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EA9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95% CI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B2F7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 value</w:t>
            </w:r>
          </w:p>
        </w:tc>
      </w:tr>
      <w:tr w14:paraId="19DC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1640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&gt;=40%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DD4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080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0.124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47E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0.049 to 0.200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E35D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0.001</w:t>
            </w:r>
          </w:p>
        </w:tc>
      </w:tr>
      <w:tr w14:paraId="6CC93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A69E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&gt;=40%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8E2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847A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-0.005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3D8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-0.099 to 0.089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57A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0.915</w:t>
            </w:r>
          </w:p>
        </w:tc>
      </w:tr>
      <w:tr w14:paraId="3911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428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&gt;=40%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6C6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D75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0.155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BFA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0.112 to 0.198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8B04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6AC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E936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&gt;=60%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668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7BE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0.243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1F0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0.164 to 0.322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C82A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FFB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8149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&gt;=60%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5D0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D72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-0.020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DCC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-0.108 to 0.069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36AE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0.660</w:t>
            </w:r>
          </w:p>
        </w:tc>
      </w:tr>
      <w:tr w14:paraId="3FBC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2E9D3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high OOP &gt;=60%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FDC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C97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0.143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466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0.096 to 0.190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503C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0A13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4036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continuous OOP ratio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6F2A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7C7F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0.180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709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0.107 to 0.253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F6AD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1756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B8CA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continuous OOP ratio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D39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46D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-0.029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897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-0.098 to 0.039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8B3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0.405</w:t>
            </w:r>
          </w:p>
        </w:tc>
      </w:tr>
      <w:tr w14:paraId="358D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D8AC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continuous OOP ratio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214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2D1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0.102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AD6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0.065 to 0.138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B87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3DE6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A77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log OOP among spenders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78C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3533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-0.041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183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-0.555 to 0.473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97D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0.875</w:t>
            </w:r>
          </w:p>
        </w:tc>
      </w:tr>
      <w:tr w14:paraId="2B0E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6C8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log OOP among spenders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BB10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B5A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-0.203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D06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-0.569 to 0.162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D523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0.276</w:t>
            </w:r>
          </w:p>
        </w:tc>
      </w:tr>
      <w:tr w14:paraId="0D4FB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CE4E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log OOP among spenders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9176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0E1C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1A9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-0.155 to 0.172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4DB4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0.922</w:t>
            </w:r>
          </w:p>
        </w:tc>
      </w:tr>
      <w:tr w14:paraId="19CE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CAD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log OOP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052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A2F8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0.337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3690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0.202 to 0.472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77C9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0350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5585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log OOP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2FB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2343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448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-0.104 to 0.239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F41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0.439</w:t>
            </w:r>
          </w:p>
        </w:tc>
      </w:tr>
      <w:tr w14:paraId="59C5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81F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log OOP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63D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50D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0.306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4CC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0.218 to 0.394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B2B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6539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754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high OOP &gt;=50%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394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682D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0.178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856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0.100 to 0.256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357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0EB0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FA2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high OOP &gt;=50%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D32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B98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0.017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7B50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-0.079 to 0.113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6A9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0.725</w:t>
            </w:r>
          </w:p>
        </w:tc>
      </w:tr>
      <w:tr w14:paraId="0CC5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5C94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Weighted province FE high OOP &gt;=50%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E17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6D3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0.168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C2B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0.122 to 0.214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5A58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</w:tbl>
    <w:p w14:paraId="69CB6944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All models use employee/public insurance as the reference group.</w:t>
      </w:r>
    </w:p>
    <w:p w14:paraId="2AF539ED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S3. Respondent-level Clustered Standard-error Sensitivity Analyses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2764"/>
        <w:gridCol w:w="2764"/>
        <w:gridCol w:w="2764"/>
        <w:gridCol w:w="2768"/>
      </w:tblGrid>
      <w:tr w14:paraId="2B72D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3A8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9FB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Comparison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284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571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95% CI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2ECB6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 value</w:t>
            </w:r>
          </w:p>
        </w:tc>
      </w:tr>
      <w:tr w14:paraId="2108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AACF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Log OOP,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4D1E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5EA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0.313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DE6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0.171 to 0.455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73E6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0612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6373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Log OOP,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930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5EE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C57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-0.130 to 0.221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631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0.614</w:t>
            </w:r>
          </w:p>
        </w:tc>
      </w:tr>
      <w:tr w14:paraId="2F6E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0E74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Log OOP,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B39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1ACE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0.275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035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0.181 to 0.369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418A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F86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EBD9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High OOP &gt;=50%,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52A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8F8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0.177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626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0.095 to 0.258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C9B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45EA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360B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High OOP &gt;=50%,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A2B6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C049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9E7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-0.089 to 0.106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00BB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0.866</w:t>
            </w:r>
          </w:p>
        </w:tc>
      </w:tr>
      <w:tr w14:paraId="060A0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18883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High OOP &gt;=50%, respondent-clustered SE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8C3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91B5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0.174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A44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0.126 to 0.221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FFE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</w:tbl>
    <w:p w14:paraId="51594251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All models use employee/public insurance as the reference group. Standard errors are clustered at respondent ID.</w:t>
      </w:r>
    </w:p>
    <w:p w14:paraId="11ACD710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S4. Income-rank Sensitivity Analyses for High OOP Ratio &gt;=50%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2764"/>
        <w:gridCol w:w="2764"/>
        <w:gridCol w:w="2764"/>
        <w:gridCol w:w="2768"/>
      </w:tblGrid>
      <w:tr w14:paraId="3163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D04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3628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Comparison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7CD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ED4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95% CI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CEB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 value</w:t>
            </w:r>
          </w:p>
        </w:tc>
      </w:tr>
      <w:tr w14:paraId="5820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0D5C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interaction model, ranks 3-5 reference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B80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F25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0.131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6F8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0.020 to 0.242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CD21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0.020</w:t>
            </w:r>
          </w:p>
        </w:tc>
      </w:tr>
      <w:tr w14:paraId="179B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32BF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interaction model, ranks 3-5 reference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253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6B6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0.060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C26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-0.054 to 0.175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3D6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0.298</w:t>
            </w:r>
          </w:p>
        </w:tc>
      </w:tr>
      <w:tr w14:paraId="1962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3BD8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interaction model, ranks 3-5 reference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5A8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A49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0.194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F0C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0.141 to 0.247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7AE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0E3C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FA8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Interaction with low income rank (1-2)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81A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6B24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275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-0.082 to 0.217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ED68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0.374</w:t>
            </w:r>
          </w:p>
        </w:tc>
      </w:tr>
      <w:tr w14:paraId="7E55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2577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Interaction with low income rank (1-2)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75D6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AAC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-0.166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E34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-0.373 to 0.040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B1F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0.115</w:t>
            </w:r>
          </w:p>
        </w:tc>
      </w:tr>
      <w:tr w14:paraId="1C61A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7601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Interaction with low income rank (1-2)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09E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4B1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-0.068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909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-0.158 to 0.022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536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0.139</w:t>
            </w:r>
          </w:p>
        </w:tc>
      </w:tr>
      <w:tr w14:paraId="4807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C9EB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Low income rank 1-2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689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87EB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0.208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F31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0.104 to 0.313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902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46C7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696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Low income rank 1-2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5D2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FD7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-0.098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A73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-0.276 to 0.080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FC2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0.282</w:t>
            </w:r>
          </w:p>
        </w:tc>
      </w:tr>
      <w:tr w14:paraId="37C14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4AC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Low income rank 1-2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C59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387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0.137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8175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0.056 to 0.219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884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308E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0E70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ranks 3-5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7D3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A99D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0.123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B97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0.013 to 0.233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F9D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0.028</w:t>
            </w:r>
          </w:p>
        </w:tc>
      </w:tr>
      <w:tr w14:paraId="76BAB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2114C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ranks 3-5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BAF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31A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0.056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0B6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-0.060 to 0.172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F2C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0.343</w:t>
            </w:r>
          </w:p>
        </w:tc>
      </w:tr>
      <w:tr w14:paraId="5CAB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429C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Income ranks 3-5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F72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39FF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0.186</w:t>
            </w:r>
          </w:p>
        </w:tc>
        <w:tc>
          <w:tcPr>
            <w:tcW w:w="276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9E9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0.129 to 0.242</w:t>
            </w:r>
          </w:p>
        </w:tc>
        <w:tc>
          <w:tcPr>
            <w:tcW w:w="27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95AF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</w:tbl>
    <w:p w14:paraId="0DBA84E6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All models are restricted to medical spenders. Low income rank is defined as relative income rank 1-2.</w:t>
      </w:r>
    </w:p>
    <w:p w14:paraId="1FB81116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S5. Year-stratified Models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4"/>
        <w:gridCol w:w="2304"/>
        <w:gridCol w:w="2304"/>
        <w:gridCol w:w="2304"/>
        <w:gridCol w:w="2304"/>
      </w:tblGrid>
      <w:tr w14:paraId="0E0AD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907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Year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A28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9F1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Comparison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D05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3D1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95% CI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466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 value</w:t>
            </w:r>
          </w:p>
        </w:tc>
      </w:tr>
      <w:tr w14:paraId="1161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CFD4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87B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AC9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354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0.235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25A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-0.050 to 0.520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F55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0.106</w:t>
            </w:r>
          </w:p>
        </w:tc>
      </w:tr>
      <w:tr w14:paraId="3DAD9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F6F9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0C8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E39A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AF2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F473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-0.292 to 0.383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560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0.791</w:t>
            </w:r>
          </w:p>
        </w:tc>
      </w:tr>
      <w:tr w14:paraId="1B721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6F8DF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AE8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7B11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6C7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0.178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EE8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0.019 to 0.338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831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0.028</w:t>
            </w:r>
          </w:p>
        </w:tc>
      </w:tr>
      <w:tr w14:paraId="4C0B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31E4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A7B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574D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319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0.333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BF82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0.129 to 0.537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BED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0.001</w:t>
            </w:r>
          </w:p>
        </w:tc>
      </w:tr>
      <w:tr w14:paraId="0A00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015A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218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C370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B01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9305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-0.115 to 0.485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6C3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0.227</w:t>
            </w:r>
          </w:p>
        </w:tc>
      </w:tr>
      <w:tr w14:paraId="2CFED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219F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AC5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F246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CE4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0.292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936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0.141 to 0.443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ED8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174D9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BEEA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28E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A989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1D8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0.323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A6B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0.060 to 0.586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A49A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0.016</w:t>
            </w:r>
          </w:p>
        </w:tc>
      </w:tr>
      <w:tr w14:paraId="199D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2D4D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E489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261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5784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-0.150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03E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-0.585 to 0.285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7B2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0.500</w:t>
            </w:r>
          </w:p>
        </w:tc>
      </w:tr>
      <w:tr w14:paraId="2CB5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52B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7C6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497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3B2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0.228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DC43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0.026 to 0.430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246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0.027</w:t>
            </w:r>
          </w:p>
        </w:tc>
      </w:tr>
      <w:tr w14:paraId="6995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4B09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689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C76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528A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0.289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058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0.006 to 0.571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EE5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0.045</w:t>
            </w:r>
          </w:p>
        </w:tc>
      </w:tr>
      <w:tr w14:paraId="549B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37B3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5A3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C8F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2DB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0.119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49F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-0.205 to 0.444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841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0.470</w:t>
            </w:r>
          </w:p>
        </w:tc>
      </w:tr>
      <w:tr w14:paraId="23BE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EE46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A08A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log OOP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29C6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A6C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0.436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EBF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0.242 to 0.630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149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3CB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3ACB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E715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AB6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979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4AD3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-0.002 to 0.270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C6E5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0.053</w:t>
            </w:r>
          </w:p>
        </w:tc>
      </w:tr>
      <w:tr w14:paraId="3697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0445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B5C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5CB7E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F95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35B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-0.342 to 0.101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497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0.287</w:t>
            </w:r>
          </w:p>
        </w:tc>
      </w:tr>
      <w:tr w14:paraId="2E40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1FCDF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A0C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6DD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1584F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8083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0.067 to 0.227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CD2C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0D4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168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703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CD3E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D93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084E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0.002 to 0.272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EBC2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0.047</w:t>
            </w:r>
          </w:p>
        </w:tc>
      </w:tr>
      <w:tr w14:paraId="6F00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1309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6C9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A55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0F3C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826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-0.035 to 0.290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815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0.124</w:t>
            </w:r>
          </w:p>
        </w:tc>
      </w:tr>
      <w:tr w14:paraId="06E4C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0B0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B77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820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ADA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878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0.057 to 0.211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834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3E2C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74758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DD7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7566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669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0.217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186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0.041 to 0.393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57E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0.016</w:t>
            </w:r>
          </w:p>
        </w:tc>
      </w:tr>
      <w:tr w14:paraId="36EF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6497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5886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F93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1BC5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0.094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68A5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-0.109 to 0.297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957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0.366</w:t>
            </w:r>
          </w:p>
        </w:tc>
      </w:tr>
      <w:tr w14:paraId="5EB6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1BC25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BDE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4DC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2C1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0.166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33C7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0.042 to 0.289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B7E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0.008</w:t>
            </w:r>
          </w:p>
        </w:tc>
      </w:tr>
      <w:tr w14:paraId="63B7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DD69A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D47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40F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63D7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0.307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A13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0.159 to 0.454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CE65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D9E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9043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66C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393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CB14A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-0.061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4BA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-0.230 to 0.108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46C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0.481</w:t>
            </w:r>
          </w:p>
        </w:tc>
      </w:tr>
      <w:tr w14:paraId="5593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65A6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90E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Year-specific 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D38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EE6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0.287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8F2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0.193 to 0.382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593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</w:tbl>
    <w:p w14:paraId="21E84524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Each model is estimated separately within survey year. Employee/public insurance is the reference group.</w:t>
      </w:r>
    </w:p>
    <w:p w14:paraId="111D186B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S6. Year-by-scheme Descriptive Outcome Table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4"/>
        <w:gridCol w:w="2304"/>
        <w:gridCol w:w="2304"/>
        <w:gridCol w:w="2304"/>
        <w:gridCol w:w="2304"/>
      </w:tblGrid>
      <w:tr w14:paraId="47C8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64B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Year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494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Scheme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2EB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Weighted share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8BE2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High OOP &gt;=50%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52E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Mean OOP ratio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D14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Mean log OOP</w:t>
            </w:r>
          </w:p>
        </w:tc>
      </w:tr>
      <w:tr w14:paraId="751F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6340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FDDC3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Employee/public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E58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16.5%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767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53.5%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82C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0.574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2A4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6.553</w:t>
            </w:r>
          </w:p>
        </w:tc>
      </w:tr>
      <w:tr w14:paraId="31B80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F1B3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FA6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66B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72.6%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8B7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76.9%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D62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0.724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FB5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6.265</w:t>
            </w:r>
          </w:p>
        </w:tc>
      </w:tr>
      <w:tr w14:paraId="02EE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6D6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F93C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794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8.7%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0E89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73.1%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3DE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0.775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7F5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6.129</w:t>
            </w:r>
          </w:p>
        </w:tc>
      </w:tr>
      <w:tr w14:paraId="27D3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7D14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BF09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710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2.3%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470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47.9%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485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0.456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1A0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6.193</w:t>
            </w:r>
          </w:p>
        </w:tc>
      </w:tr>
      <w:tr w14:paraId="0E0B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D0AC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B6A8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Employee/public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9DA3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18.5%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DE0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50.6%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CA5D8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0.602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F218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6.264</w:t>
            </w:r>
          </w:p>
        </w:tc>
      </w:tr>
      <w:tr w14:paraId="3EDB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9609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6261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3D2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69.6%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A53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73.2%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4A0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0.711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A7E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6.559</w:t>
            </w:r>
          </w:p>
        </w:tc>
      </w:tr>
      <w:tr w14:paraId="1689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94B30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AE8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567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8.5%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8C88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68.1%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4D83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0.761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5E32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6.468</w:t>
            </w:r>
          </w:p>
        </w:tc>
      </w:tr>
      <w:tr w14:paraId="5258A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9C419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95E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C87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3.4%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594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61.5%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966D6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0.623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441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6.311</w:t>
            </w:r>
          </w:p>
        </w:tc>
      </w:tr>
      <w:tr w14:paraId="2D95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2B59E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66F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Employee/public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358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17.2%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C2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46.5%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059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0.558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2012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6.336</w:t>
            </w:r>
          </w:p>
        </w:tc>
      </w:tr>
      <w:tr w14:paraId="3067D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2427D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536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393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68.8%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E77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68.5%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569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0.678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7C12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6.585</w:t>
            </w:r>
          </w:p>
        </w:tc>
      </w:tr>
      <w:tr w14:paraId="302C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CC6B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978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AD1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10.0%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6009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71.1%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29A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0.767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D0D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6.648</w:t>
            </w:r>
          </w:p>
        </w:tc>
      </w:tr>
      <w:tr w14:paraId="61C94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47FE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B04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CEB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4.0%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27D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58.1%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442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0.615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ADEF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6.038</w:t>
            </w:r>
          </w:p>
        </w:tc>
      </w:tr>
      <w:tr w14:paraId="3BD3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D0BB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CAB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Employee/public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8D5F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20.7%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72DE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46.8%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9FB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0.491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EFD0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6.290</w:t>
            </w:r>
          </w:p>
        </w:tc>
      </w:tr>
      <w:tr w14:paraId="2B91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04E3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3E1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630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66.7%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1D0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75.4%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D92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0.727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58CE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6.821</w:t>
            </w:r>
          </w:p>
        </w:tc>
      </w:tr>
      <w:tr w14:paraId="4E57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E45B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B3AE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546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7.4%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8F25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78.8%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FCF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0.794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9B4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6.452</w:t>
            </w:r>
          </w:p>
        </w:tc>
      </w:tr>
      <w:tr w14:paraId="50FEC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911D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2022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EFB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Other/multiple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9C9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5.2%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E11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40.6%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4D8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0.496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ADF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6.153</w:t>
            </w:r>
          </w:p>
        </w:tc>
      </w:tr>
    </w:tbl>
    <w:p w14:paraId="1C3AB9D6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High OOP &gt;=50% is calculated among medical spenders with non-missing expenditure ratio.</w:t>
      </w:r>
    </w:p>
    <w:p w14:paraId="59D52536">
      <w:r>
        <w:br w:type="page"/>
      </w:r>
    </w:p>
    <w:p w14:paraId="60123E91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Table S7. Full Subgroup Results for Log Out-of-pocket Expenditure</w:t>
      </w:r>
    </w:p>
    <w:tbl>
      <w:tblPr>
        <w:tblStyle w:val="33"/>
        <w:tblW w:w="13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4"/>
        <w:gridCol w:w="2304"/>
        <w:gridCol w:w="2304"/>
        <w:gridCol w:w="2304"/>
        <w:gridCol w:w="2304"/>
      </w:tblGrid>
      <w:tr w14:paraId="0341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8CF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Subgroup family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CD2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Subgroup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2F7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Comparison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734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CBA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95% CI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19A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 value</w:t>
            </w:r>
          </w:p>
        </w:tc>
      </w:tr>
      <w:tr w14:paraId="3B866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DD9C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Sex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80B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63E3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C11B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0.321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2D69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0.158 to 0.485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C22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79E4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FDA0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Sex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DC09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Male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13A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8A6D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0888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0.125 to 0.369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B42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184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C6A8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Sex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899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Female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A873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EDC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0.303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9889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0.083 to 0.522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2AF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0.007</w:t>
            </w:r>
          </w:p>
        </w:tc>
      </w:tr>
      <w:tr w14:paraId="3528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A167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Sex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D05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Female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49D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530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0.310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436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0.186 to 0.433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184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5968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9345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Residence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6F1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Rural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5D0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F48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0.397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D610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0.184 to 0.611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738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61859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1FB71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Residence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162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Rural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BF9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BDA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0.398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A42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0.223 to 0.573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3B40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3A04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13B6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Residence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7E8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Urban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623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FE1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0.315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FF4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0.135 to 0.495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50D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710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13C27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Residence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4AE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Urban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29BE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72D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0.249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C507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0.146 to 0.352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5DF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520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41D0B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 group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A740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&lt;60 years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FC40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3CAF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0.361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17C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0.223 to 0.499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EA4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45662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A27BC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 group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3619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&lt;60 years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A3C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1CB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0.318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9BA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0.217 to 0.419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F2E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37AB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8F51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 group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84CF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&gt;=60 years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60B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1DE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0.204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48A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-0.094 to 0.502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FF5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0.180</w:t>
            </w:r>
          </w:p>
        </w:tc>
      </w:tr>
      <w:tr w14:paraId="037E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C4C25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Age group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C6A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&gt;=60 years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2C9E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E20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0.136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B3BF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-0.033 to 0.304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1F3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0.114</w:t>
            </w:r>
          </w:p>
        </w:tc>
      </w:tr>
      <w:tr w14:paraId="2352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70FCA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F1D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 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DDE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D2D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0.372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06F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0.221 to 0.524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652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40B6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021C3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205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No 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971C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FA0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0.311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A54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0.208 to 0.414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18BBC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&lt;0.001</w:t>
            </w:r>
          </w:p>
        </w:tc>
      </w:tr>
      <w:tr w14:paraId="21F6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6305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DAA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D0E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Uninsured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4ED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0.167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D5AA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-0.138 to 0.471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EDA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0.284</w:t>
            </w:r>
          </w:p>
        </w:tc>
      </w:tr>
      <w:tr w14:paraId="1382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73F88"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66E9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Chronic disease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21E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Resident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6AC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0.166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4E0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0.000 to 0.332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D09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6"/>
              </w:rPr>
              <w:t>0.049</w:t>
            </w:r>
          </w:p>
        </w:tc>
      </w:tr>
    </w:tbl>
    <w:p w14:paraId="631A6234">
      <w:pPr>
        <w:spacing w:after="120"/>
      </w:pPr>
      <w:r>
        <w:rPr>
          <w:rFonts w:ascii="Times New Roman" w:hAnsi="Times New Roman" w:eastAsia="Times New Roman"/>
          <w:i/>
          <w:sz w:val="18"/>
        </w:rPr>
        <w:t>Note. All subgroup models use employee/public insurance as the reference group.</w:t>
      </w:r>
    </w:p>
    <w:p w14:paraId="559145D9">
      <w:pPr>
        <w:keepNext/>
        <w:spacing w:before="200" w:after="100"/>
      </w:pPr>
      <w:r>
        <w:rPr>
          <w:rFonts w:ascii="Times New Roman" w:hAnsi="Times New Roman" w:eastAsia="Times New Roman"/>
          <w:b/>
          <w:sz w:val="26"/>
        </w:rPr>
        <w:t>Supplementary Figure S1. Main Adjusted Effects Figure</w:t>
      </w:r>
    </w:p>
    <w:p w14:paraId="2C79A33E">
      <w:pPr>
        <w:jc w:val="center"/>
      </w:pPr>
      <w:r>
        <w:drawing>
          <wp:inline distT="0" distB="0" distL="114300" distR="114300">
            <wp:extent cx="7315200" cy="31915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19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04C4E">
      <w:pPr>
        <w:spacing w:after="160"/>
        <w:jc w:val="center"/>
      </w:pPr>
      <w:r>
        <w:rPr>
          <w:rFonts w:ascii="Times New Roman" w:hAnsi="Times New Roman" w:eastAsia="Times New Roman"/>
          <w:sz w:val="20"/>
        </w:rPr>
        <w:t>Two-panel display of the main adjusted coefficients for log OOP and high OOP ratio &gt;=50%.</w:t>
      </w:r>
    </w:p>
    <w:sectPr>
      <w:pgSz w:w="15840" w:h="12240" w:orient="landscape"/>
      <w:pgMar w:top="1008" w:right="1008" w:bottom="1008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C9716D"/>
    <w:rsid w:val="3EFD7A53"/>
    <w:rsid w:val="637F7835"/>
    <w:rsid w:val="E7BF0387"/>
    <w:rsid w:val="FBFF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1460</Words>
  <Characters>9061</Characters>
  <Lines>0</Lines>
  <Paragraphs>0</Paragraphs>
  <TotalTime>2</TotalTime>
  <ScaleCrop>false</ScaleCrop>
  <LinksUpToDate>false</LinksUpToDate>
  <CharactersWithSpaces>9833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user</cp:lastModifiedBy>
  <dcterms:modified xsi:type="dcterms:W3CDTF">2026-06-27T07:13:48Z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1C7B12CBC82348928284B9149B295144_13</vt:lpwstr>
  </property>
  <property fmtid="{D5CDD505-2E9C-101B-9397-08002B2CF9AE}" pid="4" name="KSOTemplateDocerSaveRecord">
    <vt:lpwstr>eyJoZGlkIjoiNmQ3Y2MwZjk3OWYxMjMxN2MyYzZiNWQ2MjA0ZmViNDEiLCJ1c2VySWQiOiIyMzI2NTI0ODcifQ==</vt:lpwstr>
  </property>
</Properties>
</file>