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901A" w14:textId="4D86DFBA" w:rsidR="001929AF" w:rsidRPr="001929AF" w:rsidRDefault="001929AF" w:rsidP="001929AF">
      <w:pPr>
        <w:keepNext/>
        <w:adjustRightInd w:val="0"/>
        <w:snapToGrid w:val="0"/>
        <w:spacing w:line="480" w:lineRule="auto"/>
        <w:ind w:firstLineChars="0" w:firstLine="0"/>
        <w:rPr>
          <w:rFonts w:cs="Times New Roman" w:hint="eastAsia"/>
        </w:rPr>
      </w:pPr>
      <w:r w:rsidRPr="001929AF">
        <w:rPr>
          <w:rFonts w:cs="Times New Roman"/>
        </w:rPr>
        <w:t>Supplementary Materials</w:t>
      </w:r>
    </w:p>
    <w:p w14:paraId="0147A2AF" w14:textId="0934CB5E" w:rsidR="001929AF" w:rsidRDefault="002F279F" w:rsidP="001929AF">
      <w:pPr>
        <w:keepNext/>
        <w:adjustRightInd w:val="0"/>
        <w:snapToGrid w:val="0"/>
        <w:spacing w:line="480" w:lineRule="auto"/>
        <w:ind w:firstLineChars="0" w:firstLine="0"/>
        <w:rPr>
          <w:rFonts w:cs="Times New Roman"/>
        </w:rPr>
      </w:pPr>
      <w:r w:rsidRPr="00701294">
        <w:rPr>
          <w:rFonts w:cs="Times New Roman"/>
        </w:rPr>
        <w:t xml:space="preserve">Table </w:t>
      </w:r>
      <w:r>
        <w:rPr>
          <w:rFonts w:cs="Times New Roman" w:hint="eastAsia"/>
        </w:rPr>
        <w:t>S</w:t>
      </w:r>
      <w:r w:rsidRPr="00701294">
        <w:rPr>
          <w:rFonts w:cs="Times New Roman"/>
        </w:rPr>
        <w:t>1</w:t>
      </w:r>
      <w:r w:rsidR="001929AF" w:rsidRPr="001929AF">
        <w:rPr>
          <w:rFonts w:cs="Times New Roman"/>
        </w:rPr>
        <w:tab/>
        <w:t>Longitudinal Measurement Invariance Tests for Each Scale</w:t>
      </w:r>
    </w:p>
    <w:p w14:paraId="71B180B0" w14:textId="77777777" w:rsidR="002F279F" w:rsidRDefault="002F279F" w:rsidP="002F279F">
      <w:pPr>
        <w:adjustRightInd w:val="0"/>
        <w:snapToGrid w:val="0"/>
        <w:spacing w:line="480" w:lineRule="auto"/>
        <w:ind w:firstLine="420"/>
      </w:pPr>
      <w:bookmarkStart w:id="0" w:name="OLE_LINK34"/>
      <w:r>
        <w:rPr>
          <w:rFonts w:cs="Times New Roman"/>
        </w:rPr>
        <w:t xml:space="preserve">Table </w:t>
      </w:r>
      <w:r>
        <w:rPr>
          <w:rFonts w:cs="Times New Roman" w:hint="eastAsia"/>
        </w:rPr>
        <w:t>S1</w:t>
      </w:r>
      <w:r>
        <w:rPr>
          <w:rFonts w:cs="Times New Roman"/>
        </w:rPr>
        <w:t xml:space="preserve"> present</w:t>
      </w:r>
      <w:r>
        <w:rPr>
          <w:rFonts w:cs="Times New Roman" w:hint="eastAsia"/>
        </w:rPr>
        <w:t>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</w:t>
      </w:r>
      <w:r>
        <w:rPr>
          <w:rFonts w:cs="Times New Roman"/>
        </w:rPr>
        <w:t>he model fit indices for configural, weak, and strong invariance across time points.</w:t>
      </w:r>
      <w:r>
        <w:rPr>
          <w:rFonts w:cs="Times New Roman" w:hint="eastAsia"/>
        </w:rPr>
        <w:t xml:space="preserve"> A</w:t>
      </w:r>
      <w:r>
        <w:rPr>
          <w:rFonts w:cs="Times New Roman"/>
        </w:rPr>
        <w:t xml:space="preserve">ll models met established thresholds for acceptable model fit. </w:t>
      </w:r>
      <w:r>
        <w:rPr>
          <w:rFonts w:cs="Times New Roman" w:hint="eastAsia"/>
        </w:rPr>
        <w:t>According to</w:t>
      </w:r>
      <w:r>
        <w:rPr>
          <w:rFonts w:cs="Times New Roman"/>
        </w:rPr>
        <w:t xml:space="preserve"> the Δχ²SB difference test and changes in fit indices (ΔCFI</w:t>
      </w:r>
      <w:r>
        <w:rPr>
          <w:rFonts w:cs="Times New Roman" w:hint="eastAsia"/>
        </w:rPr>
        <w:t xml:space="preserve"> and </w:t>
      </w:r>
      <w:r>
        <w:rPr>
          <w:rFonts w:cs="Times New Roman"/>
        </w:rPr>
        <w:t xml:space="preserve">ΔRMSEA), PSC, PA avoidance, and PA </w:t>
      </w:r>
      <w:r>
        <w:rPr>
          <w:rFonts w:cs="Times New Roman" w:hint="eastAsia"/>
        </w:rPr>
        <w:t xml:space="preserve">all </w:t>
      </w:r>
      <w:r>
        <w:rPr>
          <w:rFonts w:cs="Times New Roman"/>
        </w:rPr>
        <w:t xml:space="preserve">demonstrated strong measurement invariance across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three measurement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time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points</w:t>
      </w:r>
      <w:r>
        <w:rPr>
          <w:rFonts w:cs="Times New Roman" w:hint="eastAsia"/>
        </w:rPr>
        <w:t xml:space="preserve">. </w:t>
      </w:r>
      <w:r>
        <w:rPr>
          <w:rFonts w:cs="Times New Roman"/>
        </w:rPr>
        <w:t xml:space="preserve">These results supported the temporal stability </w:t>
      </w:r>
      <w:r>
        <w:rPr>
          <w:rFonts w:cs="Times New Roman" w:hint="eastAsia"/>
        </w:rPr>
        <w:t xml:space="preserve">of the measurement tools </w:t>
      </w:r>
      <w:r>
        <w:rPr>
          <w:rFonts w:cs="Times New Roman"/>
        </w:rPr>
        <w:t xml:space="preserve">over time and </w:t>
      </w:r>
      <w:r>
        <w:rPr>
          <w:rFonts w:cs="Times New Roman" w:hint="eastAsia"/>
        </w:rPr>
        <w:t>justify the</w:t>
      </w:r>
      <w:r>
        <w:rPr>
          <w:rFonts w:cs="Times New Roman"/>
        </w:rPr>
        <w:t xml:space="preserve"> subsequent longitudinal comparisons and causal inferences.</w:t>
      </w:r>
      <w:r>
        <w:t xml:space="preserve"> </w:t>
      </w:r>
    </w:p>
    <w:bookmarkEnd w:id="0"/>
    <w:p w14:paraId="2DCAD263" w14:textId="77777777" w:rsidR="001929AF" w:rsidRPr="001929AF" w:rsidRDefault="001929AF" w:rsidP="001929AF">
      <w:pPr>
        <w:keepNext/>
        <w:adjustRightInd w:val="0"/>
        <w:snapToGrid w:val="0"/>
        <w:spacing w:line="480" w:lineRule="auto"/>
        <w:ind w:firstLineChars="0" w:firstLine="0"/>
        <w:rPr>
          <w:rFonts w:cs="Times New Roman"/>
        </w:rPr>
      </w:pPr>
    </w:p>
    <w:p w14:paraId="5F15FDFB" w14:textId="3FB17C20" w:rsidR="00701294" w:rsidRPr="00B307AD" w:rsidRDefault="00701294" w:rsidP="00701294">
      <w:pPr>
        <w:keepNext/>
        <w:adjustRightInd w:val="0"/>
        <w:snapToGrid w:val="0"/>
        <w:spacing w:line="480" w:lineRule="auto"/>
        <w:ind w:firstLineChars="0" w:firstLine="0"/>
        <w:jc w:val="center"/>
        <w:rPr>
          <w:rFonts w:cs="Times New Roman"/>
        </w:rPr>
      </w:pPr>
      <w:r w:rsidRPr="00701294">
        <w:rPr>
          <w:rFonts w:cs="Times New Roman"/>
        </w:rPr>
        <w:t xml:space="preserve">Table </w:t>
      </w:r>
      <w:r w:rsidR="001929AF">
        <w:rPr>
          <w:rFonts w:cs="Times New Roman" w:hint="eastAsia"/>
        </w:rPr>
        <w:t>S</w:t>
      </w:r>
      <w:r w:rsidRPr="00701294">
        <w:rPr>
          <w:rFonts w:cs="Times New Roman"/>
        </w:rPr>
        <w:t>1</w:t>
      </w:r>
      <w:r w:rsidRPr="00B307AD">
        <w:rPr>
          <w:rFonts w:cs="Times New Roman"/>
        </w:rPr>
        <w:t xml:space="preserve"> Longitudinal Measurement Invariance Tests for Each Scale (N=1162)</w:t>
      </w:r>
    </w:p>
    <w:tbl>
      <w:tblPr>
        <w:tblW w:w="10507" w:type="dxa"/>
        <w:tblInd w:w="-95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40"/>
        <w:gridCol w:w="1542"/>
        <w:gridCol w:w="1020"/>
        <w:gridCol w:w="1020"/>
        <w:gridCol w:w="837"/>
        <w:gridCol w:w="1056"/>
        <w:gridCol w:w="1098"/>
        <w:gridCol w:w="737"/>
        <w:gridCol w:w="737"/>
        <w:gridCol w:w="1020"/>
      </w:tblGrid>
      <w:tr w:rsidR="00701294" w:rsidRPr="00B307AD" w14:paraId="1DA7E0CD" w14:textId="77777777" w:rsidTr="001C1E51">
        <w:trPr>
          <w:trHeight w:val="278"/>
          <w:tblHeader/>
        </w:trPr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9BD7E8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bookmarkStart w:id="1" w:name="_Hlk219474428"/>
            <w:r w:rsidRPr="00B307AD">
              <w:rPr>
                <w:rFonts w:cs="Times New Roman"/>
                <w:color w:val="000000"/>
                <w:kern w:val="0"/>
                <w:sz w:val="18"/>
              </w:rPr>
              <w:t>Longitudinal invariance model</w:t>
            </w:r>
          </w:p>
        </w:tc>
        <w:tc>
          <w:tcPr>
            <w:tcW w:w="1542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25AB833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χ</w:t>
            </w:r>
            <w:r w:rsidRPr="00B307AD">
              <w:rPr>
                <w:rFonts w:cs="Times New Roman"/>
                <w:color w:val="000000"/>
                <w:kern w:val="0"/>
                <w:sz w:val="18"/>
                <w:vertAlign w:val="superscript"/>
              </w:rPr>
              <w:t>2</w:t>
            </w:r>
            <w:r w:rsidRPr="00B307AD">
              <w:rPr>
                <w:rFonts w:cs="Times New Roman"/>
                <w:color w:val="000000"/>
                <w:kern w:val="0"/>
                <w:sz w:val="18"/>
              </w:rPr>
              <w:t>(df)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FD5B91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CFI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052A4E3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TLI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30884C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RMSEA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8DAA17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Model comparison</w:t>
            </w:r>
          </w:p>
        </w:tc>
        <w:tc>
          <w:tcPr>
            <w:tcW w:w="1098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671C7B2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sz w:val="18"/>
                <w:szCs w:val="18"/>
              </w:rPr>
              <w:t>Δχ2SB(Δ</w:t>
            </w:r>
            <w:r w:rsidRPr="00B307AD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df</w:t>
            </w:r>
            <w:r w:rsidRPr="00B307AD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606D39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 xml:space="preserve">p 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0EF08FE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ΔCFI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DCDDD1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ΔRMSEA</w:t>
            </w:r>
          </w:p>
        </w:tc>
      </w:tr>
      <w:tr w:rsidR="00701294" w:rsidRPr="00B307AD" w14:paraId="6D839AA5" w14:textId="77777777" w:rsidTr="001C1E51">
        <w:trPr>
          <w:trHeight w:val="278"/>
        </w:trPr>
        <w:tc>
          <w:tcPr>
            <w:tcW w:w="144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C67CE5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PSC</w:t>
            </w:r>
          </w:p>
        </w:tc>
        <w:tc>
          <w:tcPr>
            <w:tcW w:w="1542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563F6D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700522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25D15D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837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81B80E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56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22C95F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38267E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CD982E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F7EC9C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E0FC19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</w:tr>
      <w:tr w:rsidR="00701294" w:rsidRPr="00B307AD" w14:paraId="1BE1ECBF" w14:textId="77777777" w:rsidTr="001C1E51">
        <w:trPr>
          <w:trHeight w:val="278"/>
        </w:trPr>
        <w:tc>
          <w:tcPr>
            <w:tcW w:w="1440" w:type="dxa"/>
            <w:tcBorders>
              <w:top w:val="nil"/>
            </w:tcBorders>
            <w:noWrap/>
            <w:vAlign w:val="center"/>
            <w:hideMark/>
          </w:tcPr>
          <w:p w14:paraId="6CD09A7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M1: Configural invariance</w:t>
            </w:r>
          </w:p>
        </w:tc>
        <w:tc>
          <w:tcPr>
            <w:tcW w:w="1542" w:type="dxa"/>
            <w:tcBorders>
              <w:top w:val="nil"/>
            </w:tcBorders>
            <w:noWrap/>
            <w:vAlign w:val="center"/>
            <w:hideMark/>
          </w:tcPr>
          <w:p w14:paraId="19C277B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55.419(39)</w:t>
            </w:r>
          </w:p>
        </w:tc>
        <w:tc>
          <w:tcPr>
            <w:tcW w:w="1020" w:type="dxa"/>
            <w:tcBorders>
              <w:top w:val="nil"/>
            </w:tcBorders>
            <w:noWrap/>
            <w:vAlign w:val="center"/>
            <w:hideMark/>
          </w:tcPr>
          <w:p w14:paraId="547748A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0.990</w:t>
            </w:r>
          </w:p>
        </w:tc>
        <w:tc>
          <w:tcPr>
            <w:tcW w:w="1020" w:type="dxa"/>
            <w:tcBorders>
              <w:top w:val="nil"/>
            </w:tcBorders>
            <w:noWrap/>
            <w:vAlign w:val="center"/>
            <w:hideMark/>
          </w:tcPr>
          <w:p w14:paraId="7F2BDA3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0.983</w:t>
            </w:r>
          </w:p>
        </w:tc>
        <w:tc>
          <w:tcPr>
            <w:tcW w:w="837" w:type="dxa"/>
            <w:tcBorders>
              <w:top w:val="nil"/>
            </w:tcBorders>
            <w:noWrap/>
            <w:vAlign w:val="center"/>
            <w:hideMark/>
          </w:tcPr>
          <w:p w14:paraId="505FEAE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0.019</w:t>
            </w:r>
          </w:p>
        </w:tc>
        <w:tc>
          <w:tcPr>
            <w:tcW w:w="1056" w:type="dxa"/>
            <w:tcBorders>
              <w:top w:val="nil"/>
            </w:tcBorders>
            <w:noWrap/>
            <w:vAlign w:val="center"/>
            <w:hideMark/>
          </w:tcPr>
          <w:p w14:paraId="0AC3F8F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098" w:type="dxa"/>
            <w:tcBorders>
              <w:top w:val="nil"/>
            </w:tcBorders>
            <w:noWrap/>
            <w:vAlign w:val="center"/>
            <w:hideMark/>
          </w:tcPr>
          <w:p w14:paraId="1B33BD8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vAlign w:val="center"/>
            <w:hideMark/>
          </w:tcPr>
          <w:p w14:paraId="2AFBBA8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tcBorders>
              <w:top w:val="nil"/>
            </w:tcBorders>
            <w:noWrap/>
            <w:vAlign w:val="center"/>
            <w:hideMark/>
          </w:tcPr>
          <w:p w14:paraId="163024B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20" w:type="dxa"/>
            <w:tcBorders>
              <w:top w:val="nil"/>
            </w:tcBorders>
            <w:noWrap/>
            <w:vAlign w:val="center"/>
            <w:hideMark/>
          </w:tcPr>
          <w:p w14:paraId="4FFC44A2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</w:tr>
      <w:tr w:rsidR="00701294" w:rsidRPr="00B307AD" w14:paraId="0784BAA6" w14:textId="77777777" w:rsidTr="001C1E51">
        <w:trPr>
          <w:trHeight w:val="278"/>
        </w:trPr>
        <w:tc>
          <w:tcPr>
            <w:tcW w:w="1440" w:type="dxa"/>
            <w:noWrap/>
            <w:vAlign w:val="center"/>
            <w:hideMark/>
          </w:tcPr>
          <w:p w14:paraId="4544127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M2: Weak invariance</w:t>
            </w:r>
          </w:p>
        </w:tc>
        <w:tc>
          <w:tcPr>
            <w:tcW w:w="1542" w:type="dxa"/>
            <w:noWrap/>
            <w:vAlign w:val="center"/>
            <w:hideMark/>
          </w:tcPr>
          <w:p w14:paraId="5F84FFB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61.271(45)</w:t>
            </w:r>
          </w:p>
        </w:tc>
        <w:tc>
          <w:tcPr>
            <w:tcW w:w="1020" w:type="dxa"/>
            <w:noWrap/>
            <w:vAlign w:val="center"/>
            <w:hideMark/>
          </w:tcPr>
          <w:p w14:paraId="0C543C2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0.991</w:t>
            </w:r>
          </w:p>
        </w:tc>
        <w:tc>
          <w:tcPr>
            <w:tcW w:w="1020" w:type="dxa"/>
            <w:noWrap/>
            <w:vAlign w:val="center"/>
            <w:hideMark/>
          </w:tcPr>
          <w:p w14:paraId="169437A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0.985</w:t>
            </w:r>
          </w:p>
        </w:tc>
        <w:tc>
          <w:tcPr>
            <w:tcW w:w="837" w:type="dxa"/>
            <w:noWrap/>
            <w:vAlign w:val="center"/>
            <w:hideMark/>
          </w:tcPr>
          <w:p w14:paraId="4F27BDD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0.018</w:t>
            </w:r>
          </w:p>
        </w:tc>
        <w:tc>
          <w:tcPr>
            <w:tcW w:w="1056" w:type="dxa"/>
            <w:noWrap/>
            <w:vAlign w:val="center"/>
            <w:hideMark/>
          </w:tcPr>
          <w:p w14:paraId="42AA8F1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M2-M1</w:t>
            </w:r>
          </w:p>
        </w:tc>
        <w:tc>
          <w:tcPr>
            <w:tcW w:w="1098" w:type="dxa"/>
            <w:noWrap/>
            <w:vAlign w:val="center"/>
            <w:hideMark/>
          </w:tcPr>
          <w:p w14:paraId="2441133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5.852(6)</w:t>
            </w:r>
          </w:p>
        </w:tc>
        <w:tc>
          <w:tcPr>
            <w:tcW w:w="737" w:type="dxa"/>
            <w:noWrap/>
            <w:vAlign w:val="center"/>
            <w:hideMark/>
          </w:tcPr>
          <w:p w14:paraId="6F8C04D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0.440</w:t>
            </w:r>
          </w:p>
        </w:tc>
        <w:tc>
          <w:tcPr>
            <w:tcW w:w="737" w:type="dxa"/>
            <w:noWrap/>
            <w:vAlign w:val="center"/>
            <w:hideMark/>
          </w:tcPr>
          <w:p w14:paraId="69A2ABB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0.001</w:t>
            </w:r>
          </w:p>
        </w:tc>
        <w:tc>
          <w:tcPr>
            <w:tcW w:w="1020" w:type="dxa"/>
            <w:noWrap/>
            <w:vAlign w:val="center"/>
            <w:hideMark/>
          </w:tcPr>
          <w:p w14:paraId="20A2257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0.001</w:t>
            </w:r>
          </w:p>
        </w:tc>
      </w:tr>
      <w:tr w:rsidR="00701294" w:rsidRPr="00B307AD" w14:paraId="77FDB979" w14:textId="77777777" w:rsidTr="001C1E51">
        <w:trPr>
          <w:trHeight w:val="278"/>
        </w:trPr>
        <w:tc>
          <w:tcPr>
            <w:tcW w:w="1440" w:type="dxa"/>
            <w:noWrap/>
            <w:vAlign w:val="center"/>
            <w:hideMark/>
          </w:tcPr>
          <w:p w14:paraId="09F9396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M3: Strong invariance</w:t>
            </w:r>
          </w:p>
        </w:tc>
        <w:tc>
          <w:tcPr>
            <w:tcW w:w="1542" w:type="dxa"/>
            <w:noWrap/>
            <w:vAlign w:val="center"/>
            <w:hideMark/>
          </w:tcPr>
          <w:p w14:paraId="391C5972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70.467(53)</w:t>
            </w:r>
          </w:p>
        </w:tc>
        <w:tc>
          <w:tcPr>
            <w:tcW w:w="1020" w:type="dxa"/>
            <w:noWrap/>
            <w:vAlign w:val="center"/>
            <w:hideMark/>
          </w:tcPr>
          <w:p w14:paraId="0FA03E4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0.988</w:t>
            </w:r>
          </w:p>
        </w:tc>
        <w:tc>
          <w:tcPr>
            <w:tcW w:w="1020" w:type="dxa"/>
            <w:noWrap/>
            <w:vAlign w:val="center"/>
            <w:hideMark/>
          </w:tcPr>
          <w:p w14:paraId="11814DA2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0.985</w:t>
            </w:r>
          </w:p>
        </w:tc>
        <w:tc>
          <w:tcPr>
            <w:tcW w:w="837" w:type="dxa"/>
            <w:noWrap/>
            <w:vAlign w:val="center"/>
            <w:hideMark/>
          </w:tcPr>
          <w:p w14:paraId="288C09A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0.017</w:t>
            </w:r>
          </w:p>
        </w:tc>
        <w:tc>
          <w:tcPr>
            <w:tcW w:w="1056" w:type="dxa"/>
            <w:noWrap/>
            <w:vAlign w:val="center"/>
            <w:hideMark/>
          </w:tcPr>
          <w:p w14:paraId="1F5B48A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M3-M2</w:t>
            </w:r>
          </w:p>
        </w:tc>
        <w:tc>
          <w:tcPr>
            <w:tcW w:w="1098" w:type="dxa"/>
            <w:noWrap/>
            <w:vAlign w:val="center"/>
            <w:hideMark/>
          </w:tcPr>
          <w:p w14:paraId="0BFEE14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9.196(8)</w:t>
            </w:r>
          </w:p>
        </w:tc>
        <w:tc>
          <w:tcPr>
            <w:tcW w:w="737" w:type="dxa"/>
            <w:noWrap/>
            <w:vAlign w:val="center"/>
            <w:hideMark/>
          </w:tcPr>
          <w:p w14:paraId="4C13F8A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0.326</w:t>
            </w:r>
          </w:p>
        </w:tc>
        <w:tc>
          <w:tcPr>
            <w:tcW w:w="737" w:type="dxa"/>
            <w:noWrap/>
            <w:vAlign w:val="center"/>
            <w:hideMark/>
          </w:tcPr>
          <w:p w14:paraId="3537763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-0.003</w:t>
            </w:r>
          </w:p>
        </w:tc>
        <w:tc>
          <w:tcPr>
            <w:tcW w:w="1020" w:type="dxa"/>
            <w:noWrap/>
            <w:vAlign w:val="center"/>
            <w:hideMark/>
          </w:tcPr>
          <w:p w14:paraId="2BBFCBE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0.001</w:t>
            </w:r>
          </w:p>
        </w:tc>
      </w:tr>
      <w:tr w:rsidR="00701294" w:rsidRPr="00B307AD" w14:paraId="6C704205" w14:textId="77777777" w:rsidTr="001C1E51">
        <w:trPr>
          <w:trHeight w:val="278"/>
        </w:trPr>
        <w:tc>
          <w:tcPr>
            <w:tcW w:w="1440" w:type="dxa"/>
            <w:noWrap/>
            <w:vAlign w:val="center"/>
            <w:hideMark/>
          </w:tcPr>
          <w:p w14:paraId="5BC15A6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PA avoidance</w:t>
            </w:r>
          </w:p>
        </w:tc>
        <w:tc>
          <w:tcPr>
            <w:tcW w:w="1542" w:type="dxa"/>
            <w:noWrap/>
            <w:vAlign w:val="center"/>
            <w:hideMark/>
          </w:tcPr>
          <w:p w14:paraId="23B52C2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020" w:type="dxa"/>
            <w:noWrap/>
            <w:vAlign w:val="center"/>
            <w:hideMark/>
          </w:tcPr>
          <w:p w14:paraId="786BCA1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20" w:type="dxa"/>
            <w:noWrap/>
            <w:vAlign w:val="center"/>
            <w:hideMark/>
          </w:tcPr>
          <w:p w14:paraId="5A3543E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837" w:type="dxa"/>
            <w:noWrap/>
            <w:vAlign w:val="center"/>
            <w:hideMark/>
          </w:tcPr>
          <w:p w14:paraId="487AC38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56" w:type="dxa"/>
            <w:noWrap/>
            <w:vAlign w:val="center"/>
            <w:hideMark/>
          </w:tcPr>
          <w:p w14:paraId="28AB8D8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14:paraId="5862119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4549D6F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3CC8F7B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20" w:type="dxa"/>
            <w:noWrap/>
            <w:vAlign w:val="center"/>
            <w:hideMark/>
          </w:tcPr>
          <w:p w14:paraId="04D4A2A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</w:tr>
      <w:tr w:rsidR="00701294" w:rsidRPr="00B307AD" w14:paraId="705820EC" w14:textId="77777777" w:rsidTr="001C1E51">
        <w:trPr>
          <w:trHeight w:val="278"/>
        </w:trPr>
        <w:tc>
          <w:tcPr>
            <w:tcW w:w="1440" w:type="dxa"/>
            <w:tcBorders>
              <w:top w:val="nil"/>
            </w:tcBorders>
            <w:noWrap/>
            <w:vAlign w:val="center"/>
            <w:hideMark/>
          </w:tcPr>
          <w:p w14:paraId="29A1AED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M1: Configural invariance</w:t>
            </w:r>
          </w:p>
        </w:tc>
        <w:tc>
          <w:tcPr>
            <w:tcW w:w="1542" w:type="dxa"/>
            <w:noWrap/>
            <w:vAlign w:val="center"/>
            <w:hideMark/>
          </w:tcPr>
          <w:p w14:paraId="3ABDD6E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60.448(42)</w:t>
            </w:r>
          </w:p>
        </w:tc>
        <w:tc>
          <w:tcPr>
            <w:tcW w:w="1020" w:type="dxa"/>
            <w:noWrap/>
            <w:vAlign w:val="center"/>
            <w:hideMark/>
          </w:tcPr>
          <w:p w14:paraId="1FEA69D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0.990</w:t>
            </w:r>
          </w:p>
        </w:tc>
        <w:tc>
          <w:tcPr>
            <w:tcW w:w="1020" w:type="dxa"/>
            <w:noWrap/>
            <w:vAlign w:val="center"/>
            <w:hideMark/>
          </w:tcPr>
          <w:p w14:paraId="7EEAEB4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0.983</w:t>
            </w:r>
          </w:p>
        </w:tc>
        <w:tc>
          <w:tcPr>
            <w:tcW w:w="837" w:type="dxa"/>
            <w:noWrap/>
            <w:vAlign w:val="center"/>
            <w:hideMark/>
          </w:tcPr>
          <w:p w14:paraId="1550763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0.019</w:t>
            </w:r>
          </w:p>
        </w:tc>
        <w:tc>
          <w:tcPr>
            <w:tcW w:w="1056" w:type="dxa"/>
            <w:noWrap/>
            <w:vAlign w:val="center"/>
            <w:hideMark/>
          </w:tcPr>
          <w:p w14:paraId="4AD3955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14:paraId="3213F18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4225D59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407F938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20" w:type="dxa"/>
            <w:noWrap/>
            <w:vAlign w:val="center"/>
            <w:hideMark/>
          </w:tcPr>
          <w:p w14:paraId="794BE9E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</w:tr>
      <w:tr w:rsidR="00701294" w:rsidRPr="00B307AD" w14:paraId="36E714FB" w14:textId="77777777" w:rsidTr="001C1E51">
        <w:trPr>
          <w:trHeight w:val="278"/>
        </w:trPr>
        <w:tc>
          <w:tcPr>
            <w:tcW w:w="1440" w:type="dxa"/>
            <w:tcBorders>
              <w:bottom w:val="nil"/>
            </w:tcBorders>
            <w:noWrap/>
            <w:vAlign w:val="center"/>
            <w:hideMark/>
          </w:tcPr>
          <w:p w14:paraId="7FF3E2F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M2: Weak invariance</w:t>
            </w:r>
          </w:p>
        </w:tc>
        <w:tc>
          <w:tcPr>
            <w:tcW w:w="1542" w:type="dxa"/>
            <w:tcBorders>
              <w:bottom w:val="nil"/>
            </w:tcBorders>
            <w:noWrap/>
            <w:vAlign w:val="center"/>
            <w:hideMark/>
          </w:tcPr>
          <w:p w14:paraId="4A56E07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66.421(48)</w:t>
            </w:r>
          </w:p>
        </w:tc>
        <w:tc>
          <w:tcPr>
            <w:tcW w:w="1020" w:type="dxa"/>
            <w:tcBorders>
              <w:bottom w:val="nil"/>
            </w:tcBorders>
            <w:noWrap/>
            <w:vAlign w:val="center"/>
            <w:hideMark/>
          </w:tcPr>
          <w:p w14:paraId="01EF159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0.990</w:t>
            </w:r>
          </w:p>
        </w:tc>
        <w:tc>
          <w:tcPr>
            <w:tcW w:w="1020" w:type="dxa"/>
            <w:tcBorders>
              <w:bottom w:val="nil"/>
            </w:tcBorders>
            <w:noWrap/>
            <w:vAlign w:val="center"/>
            <w:hideMark/>
          </w:tcPr>
          <w:p w14:paraId="4C1D320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0.986</w:t>
            </w:r>
          </w:p>
        </w:tc>
        <w:tc>
          <w:tcPr>
            <w:tcW w:w="837" w:type="dxa"/>
            <w:tcBorders>
              <w:bottom w:val="nil"/>
            </w:tcBorders>
            <w:noWrap/>
            <w:vAlign w:val="center"/>
            <w:hideMark/>
          </w:tcPr>
          <w:p w14:paraId="17160CE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0.018</w:t>
            </w:r>
          </w:p>
        </w:tc>
        <w:tc>
          <w:tcPr>
            <w:tcW w:w="1056" w:type="dxa"/>
            <w:tcBorders>
              <w:bottom w:val="nil"/>
            </w:tcBorders>
            <w:noWrap/>
            <w:vAlign w:val="center"/>
            <w:hideMark/>
          </w:tcPr>
          <w:p w14:paraId="43F9747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M2-M1</w:t>
            </w:r>
          </w:p>
        </w:tc>
        <w:tc>
          <w:tcPr>
            <w:tcW w:w="1098" w:type="dxa"/>
            <w:tcBorders>
              <w:bottom w:val="nil"/>
            </w:tcBorders>
            <w:noWrap/>
            <w:vAlign w:val="center"/>
            <w:hideMark/>
          </w:tcPr>
          <w:p w14:paraId="53F52FA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5.973(6)</w:t>
            </w:r>
          </w:p>
        </w:tc>
        <w:tc>
          <w:tcPr>
            <w:tcW w:w="737" w:type="dxa"/>
            <w:tcBorders>
              <w:bottom w:val="nil"/>
            </w:tcBorders>
            <w:noWrap/>
            <w:vAlign w:val="center"/>
            <w:hideMark/>
          </w:tcPr>
          <w:p w14:paraId="0031E54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0.430</w:t>
            </w:r>
          </w:p>
        </w:tc>
        <w:tc>
          <w:tcPr>
            <w:tcW w:w="737" w:type="dxa"/>
            <w:tcBorders>
              <w:bottom w:val="nil"/>
            </w:tcBorders>
            <w:noWrap/>
            <w:vAlign w:val="center"/>
            <w:hideMark/>
          </w:tcPr>
          <w:p w14:paraId="15356C7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</w:t>
            </w:r>
          </w:p>
        </w:tc>
        <w:tc>
          <w:tcPr>
            <w:tcW w:w="1020" w:type="dxa"/>
            <w:tcBorders>
              <w:bottom w:val="nil"/>
            </w:tcBorders>
            <w:noWrap/>
            <w:vAlign w:val="center"/>
            <w:hideMark/>
          </w:tcPr>
          <w:p w14:paraId="3D8F20B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0.001</w:t>
            </w:r>
          </w:p>
        </w:tc>
      </w:tr>
      <w:tr w:rsidR="00701294" w:rsidRPr="00B307AD" w14:paraId="49D62CD8" w14:textId="77777777" w:rsidTr="001C1E51">
        <w:trPr>
          <w:trHeight w:val="278"/>
        </w:trPr>
        <w:tc>
          <w:tcPr>
            <w:tcW w:w="14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1CC0F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M3: Strong invariance</w:t>
            </w:r>
          </w:p>
        </w:tc>
        <w:tc>
          <w:tcPr>
            <w:tcW w:w="15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22BCA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79.000(56)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AB7FF2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5852B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0.986</w:t>
            </w:r>
          </w:p>
        </w:tc>
        <w:tc>
          <w:tcPr>
            <w:tcW w:w="8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6ADED2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0.019</w:t>
            </w:r>
          </w:p>
        </w:tc>
        <w:tc>
          <w:tcPr>
            <w:tcW w:w="10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F3071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M3-M2</w:t>
            </w:r>
          </w:p>
        </w:tc>
        <w:tc>
          <w:tcPr>
            <w:tcW w:w="109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64C1C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12.579(8)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6B75E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0.125</w:t>
            </w:r>
          </w:p>
        </w:tc>
        <w:tc>
          <w:tcPr>
            <w:tcW w:w="7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9784C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-0.001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CE6A7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-0.001</w:t>
            </w:r>
          </w:p>
        </w:tc>
      </w:tr>
      <w:tr w:rsidR="00701294" w:rsidRPr="00B307AD" w14:paraId="66FC4CA9" w14:textId="77777777" w:rsidTr="001C1E51">
        <w:trPr>
          <w:trHeight w:val="278"/>
        </w:trPr>
        <w:tc>
          <w:tcPr>
            <w:tcW w:w="14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83325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PA</w:t>
            </w:r>
          </w:p>
        </w:tc>
        <w:tc>
          <w:tcPr>
            <w:tcW w:w="15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2FCFB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4130B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F7D3D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87ECB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925A6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A283A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A2330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8D643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49B04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</w:tr>
      <w:tr w:rsidR="00701294" w:rsidRPr="00B307AD" w14:paraId="52C4CAC7" w14:textId="77777777" w:rsidTr="001C1E51">
        <w:trPr>
          <w:trHeight w:val="278"/>
        </w:trPr>
        <w:tc>
          <w:tcPr>
            <w:tcW w:w="14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15EA6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M1: Configural invariance</w:t>
            </w:r>
          </w:p>
        </w:tc>
        <w:tc>
          <w:tcPr>
            <w:tcW w:w="15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CF3B2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127.000(72)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1E169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56B38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0.980</w:t>
            </w:r>
          </w:p>
        </w:tc>
        <w:tc>
          <w:tcPr>
            <w:tcW w:w="8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32B6E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0.026</w:t>
            </w:r>
          </w:p>
        </w:tc>
        <w:tc>
          <w:tcPr>
            <w:tcW w:w="10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9FD33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761B1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FA8A8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A19EB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535A8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kern w:val="0"/>
                <w:sz w:val="18"/>
                <w:szCs w:val="20"/>
              </w:rPr>
            </w:pPr>
          </w:p>
        </w:tc>
      </w:tr>
      <w:tr w:rsidR="00701294" w:rsidRPr="00B307AD" w14:paraId="5E9ABF16" w14:textId="77777777" w:rsidTr="001C1E51">
        <w:trPr>
          <w:trHeight w:val="278"/>
        </w:trPr>
        <w:tc>
          <w:tcPr>
            <w:tcW w:w="1440" w:type="dxa"/>
            <w:tcBorders>
              <w:top w:val="nil"/>
            </w:tcBorders>
            <w:noWrap/>
            <w:vAlign w:val="center"/>
            <w:hideMark/>
          </w:tcPr>
          <w:p w14:paraId="62A4170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lastRenderedPageBreak/>
              <w:t>M2: Weak invariance</w:t>
            </w:r>
          </w:p>
        </w:tc>
        <w:tc>
          <w:tcPr>
            <w:tcW w:w="1542" w:type="dxa"/>
            <w:tcBorders>
              <w:top w:val="nil"/>
            </w:tcBorders>
            <w:noWrap/>
            <w:vAlign w:val="center"/>
            <w:hideMark/>
          </w:tcPr>
          <w:p w14:paraId="4C1527A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131.470(80)</w:t>
            </w:r>
          </w:p>
        </w:tc>
        <w:tc>
          <w:tcPr>
            <w:tcW w:w="1020" w:type="dxa"/>
            <w:tcBorders>
              <w:top w:val="nil"/>
            </w:tcBorders>
            <w:noWrap/>
            <w:vAlign w:val="center"/>
            <w:hideMark/>
          </w:tcPr>
          <w:p w14:paraId="629E70D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0.987</w:t>
            </w:r>
          </w:p>
        </w:tc>
        <w:tc>
          <w:tcPr>
            <w:tcW w:w="1020" w:type="dxa"/>
            <w:tcBorders>
              <w:top w:val="nil"/>
            </w:tcBorders>
            <w:noWrap/>
            <w:vAlign w:val="center"/>
            <w:hideMark/>
          </w:tcPr>
          <w:p w14:paraId="735C56D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0.982</w:t>
            </w:r>
          </w:p>
        </w:tc>
        <w:tc>
          <w:tcPr>
            <w:tcW w:w="837" w:type="dxa"/>
            <w:tcBorders>
              <w:top w:val="nil"/>
            </w:tcBorders>
            <w:noWrap/>
            <w:vAlign w:val="center"/>
            <w:hideMark/>
          </w:tcPr>
          <w:p w14:paraId="387BD19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0.024</w:t>
            </w:r>
          </w:p>
        </w:tc>
        <w:tc>
          <w:tcPr>
            <w:tcW w:w="1056" w:type="dxa"/>
            <w:tcBorders>
              <w:top w:val="nil"/>
            </w:tcBorders>
            <w:noWrap/>
            <w:vAlign w:val="center"/>
            <w:hideMark/>
          </w:tcPr>
          <w:p w14:paraId="012562B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M2-M1</w:t>
            </w:r>
          </w:p>
        </w:tc>
        <w:tc>
          <w:tcPr>
            <w:tcW w:w="1098" w:type="dxa"/>
            <w:tcBorders>
              <w:top w:val="nil"/>
            </w:tcBorders>
            <w:noWrap/>
            <w:vAlign w:val="center"/>
            <w:hideMark/>
          </w:tcPr>
          <w:p w14:paraId="1248781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5.471(8)</w:t>
            </w:r>
          </w:p>
        </w:tc>
        <w:tc>
          <w:tcPr>
            <w:tcW w:w="737" w:type="dxa"/>
            <w:tcBorders>
              <w:top w:val="nil"/>
            </w:tcBorders>
            <w:noWrap/>
            <w:vAlign w:val="center"/>
            <w:hideMark/>
          </w:tcPr>
          <w:p w14:paraId="01340F5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0.710</w:t>
            </w:r>
          </w:p>
        </w:tc>
        <w:tc>
          <w:tcPr>
            <w:tcW w:w="737" w:type="dxa"/>
            <w:tcBorders>
              <w:top w:val="nil"/>
            </w:tcBorders>
            <w:noWrap/>
            <w:vAlign w:val="center"/>
            <w:hideMark/>
          </w:tcPr>
          <w:p w14:paraId="453DE4D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0.001</w:t>
            </w:r>
          </w:p>
        </w:tc>
        <w:tc>
          <w:tcPr>
            <w:tcW w:w="1020" w:type="dxa"/>
            <w:tcBorders>
              <w:top w:val="nil"/>
            </w:tcBorders>
            <w:noWrap/>
            <w:vAlign w:val="center"/>
            <w:hideMark/>
          </w:tcPr>
          <w:p w14:paraId="72811F4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-0.002</w:t>
            </w:r>
          </w:p>
        </w:tc>
      </w:tr>
      <w:tr w:rsidR="00701294" w:rsidRPr="00B307AD" w14:paraId="38C26ED0" w14:textId="77777777" w:rsidTr="001C1E51">
        <w:trPr>
          <w:trHeight w:val="278"/>
        </w:trPr>
        <w:tc>
          <w:tcPr>
            <w:tcW w:w="1440" w:type="dxa"/>
            <w:noWrap/>
            <w:vAlign w:val="center"/>
            <w:hideMark/>
          </w:tcPr>
          <w:p w14:paraId="71A1A16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M3: Strong invariance</w:t>
            </w:r>
          </w:p>
        </w:tc>
        <w:tc>
          <w:tcPr>
            <w:tcW w:w="1542" w:type="dxa"/>
            <w:noWrap/>
            <w:vAlign w:val="center"/>
            <w:hideMark/>
          </w:tcPr>
          <w:p w14:paraId="60B9FAA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135.451(90)</w:t>
            </w:r>
          </w:p>
        </w:tc>
        <w:tc>
          <w:tcPr>
            <w:tcW w:w="1020" w:type="dxa"/>
            <w:noWrap/>
            <w:vAlign w:val="center"/>
            <w:hideMark/>
          </w:tcPr>
          <w:p w14:paraId="59D0E96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0.988</w:t>
            </w:r>
          </w:p>
        </w:tc>
        <w:tc>
          <w:tcPr>
            <w:tcW w:w="1020" w:type="dxa"/>
            <w:noWrap/>
            <w:vAlign w:val="center"/>
            <w:hideMark/>
          </w:tcPr>
          <w:p w14:paraId="3E96D202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0.987</w:t>
            </w:r>
          </w:p>
        </w:tc>
        <w:tc>
          <w:tcPr>
            <w:tcW w:w="837" w:type="dxa"/>
            <w:noWrap/>
            <w:vAlign w:val="center"/>
            <w:hideMark/>
          </w:tcPr>
          <w:p w14:paraId="3B037C6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0.021</w:t>
            </w:r>
          </w:p>
        </w:tc>
        <w:tc>
          <w:tcPr>
            <w:tcW w:w="1056" w:type="dxa"/>
            <w:noWrap/>
            <w:vAlign w:val="center"/>
            <w:hideMark/>
          </w:tcPr>
          <w:p w14:paraId="0FC867E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M3-M2</w:t>
            </w:r>
          </w:p>
        </w:tc>
        <w:tc>
          <w:tcPr>
            <w:tcW w:w="1098" w:type="dxa"/>
            <w:noWrap/>
            <w:vAlign w:val="center"/>
            <w:hideMark/>
          </w:tcPr>
          <w:p w14:paraId="1647567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3.981(10)</w:t>
            </w:r>
          </w:p>
        </w:tc>
        <w:tc>
          <w:tcPr>
            <w:tcW w:w="737" w:type="dxa"/>
            <w:noWrap/>
            <w:vAlign w:val="center"/>
            <w:hideMark/>
          </w:tcPr>
          <w:p w14:paraId="49CC367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0.948</w:t>
            </w:r>
          </w:p>
        </w:tc>
        <w:tc>
          <w:tcPr>
            <w:tcW w:w="737" w:type="dxa"/>
            <w:noWrap/>
            <w:vAlign w:val="center"/>
            <w:hideMark/>
          </w:tcPr>
          <w:p w14:paraId="3A52786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0.001</w:t>
            </w:r>
          </w:p>
        </w:tc>
        <w:tc>
          <w:tcPr>
            <w:tcW w:w="1020" w:type="dxa"/>
            <w:noWrap/>
            <w:vAlign w:val="center"/>
            <w:hideMark/>
          </w:tcPr>
          <w:p w14:paraId="08E0F27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rPr>
                <w:rFonts w:cs="Times New Roman"/>
                <w:color w:val="000000"/>
                <w:kern w:val="0"/>
                <w:sz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</w:rPr>
              <w:t>-0.003</w:t>
            </w:r>
          </w:p>
        </w:tc>
      </w:tr>
    </w:tbl>
    <w:bookmarkEnd w:id="1"/>
    <w:p w14:paraId="1621E227" w14:textId="554BFFA6" w:rsidR="00701294" w:rsidRPr="002D2903" w:rsidRDefault="00470C87" w:rsidP="00470C87">
      <w:pPr>
        <w:adjustRightInd w:val="0"/>
        <w:snapToGrid w:val="0"/>
        <w:spacing w:line="480" w:lineRule="auto"/>
        <w:ind w:firstLineChars="0" w:firstLine="0"/>
        <w:rPr>
          <w:rFonts w:cs="Times New Roman" w:hint="eastAsia"/>
          <w:b/>
          <w:bCs/>
          <w:sz w:val="18"/>
          <w:szCs w:val="20"/>
        </w:rPr>
      </w:pPr>
      <w:r w:rsidRPr="002D2903">
        <w:rPr>
          <w:rFonts w:cs="Times New Roman"/>
          <w:kern w:val="0"/>
          <w:sz w:val="18"/>
          <w:szCs w:val="18"/>
          <w:lang w:bidi="ar"/>
        </w:rPr>
        <w:t>Note.</w:t>
      </w:r>
      <w:r w:rsidRPr="002D2903">
        <w:rPr>
          <w:rFonts w:cs="Times New Roman" w:hint="eastAsia"/>
          <w:kern w:val="0"/>
          <w:sz w:val="15"/>
          <w:szCs w:val="15"/>
          <w:lang w:bidi="ar"/>
        </w:rPr>
        <w:t xml:space="preserve"> </w:t>
      </w:r>
      <w:r w:rsidRPr="002D2903">
        <w:rPr>
          <w:rFonts w:cs="Times New Roman"/>
          <w:sz w:val="18"/>
          <w:szCs w:val="20"/>
        </w:rPr>
        <w:t>CFI</w:t>
      </w:r>
      <w:r w:rsidRPr="002D2903">
        <w:rPr>
          <w:rFonts w:cs="Times New Roman" w:hint="eastAsia"/>
          <w:sz w:val="18"/>
          <w:szCs w:val="20"/>
        </w:rPr>
        <w:t>=</w:t>
      </w:r>
      <w:r w:rsidRPr="002D2903">
        <w:rPr>
          <w:sz w:val="18"/>
          <w:szCs w:val="20"/>
        </w:rPr>
        <w:t xml:space="preserve"> </w:t>
      </w:r>
      <w:r w:rsidRPr="002D2903">
        <w:rPr>
          <w:rFonts w:cs="Times New Roman"/>
          <w:sz w:val="18"/>
          <w:szCs w:val="20"/>
        </w:rPr>
        <w:t>Comparative Fit Index</w:t>
      </w:r>
      <w:r w:rsidRPr="002D2903">
        <w:rPr>
          <w:rFonts w:cs="Times New Roman" w:hint="eastAsia"/>
          <w:sz w:val="18"/>
          <w:szCs w:val="20"/>
        </w:rPr>
        <w:t xml:space="preserve">; </w:t>
      </w:r>
      <w:r w:rsidR="002D2903" w:rsidRPr="002D2903">
        <w:rPr>
          <w:rFonts w:cs="Times New Roman"/>
          <w:sz w:val="18"/>
          <w:szCs w:val="20"/>
        </w:rPr>
        <w:t>PA=Physical activity; PSC=Physical self-concept</w:t>
      </w:r>
      <w:r w:rsidR="002D2903">
        <w:rPr>
          <w:rFonts w:cs="Times New Roman" w:hint="eastAsia"/>
          <w:sz w:val="18"/>
          <w:szCs w:val="20"/>
        </w:rPr>
        <w:t xml:space="preserve">; </w:t>
      </w:r>
      <w:r w:rsidRPr="002D2903">
        <w:rPr>
          <w:rFonts w:cs="Times New Roman"/>
          <w:sz w:val="18"/>
          <w:szCs w:val="20"/>
        </w:rPr>
        <w:t>TLI</w:t>
      </w:r>
      <w:r w:rsidRPr="002D2903">
        <w:rPr>
          <w:rFonts w:cs="Times New Roman" w:hint="eastAsia"/>
          <w:sz w:val="18"/>
          <w:szCs w:val="20"/>
        </w:rPr>
        <w:t>=</w:t>
      </w:r>
      <w:r w:rsidRPr="002D2903">
        <w:rPr>
          <w:sz w:val="18"/>
          <w:szCs w:val="20"/>
        </w:rPr>
        <w:t xml:space="preserve"> </w:t>
      </w:r>
      <w:r w:rsidRPr="002D2903">
        <w:rPr>
          <w:rFonts w:cs="Times New Roman"/>
          <w:sz w:val="18"/>
          <w:szCs w:val="20"/>
        </w:rPr>
        <w:t>Tucker-Lewis Index</w:t>
      </w:r>
      <w:r w:rsidRPr="002D2903">
        <w:rPr>
          <w:rFonts w:cs="Times New Roman" w:hint="eastAsia"/>
          <w:sz w:val="18"/>
          <w:szCs w:val="20"/>
        </w:rPr>
        <w:t xml:space="preserve">; </w:t>
      </w:r>
      <w:r w:rsidRPr="002D2903">
        <w:rPr>
          <w:rFonts w:cs="Times New Roman"/>
          <w:sz w:val="18"/>
          <w:szCs w:val="20"/>
        </w:rPr>
        <w:t xml:space="preserve">RMSEA </w:t>
      </w:r>
      <w:r w:rsidRPr="002D2903">
        <w:rPr>
          <w:rFonts w:cs="Times New Roman" w:hint="eastAsia"/>
          <w:sz w:val="18"/>
          <w:szCs w:val="20"/>
        </w:rPr>
        <w:t>=</w:t>
      </w:r>
      <w:r w:rsidRPr="002D2903">
        <w:rPr>
          <w:rFonts w:cs="Times New Roman"/>
          <w:sz w:val="18"/>
          <w:szCs w:val="20"/>
        </w:rPr>
        <w:t>Root Mean Square Error of Approximation</w:t>
      </w:r>
      <w:r w:rsidRPr="002D2903">
        <w:rPr>
          <w:rFonts w:cs="Times New Roman" w:hint="eastAsia"/>
          <w:sz w:val="18"/>
          <w:szCs w:val="20"/>
        </w:rPr>
        <w:t xml:space="preserve">; </w:t>
      </w:r>
      <w:r w:rsidRPr="002D2903">
        <w:rPr>
          <w:rFonts w:cs="Times New Roman"/>
          <w:sz w:val="18"/>
          <w:szCs w:val="20"/>
        </w:rPr>
        <w:t>Δχ²SB</w:t>
      </w:r>
      <w:r w:rsidRPr="002D2903">
        <w:rPr>
          <w:rFonts w:cs="Times New Roman" w:hint="eastAsia"/>
          <w:sz w:val="18"/>
          <w:szCs w:val="20"/>
        </w:rPr>
        <w:t>=</w:t>
      </w:r>
      <w:r w:rsidRPr="002D2903">
        <w:rPr>
          <w:rFonts w:cs="Times New Roman"/>
          <w:sz w:val="18"/>
          <w:szCs w:val="20"/>
        </w:rPr>
        <w:t>Satorra-Bentler chi-square</w:t>
      </w:r>
    </w:p>
    <w:p w14:paraId="1757D21A" w14:textId="77777777" w:rsidR="002F279F" w:rsidRDefault="002F279F" w:rsidP="00701294">
      <w:pPr>
        <w:keepNext/>
        <w:adjustRightInd w:val="0"/>
        <w:snapToGrid w:val="0"/>
        <w:spacing w:line="480" w:lineRule="auto"/>
        <w:ind w:firstLineChars="0" w:firstLine="0"/>
        <w:jc w:val="center"/>
      </w:pPr>
    </w:p>
    <w:p w14:paraId="371ECCD0" w14:textId="496A7C56" w:rsidR="005448D4" w:rsidRDefault="005448D4" w:rsidP="005448D4">
      <w:pPr>
        <w:keepNext/>
        <w:adjustRightInd w:val="0"/>
        <w:snapToGrid w:val="0"/>
        <w:spacing w:line="480" w:lineRule="auto"/>
        <w:ind w:firstLineChars="0" w:firstLine="0"/>
        <w:rPr>
          <w:rFonts w:cs="Times New Roman"/>
        </w:rPr>
      </w:pPr>
      <w:r w:rsidRPr="00701294">
        <w:rPr>
          <w:rFonts w:cs="Times New Roman"/>
        </w:rPr>
        <w:t xml:space="preserve">Table </w:t>
      </w:r>
      <w:r>
        <w:rPr>
          <w:rFonts w:cs="Times New Roman" w:hint="eastAsia"/>
        </w:rPr>
        <w:t>S2</w:t>
      </w:r>
      <w:r w:rsidRPr="001929AF">
        <w:rPr>
          <w:rFonts w:cs="Times New Roman"/>
        </w:rPr>
        <w:tab/>
        <w:t xml:space="preserve">Fit Indices for RI-CLPM, Model Comparisons, and Tests of Gender Differences </w:t>
      </w:r>
    </w:p>
    <w:p w14:paraId="0E71999D" w14:textId="3C0F4DAA" w:rsidR="005448D4" w:rsidRPr="005448D4" w:rsidRDefault="005448D4" w:rsidP="005448D4">
      <w:pPr>
        <w:adjustRightInd w:val="0"/>
        <w:snapToGrid w:val="0"/>
        <w:spacing w:line="480" w:lineRule="auto"/>
        <w:ind w:firstLine="420"/>
        <w:rPr>
          <w:rFonts w:cs="Times New Roman"/>
        </w:rPr>
      </w:pPr>
      <w:r>
        <w:rPr>
          <w:rFonts w:cs="Times New Roman"/>
        </w:rPr>
        <w:t>The fit indices and model comparisons for the R</w:t>
      </w:r>
      <w:r>
        <w:rPr>
          <w:rFonts w:cs="Times New Roman" w:hint="eastAsia"/>
        </w:rPr>
        <w:t>I</w:t>
      </w:r>
      <w:r>
        <w:rPr>
          <w:rFonts w:cs="Times New Roman"/>
        </w:rPr>
        <w:t xml:space="preserve">-CLPM of PSC, PA avoidance, and PA </w:t>
      </w:r>
      <w:r>
        <w:rPr>
          <w:rFonts w:cs="Times New Roman" w:hint="eastAsia"/>
        </w:rPr>
        <w:t>we</w:t>
      </w:r>
      <w:r>
        <w:rPr>
          <w:rFonts w:cs="Times New Roman"/>
        </w:rPr>
        <w:t xml:space="preserve">re presented in Table </w:t>
      </w:r>
      <w:r>
        <w:rPr>
          <w:rFonts w:cs="Times New Roman" w:hint="eastAsia"/>
        </w:rPr>
        <w:t>S2</w:t>
      </w:r>
      <w:r>
        <w:rPr>
          <w:rFonts w:cs="Times New Roman"/>
        </w:rPr>
        <w:t xml:space="preserve">. </w:t>
      </w:r>
      <w:bookmarkStart w:id="2" w:name="OLE_LINK40"/>
      <w:r>
        <w:rPr>
          <w:rFonts w:cs="Times New Roman" w:hint="eastAsia"/>
        </w:rPr>
        <w:t>R</w:t>
      </w:r>
      <w:r>
        <w:rPr>
          <w:rFonts w:cs="Times New Roman"/>
        </w:rPr>
        <w:t>esults showed that all specified models</w:t>
      </w:r>
      <w:r>
        <w:rPr>
          <w:rFonts w:cs="Times New Roman" w:hint="eastAsia"/>
        </w:rPr>
        <w:t xml:space="preserve"> demonstrated acceptable </w:t>
      </w:r>
      <w:r>
        <w:rPr>
          <w:rFonts w:cs="Times New Roman"/>
        </w:rPr>
        <w:t>fit</w:t>
      </w:r>
      <w:r>
        <w:rPr>
          <w:rFonts w:cs="Times New Roman" w:hint="eastAsia"/>
        </w:rPr>
        <w:t>. Furthermore, c</w:t>
      </w:r>
      <w:r>
        <w:rPr>
          <w:rFonts w:cs="Times New Roman"/>
        </w:rPr>
        <w:t xml:space="preserve">onstraining </w:t>
      </w:r>
      <w:r>
        <w:rPr>
          <w:rFonts w:cs="Times New Roman" w:hint="eastAsia"/>
        </w:rPr>
        <w:t xml:space="preserve">the </w:t>
      </w:r>
      <w:r>
        <w:rPr>
          <w:rFonts w:cs="Times New Roman"/>
        </w:rPr>
        <w:t xml:space="preserve">autoregressive and cross-lagged paths </w:t>
      </w:r>
      <w:r>
        <w:rPr>
          <w:rFonts w:cs="Times New Roman" w:hint="eastAsia"/>
        </w:rPr>
        <w:t>to equality across time points</w:t>
      </w:r>
      <w:r>
        <w:rPr>
          <w:rFonts w:cs="Times New Roman"/>
        </w:rPr>
        <w:t xml:space="preserve"> did not </w:t>
      </w:r>
      <w:r>
        <w:rPr>
          <w:rFonts w:cs="Times New Roman" w:hint="eastAsia"/>
        </w:rPr>
        <w:t>result in</w:t>
      </w:r>
      <w:r>
        <w:rPr>
          <w:rFonts w:cs="Times New Roman"/>
        </w:rPr>
        <w:t xml:space="preserve"> a significant deterioration in model fit. </w:t>
      </w:r>
      <w:bookmarkEnd w:id="2"/>
      <w:r>
        <w:rPr>
          <w:rFonts w:cs="Times New Roman"/>
        </w:rPr>
        <w:t xml:space="preserve">Therefore, the more </w:t>
      </w:r>
      <w:r>
        <w:rPr>
          <w:rFonts w:cs="Times New Roman" w:hint="eastAsia"/>
        </w:rPr>
        <w:t>concise</w:t>
      </w:r>
      <w:r>
        <w:rPr>
          <w:rFonts w:cs="Times New Roman"/>
        </w:rPr>
        <w:t xml:space="preserve"> model</w:t>
      </w:r>
      <w:r>
        <w:rPr>
          <w:rFonts w:cs="Times New Roman" w:hint="eastAsia"/>
        </w:rPr>
        <w:t xml:space="preserve"> 2</w:t>
      </w:r>
      <w:r>
        <w:rPr>
          <w:rFonts w:cs="Times New Roman"/>
        </w:rPr>
        <w:t xml:space="preserve"> was selected as the </w:t>
      </w:r>
      <w:r>
        <w:rPr>
          <w:rFonts w:cs="Times New Roman" w:hint="eastAsia"/>
        </w:rPr>
        <w:t>final</w:t>
      </w:r>
      <w:r>
        <w:rPr>
          <w:rFonts w:cs="Times New Roman"/>
        </w:rPr>
        <w:t xml:space="preserve"> model </w:t>
      </w:r>
      <w:r>
        <w:rPr>
          <w:rFonts w:cs="Times New Roman" w:hint="eastAsia"/>
        </w:rPr>
        <w:t>to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 xml:space="preserve">explain </w:t>
      </w:r>
      <w:r>
        <w:rPr>
          <w:rFonts w:cs="Times New Roman"/>
        </w:rPr>
        <w:t>the dynamic relations</w:t>
      </w:r>
      <w:r>
        <w:rPr>
          <w:rFonts w:cs="Times New Roman" w:hint="eastAsia"/>
        </w:rPr>
        <w:t>hips</w:t>
      </w:r>
      <w:r>
        <w:rPr>
          <w:rFonts w:cs="Times New Roman"/>
        </w:rPr>
        <w:t xml:space="preserve"> among the three variables (χ² = 2469.313, df = 1391, CFI = 0.944, TLI = 0.943, RMSEA = 0.026).</w:t>
      </w:r>
      <w:r>
        <w:t xml:space="preserve"> </w:t>
      </w:r>
    </w:p>
    <w:p w14:paraId="37459698" w14:textId="18ED71EA" w:rsidR="00701294" w:rsidRPr="00B307AD" w:rsidRDefault="00701294" w:rsidP="00701294">
      <w:pPr>
        <w:keepNext/>
        <w:adjustRightInd w:val="0"/>
        <w:snapToGrid w:val="0"/>
        <w:spacing w:line="480" w:lineRule="auto"/>
        <w:ind w:firstLineChars="0" w:firstLine="0"/>
        <w:jc w:val="center"/>
        <w:rPr>
          <w:rFonts w:cs="Times New Roman"/>
        </w:rPr>
      </w:pPr>
      <w:r w:rsidRPr="00701294">
        <w:rPr>
          <w:rFonts w:cs="Times New Roman"/>
        </w:rPr>
        <w:t xml:space="preserve">Table </w:t>
      </w:r>
      <w:r w:rsidR="001929AF">
        <w:rPr>
          <w:rFonts w:cs="Times New Roman" w:hint="eastAsia"/>
        </w:rPr>
        <w:t>S</w:t>
      </w:r>
      <w:r>
        <w:rPr>
          <w:rFonts w:cs="Times New Roman" w:hint="eastAsia"/>
        </w:rPr>
        <w:t>2</w:t>
      </w:r>
      <w:r w:rsidRPr="00B307AD">
        <w:rPr>
          <w:rFonts w:cs="Times New Roman"/>
        </w:rPr>
        <w:t xml:space="preserve"> Fit Indices for </w:t>
      </w:r>
      <w:r w:rsidRPr="00701294">
        <w:rPr>
          <w:rFonts w:cs="Times New Roman"/>
        </w:rPr>
        <w:t>RI-CLPM</w:t>
      </w:r>
      <w:r w:rsidRPr="00B307AD">
        <w:rPr>
          <w:rFonts w:cs="Times New Roman"/>
        </w:rPr>
        <w:t>, Model Comparisons, and Tests of Gender Differences (N=1162)</w:t>
      </w:r>
      <w:r w:rsidRPr="00B307AD">
        <w:rPr>
          <w:rFonts w:cs="Times New Roman" w:hint="eastAsia"/>
        </w:rPr>
        <w:t xml:space="preserve"> </w:t>
      </w:r>
    </w:p>
    <w:tbl>
      <w:tblPr>
        <w:tblW w:w="10944" w:type="dxa"/>
        <w:jc w:val="center"/>
        <w:tblLook w:val="04A0" w:firstRow="1" w:lastRow="0" w:firstColumn="1" w:lastColumn="0" w:noHBand="0" w:noVBand="1"/>
      </w:tblPr>
      <w:tblGrid>
        <w:gridCol w:w="1440"/>
        <w:gridCol w:w="1230"/>
        <w:gridCol w:w="1020"/>
        <w:gridCol w:w="1020"/>
        <w:gridCol w:w="1020"/>
        <w:gridCol w:w="1056"/>
        <w:gridCol w:w="1098"/>
        <w:gridCol w:w="1020"/>
        <w:gridCol w:w="1020"/>
        <w:gridCol w:w="1020"/>
      </w:tblGrid>
      <w:tr w:rsidR="00701294" w:rsidRPr="00B307AD" w14:paraId="01F04020" w14:textId="77777777" w:rsidTr="001C1E51">
        <w:trPr>
          <w:trHeight w:val="278"/>
          <w:tblHeader/>
          <w:jc w:val="center"/>
        </w:trPr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bottom"/>
            <w:hideMark/>
          </w:tcPr>
          <w:p w14:paraId="03AF084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CDD7B6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  <w:szCs w:val="18"/>
              </w:rPr>
              <w:t>χ2(df)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7D543E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CFI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1B9A515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TLI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A2ED2A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RMSEA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153B03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  <w:szCs w:val="18"/>
              </w:rPr>
              <w:t>Model comparison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29C61F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Δχ2SB(Δ</w:t>
            </w:r>
            <w:r w:rsidRPr="00B307AD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df</w:t>
            </w: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466D96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p 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8AE553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  <w:szCs w:val="18"/>
              </w:rPr>
              <w:t>ΔCFI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30856A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cs="Times New Roman"/>
                <w:color w:val="000000"/>
                <w:kern w:val="0"/>
                <w:sz w:val="18"/>
                <w:szCs w:val="18"/>
              </w:rPr>
              <w:t>ΔRMSEA</w:t>
            </w:r>
          </w:p>
        </w:tc>
      </w:tr>
      <w:tr w:rsidR="00701294" w:rsidRPr="00B307AD" w14:paraId="33473E95" w14:textId="77777777" w:rsidTr="001C1E51">
        <w:trPr>
          <w:trHeight w:val="278"/>
          <w:jc w:val="center"/>
        </w:trPr>
        <w:tc>
          <w:tcPr>
            <w:tcW w:w="573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8B2BC" w14:textId="6FBF65DB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01294"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  <w:t>RI-CLPM</w:t>
            </w:r>
            <w:r w:rsidRPr="00B307AD">
              <w:rPr>
                <w:rFonts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of PSC, PA avoidance, and PA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DCF7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CA15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60DF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1F57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306C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01294" w:rsidRPr="00B307AD" w14:paraId="30C21F84" w14:textId="77777777" w:rsidTr="001C1E51">
        <w:trPr>
          <w:trHeight w:val="278"/>
          <w:jc w:val="center"/>
        </w:trPr>
        <w:tc>
          <w:tcPr>
            <w:tcW w:w="47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8A88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M1: Unconstrained model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5368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AA95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E906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74CB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6B4E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743D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01294" w:rsidRPr="00B307AD" w14:paraId="36E28968" w14:textId="77777777" w:rsidTr="001C1E51">
        <w:trPr>
          <w:trHeight w:val="465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FDC5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4400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2466.802 (1388)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9519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E4A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CB4B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E508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37E9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D42C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80F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D521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01294" w:rsidRPr="00B307AD" w14:paraId="04B470E8" w14:textId="77777777" w:rsidTr="001C1E51">
        <w:trPr>
          <w:trHeight w:val="278"/>
          <w:jc w:val="center"/>
        </w:trPr>
        <w:tc>
          <w:tcPr>
            <w:tcW w:w="678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E20D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M2: Autoregressive and cross-lagged paths constrained to be equal across 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EAB9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90D9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AC52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B241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701294" w:rsidRPr="00B307AD" w14:paraId="0DD9BDF7" w14:textId="77777777" w:rsidTr="001C1E51">
        <w:trPr>
          <w:trHeight w:val="465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C330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D3BC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2469.313 (1391)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A09C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90C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E0EE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E3BC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M2-M1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86AA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2.511 (3)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F8FC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CD29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6BA6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701294" w:rsidRPr="00B307AD" w14:paraId="0E89BB2B" w14:textId="77777777" w:rsidTr="001C1E51">
        <w:trPr>
          <w:trHeight w:val="465"/>
          <w:jc w:val="center"/>
        </w:trPr>
        <w:tc>
          <w:tcPr>
            <w:tcW w:w="47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9573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cs="Times New Roman"/>
                <w:b/>
                <w:bCs/>
                <w:kern w:val="0"/>
                <w:sz w:val="20"/>
                <w:szCs w:val="20"/>
              </w:rPr>
              <w:t>Test of gender differences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3B271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194C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4AC1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BEC5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69F9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569D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01294" w:rsidRPr="00B307AD" w14:paraId="25F5E7B6" w14:textId="77777777" w:rsidTr="001C1E51">
        <w:trPr>
          <w:trHeight w:val="465"/>
          <w:jc w:val="center"/>
        </w:trPr>
        <w:tc>
          <w:tcPr>
            <w:tcW w:w="57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E203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M3: Unconstrained multigroup model (by 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77FC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ECBCB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CE8F0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10FE2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B42F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01294" w:rsidRPr="00B307AD" w14:paraId="716661C5" w14:textId="77777777" w:rsidTr="001C1E51">
        <w:trPr>
          <w:trHeight w:val="465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6F7FF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4EB6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4599.091 (2514)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761E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3971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7FB5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2E67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14319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7C8F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545A8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E120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01294" w:rsidRPr="00B307AD" w14:paraId="2403BB12" w14:textId="77777777" w:rsidTr="001C1E51">
        <w:trPr>
          <w:trHeight w:val="465"/>
          <w:jc w:val="center"/>
        </w:trPr>
        <w:tc>
          <w:tcPr>
            <w:tcW w:w="78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1AA7D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M4: Autoregressive and cross-lagged paths constrained to be equal across time in both 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groups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67B3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1C5E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2B983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01294" w:rsidRPr="00B307AD" w14:paraId="49180FAC" w14:textId="77777777" w:rsidTr="001C1E51">
        <w:trPr>
          <w:trHeight w:val="465"/>
          <w:jc w:val="center"/>
        </w:trPr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2C6B4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1C05B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4601.542 (2521)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141A8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4B10E6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D42F8E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3138EC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M4-M3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618395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2.451 (7)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01E0C4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189FCA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B6C107" w14:textId="77777777" w:rsidR="00701294" w:rsidRPr="00B307AD" w:rsidRDefault="00701294" w:rsidP="001C1E51">
            <w:pPr>
              <w:widowControl/>
              <w:adjustRightInd w:val="0"/>
              <w:snapToGrid w:val="0"/>
              <w:spacing w:line="48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B307AD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66F7DE9C" w14:textId="77777777" w:rsidR="002D2903" w:rsidRPr="002D2903" w:rsidRDefault="002D2903" w:rsidP="002D2903">
      <w:pPr>
        <w:adjustRightInd w:val="0"/>
        <w:snapToGrid w:val="0"/>
        <w:spacing w:line="480" w:lineRule="auto"/>
        <w:ind w:firstLineChars="0" w:firstLine="0"/>
        <w:rPr>
          <w:rFonts w:cs="Times New Roman" w:hint="eastAsia"/>
          <w:b/>
          <w:bCs/>
          <w:sz w:val="18"/>
          <w:szCs w:val="20"/>
        </w:rPr>
      </w:pPr>
      <w:r w:rsidRPr="002D2903">
        <w:rPr>
          <w:rFonts w:cs="Times New Roman"/>
          <w:kern w:val="0"/>
          <w:sz w:val="18"/>
          <w:szCs w:val="18"/>
          <w:lang w:bidi="ar"/>
        </w:rPr>
        <w:t>Note.</w:t>
      </w:r>
      <w:r w:rsidRPr="002D2903">
        <w:rPr>
          <w:rFonts w:cs="Times New Roman" w:hint="eastAsia"/>
          <w:kern w:val="0"/>
          <w:sz w:val="15"/>
          <w:szCs w:val="15"/>
          <w:lang w:bidi="ar"/>
        </w:rPr>
        <w:t xml:space="preserve"> </w:t>
      </w:r>
      <w:r w:rsidRPr="002D2903">
        <w:rPr>
          <w:rFonts w:cs="Times New Roman"/>
          <w:sz w:val="18"/>
          <w:szCs w:val="20"/>
        </w:rPr>
        <w:t>CFI</w:t>
      </w:r>
      <w:r w:rsidRPr="002D2903">
        <w:rPr>
          <w:rFonts w:cs="Times New Roman" w:hint="eastAsia"/>
          <w:sz w:val="18"/>
          <w:szCs w:val="20"/>
        </w:rPr>
        <w:t>=</w:t>
      </w:r>
      <w:r w:rsidRPr="002D2903">
        <w:rPr>
          <w:sz w:val="18"/>
          <w:szCs w:val="20"/>
        </w:rPr>
        <w:t xml:space="preserve"> </w:t>
      </w:r>
      <w:r w:rsidRPr="002D2903">
        <w:rPr>
          <w:rFonts w:cs="Times New Roman"/>
          <w:sz w:val="18"/>
          <w:szCs w:val="20"/>
        </w:rPr>
        <w:t>Comparative Fit Index</w:t>
      </w:r>
      <w:r w:rsidRPr="002D2903">
        <w:rPr>
          <w:rFonts w:cs="Times New Roman" w:hint="eastAsia"/>
          <w:sz w:val="18"/>
          <w:szCs w:val="20"/>
        </w:rPr>
        <w:t xml:space="preserve">; </w:t>
      </w:r>
      <w:r w:rsidRPr="002D2903">
        <w:rPr>
          <w:rFonts w:cs="Times New Roman"/>
          <w:sz w:val="18"/>
          <w:szCs w:val="20"/>
        </w:rPr>
        <w:t>PA=Physical activity; PSC=Physical self-concept</w:t>
      </w:r>
      <w:r>
        <w:rPr>
          <w:rFonts w:cs="Times New Roman" w:hint="eastAsia"/>
          <w:sz w:val="18"/>
          <w:szCs w:val="20"/>
        </w:rPr>
        <w:t xml:space="preserve">; </w:t>
      </w:r>
      <w:r w:rsidRPr="002D2903">
        <w:rPr>
          <w:rFonts w:cs="Times New Roman"/>
          <w:sz w:val="18"/>
          <w:szCs w:val="20"/>
        </w:rPr>
        <w:t>TLI</w:t>
      </w:r>
      <w:r w:rsidRPr="002D2903">
        <w:rPr>
          <w:rFonts w:cs="Times New Roman" w:hint="eastAsia"/>
          <w:sz w:val="18"/>
          <w:szCs w:val="20"/>
        </w:rPr>
        <w:t>=</w:t>
      </w:r>
      <w:r w:rsidRPr="002D2903">
        <w:rPr>
          <w:sz w:val="18"/>
          <w:szCs w:val="20"/>
        </w:rPr>
        <w:t xml:space="preserve"> </w:t>
      </w:r>
      <w:r w:rsidRPr="002D2903">
        <w:rPr>
          <w:rFonts w:cs="Times New Roman"/>
          <w:sz w:val="18"/>
          <w:szCs w:val="20"/>
        </w:rPr>
        <w:t>Tucker-Lewis Index</w:t>
      </w:r>
      <w:r w:rsidRPr="002D2903">
        <w:rPr>
          <w:rFonts w:cs="Times New Roman" w:hint="eastAsia"/>
          <w:sz w:val="18"/>
          <w:szCs w:val="20"/>
        </w:rPr>
        <w:t xml:space="preserve">; </w:t>
      </w:r>
      <w:r w:rsidRPr="002D2903">
        <w:rPr>
          <w:rFonts w:cs="Times New Roman"/>
          <w:sz w:val="18"/>
          <w:szCs w:val="20"/>
        </w:rPr>
        <w:t xml:space="preserve">RMSEA </w:t>
      </w:r>
      <w:r w:rsidRPr="002D2903">
        <w:rPr>
          <w:rFonts w:cs="Times New Roman" w:hint="eastAsia"/>
          <w:sz w:val="18"/>
          <w:szCs w:val="20"/>
        </w:rPr>
        <w:t>=</w:t>
      </w:r>
      <w:r w:rsidRPr="002D2903">
        <w:rPr>
          <w:rFonts w:cs="Times New Roman"/>
          <w:sz w:val="18"/>
          <w:szCs w:val="20"/>
        </w:rPr>
        <w:t>Root Mean Square Error of Approximation</w:t>
      </w:r>
      <w:r w:rsidRPr="002D2903">
        <w:rPr>
          <w:rFonts w:cs="Times New Roman" w:hint="eastAsia"/>
          <w:sz w:val="18"/>
          <w:szCs w:val="20"/>
        </w:rPr>
        <w:t xml:space="preserve">; </w:t>
      </w:r>
      <w:r w:rsidRPr="002D2903">
        <w:rPr>
          <w:rFonts w:cs="Times New Roman"/>
          <w:sz w:val="18"/>
          <w:szCs w:val="20"/>
        </w:rPr>
        <w:t>Δχ²SB</w:t>
      </w:r>
      <w:r w:rsidRPr="002D2903">
        <w:rPr>
          <w:rFonts w:cs="Times New Roman" w:hint="eastAsia"/>
          <w:sz w:val="18"/>
          <w:szCs w:val="20"/>
        </w:rPr>
        <w:t>=</w:t>
      </w:r>
      <w:r w:rsidRPr="002D2903">
        <w:rPr>
          <w:rFonts w:cs="Times New Roman"/>
          <w:sz w:val="18"/>
          <w:szCs w:val="20"/>
        </w:rPr>
        <w:t>Satorra-Bentler chi-square</w:t>
      </w:r>
    </w:p>
    <w:p w14:paraId="3B1E0311" w14:textId="6CED56FD" w:rsidR="00701294" w:rsidRPr="002D2903" w:rsidRDefault="00701294" w:rsidP="00334D6C">
      <w:pPr>
        <w:adjustRightInd w:val="0"/>
        <w:snapToGrid w:val="0"/>
        <w:spacing w:line="480" w:lineRule="auto"/>
        <w:ind w:firstLineChars="0" w:firstLine="0"/>
        <w:rPr>
          <w:rFonts w:cs="Times New Roman"/>
          <w:b/>
          <w:bCs/>
        </w:rPr>
      </w:pPr>
    </w:p>
    <w:sectPr w:rsidR="00701294" w:rsidRPr="002D2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55F48" w14:textId="77777777" w:rsidR="00DD3EAE" w:rsidRDefault="00DD3EAE" w:rsidP="00701294">
      <w:pPr>
        <w:spacing w:line="240" w:lineRule="auto"/>
        <w:ind w:firstLine="420"/>
      </w:pPr>
      <w:r>
        <w:separator/>
      </w:r>
    </w:p>
  </w:endnote>
  <w:endnote w:type="continuationSeparator" w:id="0">
    <w:p w14:paraId="75C46B92" w14:textId="77777777" w:rsidR="00DD3EAE" w:rsidRDefault="00DD3EAE" w:rsidP="0070129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2206" w14:textId="77777777" w:rsidR="001929AF" w:rsidRDefault="001929AF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F916" w14:textId="77777777" w:rsidR="001929AF" w:rsidRDefault="001929AF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31242" w14:textId="77777777" w:rsidR="001929AF" w:rsidRDefault="001929AF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0E04" w14:textId="77777777" w:rsidR="00DD3EAE" w:rsidRDefault="00DD3EAE" w:rsidP="00701294">
      <w:pPr>
        <w:spacing w:line="240" w:lineRule="auto"/>
        <w:ind w:firstLine="420"/>
      </w:pPr>
      <w:r>
        <w:separator/>
      </w:r>
    </w:p>
  </w:footnote>
  <w:footnote w:type="continuationSeparator" w:id="0">
    <w:p w14:paraId="21A8D715" w14:textId="77777777" w:rsidR="00DD3EAE" w:rsidRDefault="00DD3EAE" w:rsidP="0070129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D3BD" w14:textId="77777777" w:rsidR="001929AF" w:rsidRDefault="001929AF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E56B" w14:textId="77777777" w:rsidR="001929AF" w:rsidRDefault="001929AF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53D6" w14:textId="77777777" w:rsidR="001929AF" w:rsidRDefault="001929AF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E2EB2"/>
    <w:multiLevelType w:val="multilevel"/>
    <w:tmpl w:val="409E2E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59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80"/>
    <w:rsid w:val="00000B43"/>
    <w:rsid w:val="00065C4E"/>
    <w:rsid w:val="001929AF"/>
    <w:rsid w:val="0027166E"/>
    <w:rsid w:val="002D2903"/>
    <w:rsid w:val="002F279F"/>
    <w:rsid w:val="00334D6C"/>
    <w:rsid w:val="00353052"/>
    <w:rsid w:val="00386875"/>
    <w:rsid w:val="003F2458"/>
    <w:rsid w:val="00470C87"/>
    <w:rsid w:val="004E7444"/>
    <w:rsid w:val="005448D4"/>
    <w:rsid w:val="00681546"/>
    <w:rsid w:val="00701294"/>
    <w:rsid w:val="0089636F"/>
    <w:rsid w:val="00A26EBC"/>
    <w:rsid w:val="00A4452E"/>
    <w:rsid w:val="00D53163"/>
    <w:rsid w:val="00D80A80"/>
    <w:rsid w:val="00D848AB"/>
    <w:rsid w:val="00DD3EAE"/>
    <w:rsid w:val="00F129B0"/>
    <w:rsid w:val="00F8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240D8"/>
  <w15:chartTrackingRefBased/>
  <w15:docId w15:val="{C392D6B4-02CB-4ACF-ABAF-FEEE7352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294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D80A80"/>
    <w:pPr>
      <w:keepNext/>
      <w:keepLines/>
      <w:spacing w:before="480" w:after="80" w:line="240" w:lineRule="auto"/>
      <w:ind w:firstLineChars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A80"/>
    <w:pPr>
      <w:keepNext/>
      <w:keepLines/>
      <w:spacing w:before="160" w:after="80" w:line="240" w:lineRule="auto"/>
      <w:ind w:firstLineChars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A80"/>
    <w:pPr>
      <w:keepNext/>
      <w:keepLines/>
      <w:spacing w:before="160" w:after="80" w:line="240" w:lineRule="auto"/>
      <w:ind w:firstLineChars="0" w:firstLine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A80"/>
    <w:pPr>
      <w:keepNext/>
      <w:keepLines/>
      <w:spacing w:before="80" w:after="40" w:line="240" w:lineRule="auto"/>
      <w:ind w:firstLineChars="0" w:firstLine="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A80"/>
    <w:pPr>
      <w:keepNext/>
      <w:keepLines/>
      <w:spacing w:before="80" w:after="40" w:line="240" w:lineRule="auto"/>
      <w:ind w:firstLineChars="0" w:firstLine="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A80"/>
    <w:pPr>
      <w:keepNext/>
      <w:keepLines/>
      <w:spacing w:before="40" w:line="240" w:lineRule="auto"/>
      <w:ind w:firstLineChars="0" w:firstLine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A80"/>
    <w:pPr>
      <w:keepNext/>
      <w:keepLines/>
      <w:spacing w:before="40" w:line="240" w:lineRule="auto"/>
      <w:ind w:firstLineChars="0"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A80"/>
    <w:pPr>
      <w:keepNext/>
      <w:keepLines/>
      <w:spacing w:line="240" w:lineRule="auto"/>
      <w:ind w:firstLineChars="0" w:firstLine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A80"/>
    <w:pPr>
      <w:keepNext/>
      <w:keepLines/>
      <w:spacing w:line="240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A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80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80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80A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80A8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80A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80A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80A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80A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80A80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80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A80"/>
    <w:pPr>
      <w:numPr>
        <w:ilvl w:val="1"/>
      </w:numPr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80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0A80"/>
    <w:pPr>
      <w:spacing w:before="160" w:after="160" w:line="240" w:lineRule="auto"/>
      <w:ind w:firstLineChars="0" w:firstLine="0"/>
      <w:jc w:val="center"/>
    </w:pPr>
    <w:rPr>
      <w:rFonts w:asciiTheme="minorHAnsi" w:eastAsiaTheme="minorEastAsia" w:hAnsiTheme="minorHAns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80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0A80"/>
    <w:pPr>
      <w:spacing w:line="240" w:lineRule="auto"/>
      <w:ind w:left="720" w:firstLineChars="0" w:firstLine="0"/>
      <w:contextualSpacing/>
    </w:pPr>
    <w:rPr>
      <w:rFonts w:asciiTheme="minorHAnsi" w:eastAsiaTheme="minorEastAsia" w:hAnsiTheme="minorHAnsi"/>
    </w:rPr>
  </w:style>
  <w:style w:type="character" w:styleId="aa">
    <w:name w:val="Intense Emphasis"/>
    <w:basedOn w:val="a0"/>
    <w:uiPriority w:val="21"/>
    <w:qFormat/>
    <w:rsid w:val="00D80A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0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Chars="0" w:firstLine="0"/>
      <w:jc w:val="center"/>
    </w:pPr>
    <w:rPr>
      <w:rFonts w:asciiTheme="minorHAnsi" w:eastAsiaTheme="minorEastAsia" w:hAnsiTheme="minorHAns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80A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0A8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01294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012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01294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012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Bo-wen LI</dc:creator>
  <cp:keywords/>
  <dc:description/>
  <cp:lastModifiedBy>Bo-wen LI</cp:lastModifiedBy>
  <cp:revision>42</cp:revision>
  <dcterms:created xsi:type="dcterms:W3CDTF">2026-06-21T07:53:00Z</dcterms:created>
  <dcterms:modified xsi:type="dcterms:W3CDTF">2026-06-23T08:56:00Z</dcterms:modified>
</cp:coreProperties>
</file>