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95BA0">
      <w:pPr>
        <w:jc w:val="both"/>
        <w:rPr>
          <w:rFonts w:ascii="Times New Roman" w:hAnsi="Times New Roman"/>
          <w:b/>
          <w:bCs/>
          <w:sz w:val="20"/>
          <w:szCs w:val="20"/>
        </w:rPr>
      </w:pPr>
      <w:r>
        <w:rPr>
          <w:rFonts w:hint="eastAsia" w:ascii="Times New Roman" w:hAnsi="Times New Roman"/>
          <w:b/>
          <w:bCs/>
          <w:sz w:val="20"/>
          <w:szCs w:val="20"/>
          <w:lang w:val="en-US" w:eastAsia="zh-CN"/>
        </w:rPr>
        <w:t>Additional file 1</w:t>
      </w:r>
      <w:r>
        <w:rPr>
          <w:rFonts w:hint="eastAsia" w:ascii="Times New Roman" w:hAnsi="Times New Roman"/>
          <w:b/>
          <w:bCs/>
          <w:sz w:val="20"/>
          <w:szCs w:val="20"/>
        </w:rPr>
        <w:t xml:space="preserve">. </w:t>
      </w:r>
      <w:r>
        <w:rPr>
          <w:rFonts w:hint="eastAsia" w:ascii="Times New Roman" w:hAnsi="Times New Roman"/>
          <w:sz w:val="20"/>
          <w:szCs w:val="20"/>
        </w:rPr>
        <w:t>Estimation of mortality attributable to ambient PM</w:t>
      </w:r>
      <w:r>
        <w:rPr>
          <w:rFonts w:hint="eastAsia" w:ascii="Times New Roman" w:hAnsi="Times New Roman"/>
          <w:sz w:val="20"/>
          <w:szCs w:val="20"/>
          <w:vertAlign w:val="subscript"/>
        </w:rPr>
        <w:t>2.5</w:t>
      </w:r>
      <w:r>
        <w:rPr>
          <w:rFonts w:hint="eastAsia" w:ascii="Times New Roman" w:hAnsi="Times New Roman"/>
          <w:sz w:val="20"/>
          <w:szCs w:val="20"/>
        </w:rPr>
        <w:t xml:space="preserve"> and human greenspace </w:t>
      </w:r>
      <w:r>
        <w:rPr>
          <w:rFonts w:hint="eastAsia" w:ascii="Times New Roman" w:hAnsi="Times New Roman"/>
          <w:sz w:val="20"/>
          <w:szCs w:val="20"/>
          <w:lang w:val="en-US" w:eastAsia="zh-CN"/>
        </w:rPr>
        <w:t>access</w:t>
      </w:r>
      <w:r>
        <w:rPr>
          <w:rFonts w:hint="eastAsia" w:ascii="Times New Roman" w:hAnsi="Times New Roman"/>
          <w:sz w:val="20"/>
          <w:szCs w:val="20"/>
        </w:rPr>
        <w:t>.</w:t>
      </w:r>
    </w:p>
    <w:p w14:paraId="2B413741">
      <w:pPr>
        <w:rPr>
          <w:rFonts w:ascii="Times New Roman" w:hAnsi="Times New Roman"/>
        </w:rPr>
      </w:pPr>
      <w:r>
        <w:rPr>
          <w:rFonts w:hint="eastAsia" w:ascii="Times New Roman" w:hAnsi="Times New Roman"/>
        </w:rPr>
        <w:t>1.</w:t>
      </w:r>
      <w:r>
        <w:rPr>
          <w:rFonts w:ascii="Times New Roman" w:hAnsi="Times New Roman"/>
        </w:rPr>
        <w:t xml:space="preserve"> </w:t>
      </w:r>
      <w:r>
        <w:rPr>
          <w:rFonts w:hint="eastAsia" w:ascii="Times New Roman" w:hAnsi="Times New Roman"/>
        </w:rPr>
        <w:t>D</w:t>
      </w:r>
      <w:r>
        <w:rPr>
          <w:rFonts w:ascii="Times New Roman" w:hAnsi="Times New Roman"/>
        </w:rPr>
        <w:t>ata sources</w:t>
      </w:r>
    </w:p>
    <w:p w14:paraId="4C50B361">
      <w:pPr>
        <w:rPr>
          <w:rFonts w:ascii="Times New Roman" w:hAnsi="Times New Roman"/>
          <w:sz w:val="20"/>
          <w:szCs w:val="20"/>
        </w:rPr>
      </w:pPr>
      <w:r>
        <w:rPr>
          <w:rFonts w:ascii="Times New Roman" w:hAnsi="Times New Roman"/>
          <w:sz w:val="20"/>
          <w:szCs w:val="20"/>
        </w:rPr>
        <w:t>We collected yearly data on all</w:t>
      </w:r>
      <w:r>
        <w:rPr>
          <w:rFonts w:hint="eastAsia" w:ascii="Times New Roman" w:hAnsi="Times New Roman"/>
          <w:sz w:val="20"/>
          <w:szCs w:val="20"/>
        </w:rPr>
        <w:t>-</w:t>
      </w:r>
      <w:r>
        <w:rPr>
          <w:rFonts w:ascii="Times New Roman" w:hAnsi="Times New Roman"/>
          <w:sz w:val="20"/>
          <w:szCs w:val="20"/>
        </w:rPr>
        <w:t>cause and cause specific mortality from the Global Health Data Exchange (http://ghdx.healthdata.org/gbd-results-tool) including</w:t>
      </w:r>
      <w:r>
        <w:rPr>
          <w:rFonts w:hint="eastAsia" w:ascii="Times New Roman" w:hAnsi="Times New Roman"/>
          <w:sz w:val="20"/>
          <w:szCs w:val="20"/>
        </w:rPr>
        <w:t xml:space="preserve">: (1) </w:t>
      </w:r>
      <w:r>
        <w:rPr>
          <w:rFonts w:ascii="Times New Roman" w:hAnsi="Times New Roman"/>
          <w:sz w:val="20"/>
          <w:szCs w:val="20"/>
        </w:rPr>
        <w:t xml:space="preserve">global </w:t>
      </w:r>
      <w:r>
        <w:rPr>
          <w:rFonts w:hint="eastAsia" w:ascii="Times New Roman" w:hAnsi="Times New Roman"/>
          <w:sz w:val="20"/>
          <w:szCs w:val="20"/>
        </w:rPr>
        <w:t xml:space="preserve">age-standardized mortality rate </w:t>
      </w:r>
      <w:r>
        <w:rPr>
          <w:rFonts w:ascii="Times New Roman" w:hAnsi="Times New Roman"/>
          <w:sz w:val="20"/>
          <w:szCs w:val="20"/>
        </w:rPr>
        <w:t>attributable to ambient PM</w:t>
      </w:r>
      <w:r>
        <w:rPr>
          <w:rFonts w:ascii="Times New Roman" w:hAnsi="Times New Roman"/>
          <w:sz w:val="20"/>
          <w:szCs w:val="20"/>
          <w:vertAlign w:val="subscript"/>
        </w:rPr>
        <w:t>2.5</w:t>
      </w:r>
      <w:r>
        <w:rPr>
          <w:rFonts w:hint="eastAsia" w:ascii="Times New Roman" w:hAnsi="Times New Roman"/>
          <w:sz w:val="20"/>
          <w:szCs w:val="20"/>
        </w:rPr>
        <w:t>,</w:t>
      </w:r>
      <w:r>
        <w:rPr>
          <w:rFonts w:ascii="Times New Roman" w:hAnsi="Times New Roman"/>
          <w:sz w:val="20"/>
          <w:szCs w:val="20"/>
        </w:rPr>
        <w:t xml:space="preserve"> age-specific mortality</w:t>
      </w:r>
      <w:r>
        <w:rPr>
          <w:rFonts w:hint="eastAsia" w:ascii="Times New Roman" w:hAnsi="Times New Roman"/>
          <w:sz w:val="20"/>
          <w:szCs w:val="20"/>
        </w:rPr>
        <w:t xml:space="preserve"> </w:t>
      </w:r>
      <w:r>
        <w:rPr>
          <w:rFonts w:ascii="Times New Roman" w:hAnsi="Times New Roman"/>
          <w:sz w:val="20"/>
          <w:szCs w:val="20"/>
        </w:rPr>
        <w:t>attributable to ambient PM2.5</w:t>
      </w:r>
      <w:r>
        <w:rPr>
          <w:rFonts w:hint="eastAsia" w:ascii="Times New Roman" w:hAnsi="Times New Roman"/>
          <w:sz w:val="20"/>
          <w:szCs w:val="20"/>
        </w:rPr>
        <w:t xml:space="preserve"> </w:t>
      </w:r>
      <w:r>
        <w:rPr>
          <w:rFonts w:ascii="Times New Roman" w:hAnsi="Times New Roman"/>
          <w:sz w:val="20"/>
          <w:szCs w:val="20"/>
        </w:rPr>
        <w:t>(per 100,000 persons)</w:t>
      </w:r>
      <w:r>
        <w:rPr>
          <w:rFonts w:hint="eastAsia" w:ascii="Times New Roman" w:hAnsi="Times New Roman"/>
          <w:sz w:val="20"/>
          <w:szCs w:val="20"/>
        </w:rPr>
        <w:t xml:space="preserve"> and</w:t>
      </w:r>
      <w:r>
        <w:rPr>
          <w:rFonts w:ascii="Times New Roman" w:hAnsi="Times New Roman"/>
          <w:sz w:val="20"/>
          <w:szCs w:val="20"/>
        </w:rPr>
        <w:t xml:space="preserve"> </w:t>
      </w:r>
      <w:r>
        <w:rPr>
          <w:rFonts w:hint="eastAsia" w:ascii="Times New Roman" w:hAnsi="Times New Roman"/>
          <w:sz w:val="20"/>
          <w:szCs w:val="20"/>
        </w:rPr>
        <w:t>death</w:t>
      </w:r>
      <w:r>
        <w:rPr>
          <w:rFonts w:ascii="Times New Roman" w:hAnsi="Times New Roman"/>
          <w:sz w:val="20"/>
          <w:szCs w:val="20"/>
        </w:rPr>
        <w:t>s numbers attributable to ambient PM</w:t>
      </w:r>
      <w:r>
        <w:rPr>
          <w:rFonts w:ascii="Times New Roman" w:hAnsi="Times New Roman"/>
          <w:sz w:val="20"/>
          <w:szCs w:val="20"/>
          <w:vertAlign w:val="subscript"/>
        </w:rPr>
        <w:t>2.5</w:t>
      </w:r>
      <w:r>
        <w:rPr>
          <w:rFonts w:hint="eastAsia" w:ascii="Times New Roman" w:hAnsi="Times New Roman"/>
          <w:sz w:val="20"/>
          <w:szCs w:val="20"/>
        </w:rPr>
        <w:t xml:space="preserve"> </w:t>
      </w:r>
      <w:r>
        <w:rPr>
          <w:rFonts w:ascii="Times New Roman" w:hAnsi="Times New Roman"/>
          <w:sz w:val="20"/>
          <w:szCs w:val="20"/>
        </w:rPr>
        <w:t xml:space="preserve">from </w:t>
      </w:r>
      <w:r>
        <w:rPr>
          <w:rFonts w:hint="eastAsia" w:ascii="Times New Roman" w:hAnsi="Times New Roman"/>
          <w:sz w:val="20"/>
          <w:szCs w:val="20"/>
        </w:rPr>
        <w:t>200</w:t>
      </w:r>
      <w:r>
        <w:rPr>
          <w:rFonts w:ascii="Times New Roman" w:hAnsi="Times New Roman"/>
          <w:sz w:val="20"/>
          <w:szCs w:val="20"/>
        </w:rPr>
        <w:t>0 to 20</w:t>
      </w:r>
      <w:r>
        <w:rPr>
          <w:rFonts w:hint="eastAsia" w:ascii="Times New Roman" w:hAnsi="Times New Roman"/>
          <w:sz w:val="20"/>
          <w:szCs w:val="20"/>
        </w:rPr>
        <w:t>20</w:t>
      </w:r>
      <w:r>
        <w:rPr>
          <w:rFonts w:ascii="Times New Roman" w:hAnsi="Times New Roman"/>
          <w:sz w:val="20"/>
          <w:szCs w:val="20"/>
        </w:rPr>
        <w:t xml:space="preserve">; </w:t>
      </w:r>
      <w:r>
        <w:rPr>
          <w:rFonts w:hint="eastAsia" w:ascii="Times New Roman" w:hAnsi="Times New Roman"/>
          <w:sz w:val="20"/>
          <w:szCs w:val="20"/>
        </w:rPr>
        <w:t xml:space="preserve">(2) </w:t>
      </w:r>
      <w:r>
        <w:rPr>
          <w:rFonts w:ascii="Times New Roman" w:hAnsi="Times New Roman"/>
          <w:sz w:val="20"/>
          <w:szCs w:val="20"/>
        </w:rPr>
        <w:t xml:space="preserve">Regional </w:t>
      </w:r>
      <w:r>
        <w:rPr>
          <w:rFonts w:hint="eastAsia" w:ascii="Times New Roman" w:hAnsi="Times New Roman"/>
          <w:sz w:val="20"/>
          <w:szCs w:val="20"/>
        </w:rPr>
        <w:t xml:space="preserve">age-standardized mortality rate </w:t>
      </w:r>
      <w:r>
        <w:rPr>
          <w:rFonts w:ascii="Times New Roman" w:hAnsi="Times New Roman"/>
          <w:sz w:val="20"/>
          <w:szCs w:val="20"/>
        </w:rPr>
        <w:t>attributable to ambient PM</w:t>
      </w:r>
      <w:r>
        <w:rPr>
          <w:rFonts w:ascii="Times New Roman" w:hAnsi="Times New Roman"/>
          <w:sz w:val="20"/>
          <w:szCs w:val="20"/>
          <w:vertAlign w:val="subscript"/>
        </w:rPr>
        <w:t>2.5</w:t>
      </w:r>
      <w:r>
        <w:rPr>
          <w:rFonts w:hint="eastAsia" w:ascii="Times New Roman" w:hAnsi="Times New Roman"/>
          <w:sz w:val="20"/>
          <w:szCs w:val="20"/>
        </w:rPr>
        <w:t xml:space="preserve"> </w:t>
      </w:r>
      <w:r>
        <w:rPr>
          <w:rFonts w:ascii="Times New Roman" w:hAnsi="Times New Roman"/>
          <w:sz w:val="20"/>
          <w:szCs w:val="20"/>
        </w:rPr>
        <w:t xml:space="preserve">from </w:t>
      </w:r>
      <w:r>
        <w:rPr>
          <w:rFonts w:hint="eastAsia" w:ascii="Times New Roman" w:hAnsi="Times New Roman"/>
          <w:sz w:val="20"/>
          <w:szCs w:val="20"/>
        </w:rPr>
        <w:t>200</w:t>
      </w:r>
      <w:r>
        <w:rPr>
          <w:rFonts w:ascii="Times New Roman" w:hAnsi="Times New Roman"/>
          <w:sz w:val="20"/>
          <w:szCs w:val="20"/>
        </w:rPr>
        <w:t>0 to 20</w:t>
      </w:r>
      <w:r>
        <w:rPr>
          <w:rFonts w:hint="eastAsia" w:ascii="Times New Roman" w:hAnsi="Times New Roman"/>
          <w:sz w:val="20"/>
          <w:szCs w:val="20"/>
        </w:rPr>
        <w:t>20</w:t>
      </w:r>
      <w:r>
        <w:rPr>
          <w:rFonts w:ascii="Times New Roman" w:hAnsi="Times New Roman"/>
          <w:sz w:val="20"/>
          <w:szCs w:val="20"/>
        </w:rPr>
        <w:t xml:space="preserve"> by </w:t>
      </w:r>
      <w:r>
        <w:rPr>
          <w:rFonts w:hint="eastAsia" w:ascii="Times New Roman" w:hAnsi="Times New Roman"/>
          <w:sz w:val="20"/>
          <w:szCs w:val="20"/>
        </w:rPr>
        <w:t>GBD</w:t>
      </w:r>
      <w:r>
        <w:rPr>
          <w:rFonts w:ascii="Times New Roman" w:hAnsi="Times New Roman"/>
          <w:sz w:val="20"/>
          <w:szCs w:val="20"/>
        </w:rPr>
        <w:t xml:space="preserve"> </w:t>
      </w:r>
      <w:r>
        <w:rPr>
          <w:rFonts w:hint="eastAsia" w:ascii="Times New Roman" w:hAnsi="Times New Roman"/>
          <w:sz w:val="20"/>
          <w:szCs w:val="20"/>
        </w:rPr>
        <w:t>regions</w:t>
      </w:r>
      <w:r>
        <w:rPr>
          <w:rFonts w:ascii="Times New Roman" w:hAnsi="Times New Roman"/>
          <w:sz w:val="20"/>
          <w:szCs w:val="20"/>
        </w:rPr>
        <w:t xml:space="preserve">; </w:t>
      </w:r>
      <w:r>
        <w:rPr>
          <w:rFonts w:hint="eastAsia" w:ascii="Times New Roman" w:hAnsi="Times New Roman"/>
          <w:sz w:val="20"/>
          <w:szCs w:val="20"/>
        </w:rPr>
        <w:t xml:space="preserve">(3) </w:t>
      </w:r>
      <w:r>
        <w:rPr>
          <w:rFonts w:ascii="Times New Roman" w:hAnsi="Times New Roman"/>
          <w:sz w:val="20"/>
          <w:szCs w:val="20"/>
        </w:rPr>
        <w:t xml:space="preserve">National </w:t>
      </w:r>
      <w:r>
        <w:rPr>
          <w:rFonts w:hint="eastAsia" w:ascii="Times New Roman" w:hAnsi="Times New Roman"/>
          <w:sz w:val="20"/>
          <w:szCs w:val="20"/>
        </w:rPr>
        <w:t xml:space="preserve">age-standardized mortality rate </w:t>
      </w:r>
      <w:r>
        <w:rPr>
          <w:rFonts w:ascii="Times New Roman" w:hAnsi="Times New Roman"/>
          <w:sz w:val="20"/>
          <w:szCs w:val="20"/>
        </w:rPr>
        <w:t>attributable to ambient PM</w:t>
      </w:r>
      <w:r>
        <w:rPr>
          <w:rFonts w:ascii="Times New Roman" w:hAnsi="Times New Roman"/>
          <w:sz w:val="20"/>
          <w:szCs w:val="20"/>
          <w:vertAlign w:val="subscript"/>
        </w:rPr>
        <w:t>2.5</w:t>
      </w:r>
      <w:r>
        <w:rPr>
          <w:rFonts w:ascii="Times New Roman" w:hAnsi="Times New Roman"/>
          <w:sz w:val="20"/>
          <w:szCs w:val="20"/>
        </w:rPr>
        <w:t xml:space="preserve"> from </w:t>
      </w:r>
      <w:r>
        <w:rPr>
          <w:rFonts w:hint="eastAsia" w:ascii="Times New Roman" w:hAnsi="Times New Roman"/>
          <w:sz w:val="20"/>
          <w:szCs w:val="20"/>
        </w:rPr>
        <w:t>200</w:t>
      </w:r>
      <w:r>
        <w:rPr>
          <w:rFonts w:ascii="Times New Roman" w:hAnsi="Times New Roman"/>
          <w:sz w:val="20"/>
          <w:szCs w:val="20"/>
        </w:rPr>
        <w:t>0 to 20</w:t>
      </w:r>
      <w:r>
        <w:rPr>
          <w:rFonts w:hint="eastAsia" w:ascii="Times New Roman" w:hAnsi="Times New Roman"/>
          <w:sz w:val="20"/>
          <w:szCs w:val="20"/>
        </w:rPr>
        <w:t>20</w:t>
      </w:r>
      <w:r>
        <w:rPr>
          <w:rFonts w:ascii="Times New Roman" w:hAnsi="Times New Roman"/>
          <w:sz w:val="20"/>
          <w:szCs w:val="20"/>
        </w:rPr>
        <w:t>.</w:t>
      </w:r>
      <w:r>
        <w:rPr>
          <w:rFonts w:hint="eastAsia" w:ascii="Times New Roman" w:hAnsi="Times New Roman"/>
          <w:sz w:val="20"/>
          <w:szCs w:val="20"/>
        </w:rPr>
        <w:t xml:space="preserve"> </w:t>
      </w:r>
      <w:r>
        <w:rPr>
          <w:rFonts w:ascii="Times New Roman" w:hAnsi="Times New Roman"/>
          <w:sz w:val="20"/>
          <w:szCs w:val="20"/>
        </w:rPr>
        <w:t xml:space="preserve">Moreover, we </w:t>
      </w:r>
      <w:r>
        <w:rPr>
          <w:rFonts w:hint="eastAsia" w:ascii="Times New Roman" w:hAnsi="Times New Roman"/>
          <w:sz w:val="20"/>
          <w:szCs w:val="20"/>
        </w:rPr>
        <w:t xml:space="preserve">also </w:t>
      </w:r>
      <w:r>
        <w:rPr>
          <w:rFonts w:ascii="Times New Roman" w:hAnsi="Times New Roman"/>
          <w:sz w:val="20"/>
          <w:szCs w:val="20"/>
        </w:rPr>
        <w:t>collected the socio-demographic index (SDI) from the GBD 20</w:t>
      </w:r>
      <w:r>
        <w:rPr>
          <w:rFonts w:hint="eastAsia" w:ascii="Times New Roman" w:hAnsi="Times New Roman"/>
          <w:sz w:val="20"/>
          <w:szCs w:val="20"/>
        </w:rPr>
        <w:t>21</w:t>
      </w:r>
      <w:r>
        <w:rPr>
          <w:rFonts w:ascii="Times New Roman" w:hAnsi="Times New Roman"/>
          <w:sz w:val="20"/>
          <w:szCs w:val="20"/>
        </w:rPr>
        <w:t>.</w:t>
      </w:r>
    </w:p>
    <w:p w14:paraId="678B7564">
      <w:pPr>
        <w:ind w:firstLine="200" w:firstLineChars="100"/>
        <w:rPr>
          <w:rFonts w:ascii="Times New Roman" w:hAnsi="Times New Roman"/>
          <w:sz w:val="20"/>
          <w:szCs w:val="20"/>
        </w:rPr>
      </w:pPr>
      <w:r>
        <w:rPr>
          <w:rFonts w:ascii="Times New Roman" w:hAnsi="Times New Roman"/>
          <w:sz w:val="20"/>
          <w:szCs w:val="20"/>
        </w:rPr>
        <w:t>The demographic characteristics</w:t>
      </w:r>
      <w:r>
        <w:rPr>
          <w:rFonts w:hint="eastAsia" w:ascii="Times New Roman" w:hAnsi="Times New Roman"/>
          <w:sz w:val="20"/>
          <w:szCs w:val="20"/>
        </w:rPr>
        <w:t xml:space="preserve">, </w:t>
      </w:r>
      <w:r>
        <w:rPr>
          <w:rFonts w:ascii="Times New Roman" w:hAnsi="Times New Roman"/>
          <w:sz w:val="20"/>
          <w:szCs w:val="20"/>
        </w:rPr>
        <w:t xml:space="preserve">socioeconomic </w:t>
      </w:r>
      <w:r>
        <w:rPr>
          <w:rFonts w:hint="eastAsia" w:ascii="Times New Roman" w:hAnsi="Times New Roman"/>
          <w:sz w:val="20"/>
          <w:szCs w:val="20"/>
        </w:rPr>
        <w:t>conditions</w:t>
      </w:r>
      <w:r>
        <w:rPr>
          <w:rFonts w:ascii="Times New Roman" w:hAnsi="Times New Roman"/>
          <w:sz w:val="20"/>
          <w:szCs w:val="20"/>
        </w:rPr>
        <w:t xml:space="preserve">, and health services data used as covariates for </w:t>
      </w:r>
      <w:r>
        <w:rPr>
          <w:rFonts w:hint="eastAsia" w:ascii="Times New Roman" w:hAnsi="Times New Roman"/>
          <w:sz w:val="20"/>
          <w:szCs w:val="20"/>
        </w:rPr>
        <w:t xml:space="preserve">the </w:t>
      </w:r>
      <w:r>
        <w:rPr>
          <w:rFonts w:ascii="Times New Roman" w:hAnsi="Times New Roman"/>
          <w:sz w:val="20"/>
          <w:szCs w:val="20"/>
        </w:rPr>
        <w:t>generalized estimating equation model</w:t>
      </w:r>
      <w:r>
        <w:rPr>
          <w:rFonts w:hint="eastAsia" w:ascii="Times New Roman" w:hAnsi="Times New Roman"/>
          <w:sz w:val="20"/>
          <w:szCs w:val="20"/>
        </w:rPr>
        <w:t xml:space="preserve"> </w:t>
      </w:r>
      <w:r>
        <w:rPr>
          <w:rFonts w:ascii="Times New Roman" w:hAnsi="Times New Roman"/>
          <w:sz w:val="20"/>
          <w:szCs w:val="20"/>
        </w:rPr>
        <w:t>were downloaded from the United Nations Statistics (http://data.un.org/) and Our World in Data (https://ourworldindata.org/).</w:t>
      </w:r>
      <w:r>
        <w:rPr>
          <w:rFonts w:hint="eastAsia" w:ascii="Times New Roman" w:hAnsi="Times New Roman"/>
          <w:sz w:val="20"/>
          <w:szCs w:val="20"/>
        </w:rPr>
        <w:t xml:space="preserve"> Variables included in the study </w:t>
      </w:r>
      <w:r>
        <w:rPr>
          <w:rFonts w:ascii="Times New Roman" w:hAnsi="Times New Roman"/>
          <w:sz w:val="20"/>
          <w:szCs w:val="20"/>
        </w:rPr>
        <w:t>include</w:t>
      </w:r>
      <w:r>
        <w:rPr>
          <w:rFonts w:hint="eastAsia" w:ascii="Times New Roman" w:hAnsi="Times New Roman"/>
          <w:sz w:val="20"/>
          <w:szCs w:val="20"/>
        </w:rPr>
        <w:t xml:space="preserve"> p</w:t>
      </w:r>
      <w:r>
        <w:rPr>
          <w:rFonts w:ascii="Times New Roman" w:hAnsi="Times New Roman"/>
          <w:sz w:val="20"/>
          <w:szCs w:val="20"/>
        </w:rPr>
        <w:t>opulation density (people per km</w:t>
      </w:r>
      <w:r>
        <w:rPr>
          <w:rFonts w:ascii="Times New Roman" w:hAnsi="Times New Roman"/>
          <w:sz w:val="20"/>
          <w:szCs w:val="20"/>
          <w:vertAlign w:val="superscript"/>
        </w:rPr>
        <w:t>2</w:t>
      </w:r>
      <w:r>
        <w:rPr>
          <w:rFonts w:ascii="Times New Roman" w:hAnsi="Times New Roman"/>
          <w:sz w:val="20"/>
          <w:szCs w:val="20"/>
        </w:rPr>
        <w:t>)</w:t>
      </w:r>
      <w:r>
        <w:rPr>
          <w:rFonts w:hint="eastAsia" w:ascii="Times New Roman" w:hAnsi="Times New Roman"/>
          <w:sz w:val="20"/>
          <w:szCs w:val="20"/>
        </w:rPr>
        <w:t xml:space="preserve">, </w:t>
      </w:r>
      <w:r>
        <w:rPr>
          <w:rFonts w:ascii="Times New Roman" w:hAnsi="Times New Roman"/>
          <w:sz w:val="20"/>
          <w:szCs w:val="20"/>
        </w:rPr>
        <w:t>percentage of the population living in urban areas</w:t>
      </w:r>
      <w:r>
        <w:rPr>
          <w:rFonts w:hint="eastAsia" w:ascii="Times New Roman" w:hAnsi="Times New Roman"/>
          <w:sz w:val="20"/>
          <w:szCs w:val="20"/>
        </w:rPr>
        <w:t xml:space="preserve"> </w:t>
      </w:r>
      <w:r>
        <w:rPr>
          <w:rFonts w:ascii="Times New Roman" w:hAnsi="Times New Roman"/>
          <w:sz w:val="20"/>
          <w:szCs w:val="20"/>
        </w:rPr>
        <w:t>(%)</w:t>
      </w:r>
      <w:r>
        <w:rPr>
          <w:rFonts w:hint="eastAsia" w:ascii="Times New Roman" w:hAnsi="Times New Roman"/>
          <w:sz w:val="20"/>
          <w:szCs w:val="20"/>
        </w:rPr>
        <w:t xml:space="preserve">, </w:t>
      </w:r>
      <w:r>
        <w:rPr>
          <w:rFonts w:ascii="Times New Roman" w:hAnsi="Times New Roman"/>
          <w:sz w:val="20"/>
          <w:szCs w:val="20"/>
        </w:rPr>
        <w:t>average years of schooling (average number of years people aged 25+ participated in formal education)</w:t>
      </w:r>
      <w:r>
        <w:rPr>
          <w:rFonts w:hint="eastAsia" w:ascii="Times New Roman" w:hAnsi="Times New Roman"/>
          <w:sz w:val="20"/>
          <w:szCs w:val="20"/>
        </w:rPr>
        <w:t xml:space="preserve">, </w:t>
      </w:r>
      <w:r>
        <w:rPr>
          <w:rFonts w:ascii="Times New Roman" w:hAnsi="Times New Roman"/>
          <w:sz w:val="20"/>
          <w:szCs w:val="20"/>
        </w:rPr>
        <w:t>GDP per capita (measured in constant 201</w:t>
      </w:r>
      <w:r>
        <w:rPr>
          <w:rFonts w:hint="eastAsia" w:ascii="Times New Roman" w:hAnsi="Times New Roman"/>
          <w:sz w:val="20"/>
          <w:szCs w:val="20"/>
        </w:rPr>
        <w:t>1</w:t>
      </w:r>
      <w:r>
        <w:rPr>
          <w:rFonts w:ascii="Times New Roman" w:hAnsi="Times New Roman"/>
          <w:sz w:val="20"/>
          <w:szCs w:val="20"/>
        </w:rPr>
        <w:t xml:space="preserve"> international-$)</w:t>
      </w:r>
      <w:r>
        <w:rPr>
          <w:rFonts w:hint="eastAsia" w:ascii="Times New Roman" w:hAnsi="Times New Roman"/>
          <w:sz w:val="20"/>
          <w:szCs w:val="20"/>
        </w:rPr>
        <w:t xml:space="preserve">, and </w:t>
      </w:r>
      <w:r>
        <w:rPr>
          <w:rFonts w:ascii="Times New Roman" w:hAnsi="Times New Roman"/>
          <w:sz w:val="20"/>
          <w:szCs w:val="20"/>
        </w:rPr>
        <w:t>human development index</w:t>
      </w:r>
      <w:r>
        <w:rPr>
          <w:rFonts w:hint="eastAsia" w:ascii="Times New Roman" w:hAnsi="Times New Roman"/>
          <w:sz w:val="20"/>
          <w:szCs w:val="20"/>
        </w:rPr>
        <w:t xml:space="preserve"> (HDI). HDI is a comprehensive indicator that summarizes key dimensions of human development, including a long and healthy life, access to quality education, and a decent standard of living. Higher values on the index indicate higher levels of human development. </w:t>
      </w:r>
      <w:r>
        <w:rPr>
          <w:rFonts w:ascii="Times New Roman" w:hAnsi="Times New Roman"/>
          <w:sz w:val="20"/>
          <w:szCs w:val="20"/>
        </w:rPr>
        <w:t>Global land cover product for 2000, 2005, 2010, 2015 and 2020 is obtained</w:t>
      </w:r>
      <w:r>
        <w:rPr>
          <w:rFonts w:hint="eastAsia" w:ascii="Times New Roman" w:hAnsi="Times New Roman"/>
          <w:sz w:val="20"/>
          <w:szCs w:val="20"/>
        </w:rPr>
        <w:t xml:space="preserve"> </w:t>
      </w:r>
      <w:r>
        <w:rPr>
          <w:rFonts w:ascii="Times New Roman" w:hAnsi="Times New Roman"/>
          <w:sz w:val="20"/>
          <w:szCs w:val="20"/>
        </w:rPr>
        <w:t>from The Global Land Analysis and Discovery (GLAD) Landsat Analysis Ready Data</w:t>
      </w:r>
      <w:r>
        <w:rPr>
          <w:rFonts w:hint="eastAsia" w:ascii="Times New Roman" w:hAnsi="Times New Roman"/>
          <w:sz w:val="20"/>
          <w:szCs w:val="20"/>
        </w:rPr>
        <w:t xml:space="preserve"> (</w:t>
      </w:r>
      <w:r>
        <w:rPr>
          <w:rFonts w:ascii="Times New Roman" w:hAnsi="Times New Roman"/>
          <w:sz w:val="20"/>
          <w:szCs w:val="20"/>
        </w:rPr>
        <w:t>https://glad.umd.edu/dataset</w:t>
      </w:r>
      <w:r>
        <w:rPr>
          <w:rFonts w:hint="eastAsia" w:ascii="Times New Roman" w:hAnsi="Times New Roman"/>
          <w:sz w:val="20"/>
          <w:szCs w:val="20"/>
        </w:rPr>
        <w:t xml:space="preserve">). </w:t>
      </w:r>
      <w:r>
        <w:rPr>
          <w:rFonts w:ascii="Times New Roman" w:hAnsi="Times New Roman"/>
          <w:sz w:val="20"/>
          <w:szCs w:val="20"/>
        </w:rPr>
        <w:t>We filled in the missing greenspace data by spline interpolation.</w:t>
      </w:r>
      <w:r>
        <w:rPr>
          <w:rFonts w:hint="eastAsia" w:ascii="Times New Roman" w:hAnsi="Times New Roman"/>
          <w:sz w:val="20"/>
          <w:szCs w:val="20"/>
        </w:rPr>
        <w:t xml:space="preserve"> </w:t>
      </w:r>
      <w:r>
        <w:rPr>
          <w:rFonts w:ascii="Times New Roman" w:hAnsi="Times New Roman"/>
          <w:sz w:val="20"/>
          <w:szCs w:val="20"/>
        </w:rPr>
        <w:t>Population dataset is from WorldPop (https://www.worldpop.org)</w:t>
      </w:r>
      <w:r>
        <w:rPr>
          <w:rFonts w:hint="eastAsia" w:ascii="Times New Roman" w:hAnsi="Times New Roman"/>
          <w:sz w:val="20"/>
          <w:szCs w:val="20"/>
        </w:rPr>
        <w:t xml:space="preserve">. The global administrative unit layers are from the Food and Agriculture Organization of the United Nations (https://data.apps.fao.org). Various databases were linked based on </w:t>
      </w:r>
      <w:r>
        <w:rPr>
          <w:rFonts w:ascii="Times New Roman" w:hAnsi="Times New Roman"/>
          <w:kern w:val="2"/>
          <w:sz w:val="20"/>
          <w:szCs w:val="20"/>
        </w:rPr>
        <w:t>countr</w:t>
      </w:r>
      <w:r>
        <w:rPr>
          <w:rFonts w:hint="eastAsia" w:ascii="Times New Roman" w:hAnsi="Times New Roman"/>
          <w:kern w:val="2"/>
          <w:sz w:val="20"/>
          <w:szCs w:val="20"/>
          <w:lang w:val="en-US" w:eastAsia="zh-CN"/>
        </w:rPr>
        <w:t>y/</w:t>
      </w:r>
      <w:r>
        <w:rPr>
          <w:rFonts w:ascii="Times New Roman" w:hAnsi="Times New Roman"/>
          <w:kern w:val="2"/>
          <w:sz w:val="20"/>
          <w:szCs w:val="20"/>
        </w:rPr>
        <w:t>territor</w:t>
      </w:r>
      <w:r>
        <w:rPr>
          <w:rFonts w:hint="eastAsia" w:ascii="Times New Roman" w:hAnsi="Times New Roman"/>
          <w:kern w:val="2"/>
          <w:sz w:val="20"/>
          <w:szCs w:val="20"/>
          <w:lang w:val="en-US" w:eastAsia="zh-CN"/>
        </w:rPr>
        <w:t>y</w:t>
      </w:r>
      <w:r>
        <w:rPr>
          <w:rFonts w:hint="eastAsia" w:ascii="Times New Roman" w:hAnsi="Times New Roman"/>
          <w:sz w:val="20"/>
          <w:szCs w:val="20"/>
        </w:rPr>
        <w:t xml:space="preserve"> names and years. </w:t>
      </w:r>
    </w:p>
    <w:p w14:paraId="301DBF8A">
      <w:pPr>
        <w:rPr>
          <w:rFonts w:ascii="Times New Roman" w:hAnsi="Times New Roman"/>
        </w:rPr>
      </w:pPr>
      <w:r>
        <w:rPr>
          <w:rFonts w:hint="eastAsia" w:ascii="Times New Roman" w:hAnsi="Times New Roman"/>
        </w:rPr>
        <w:t xml:space="preserve"> </w:t>
      </w:r>
    </w:p>
    <w:p w14:paraId="2ABBE824">
      <w:pPr>
        <w:rPr>
          <w:rFonts w:ascii="Times New Roman" w:hAnsi="Times New Roman"/>
          <w:sz w:val="20"/>
          <w:szCs w:val="21"/>
        </w:rPr>
      </w:pPr>
      <w:r>
        <w:rPr>
          <w:rFonts w:hint="eastAsia" w:ascii="Times New Roman" w:hAnsi="Times New Roman"/>
          <w:sz w:val="20"/>
          <w:szCs w:val="21"/>
        </w:rPr>
        <w:t>2.</w:t>
      </w:r>
      <w:r>
        <w:rPr>
          <w:rFonts w:ascii="Times New Roman" w:hAnsi="Times New Roman"/>
          <w:sz w:val="20"/>
          <w:szCs w:val="21"/>
        </w:rPr>
        <w:t xml:space="preserve"> Estimation of </w:t>
      </w:r>
      <w:r>
        <w:rPr>
          <w:rFonts w:hint="eastAsia" w:ascii="Times New Roman" w:hAnsi="Times New Roman"/>
          <w:sz w:val="20"/>
          <w:szCs w:val="21"/>
        </w:rPr>
        <w:t>mortality burden attributable to ambient PM</w:t>
      </w:r>
      <w:r>
        <w:rPr>
          <w:rFonts w:hint="eastAsia" w:ascii="Times New Roman" w:hAnsi="Times New Roman"/>
          <w:sz w:val="20"/>
          <w:szCs w:val="21"/>
          <w:vertAlign w:val="subscript"/>
        </w:rPr>
        <w:t>2.5</w:t>
      </w:r>
      <w:r>
        <w:rPr>
          <w:rFonts w:ascii="Times New Roman" w:hAnsi="Times New Roman"/>
          <w:sz w:val="20"/>
          <w:szCs w:val="21"/>
        </w:rPr>
        <w:t xml:space="preserve"> in GBD 20</w:t>
      </w:r>
      <w:r>
        <w:rPr>
          <w:rFonts w:hint="eastAsia" w:ascii="Times New Roman" w:hAnsi="Times New Roman"/>
          <w:sz w:val="20"/>
          <w:szCs w:val="21"/>
        </w:rPr>
        <w:t>21</w:t>
      </w:r>
    </w:p>
    <w:p w14:paraId="4240988C">
      <w:pPr>
        <w:rPr>
          <w:rFonts w:ascii="Times New Roman" w:hAnsi="Times New Roman" w:cs="Times New Roman"/>
        </w:rPr>
      </w:pPr>
      <w:r>
        <w:rPr>
          <w:rFonts w:ascii="Times New Roman" w:hAnsi="Times New Roman" w:cs="Times New Roman"/>
          <w:sz w:val="20"/>
          <w:szCs w:val="20"/>
        </w:rPr>
        <w:t>The specific methods for estimating mortality burden attributable to ambient PM</w:t>
      </w:r>
      <w:r>
        <w:rPr>
          <w:rFonts w:ascii="Times New Roman" w:hAnsi="Times New Roman" w:cs="Times New Roman"/>
          <w:sz w:val="20"/>
          <w:szCs w:val="20"/>
          <w:vertAlign w:val="subscript"/>
        </w:rPr>
        <w:t>2.5</w:t>
      </w:r>
      <w:r>
        <w:rPr>
          <w:rFonts w:ascii="Times New Roman" w:hAnsi="Times New Roman" w:cs="Times New Roman"/>
          <w:sz w:val="20"/>
          <w:szCs w:val="20"/>
        </w:rPr>
        <w:t xml:space="preserve"> in GBD 2021 have been described in detail previously</w:t>
      </w:r>
      <w:r>
        <w:rPr>
          <w:rFonts w:hint="eastAsia" w:ascii="Times New Roman" w:hAnsi="Times New Roman" w:cs="Times New Roman"/>
          <w:sz w:val="20"/>
          <w:szCs w:val="20"/>
          <w:lang w:val="en-US" w:eastAsia="zh-CN"/>
        </w:rPr>
        <w:t xml:space="preserve"> [1]</w:t>
      </w:r>
      <w:r>
        <w:rPr>
          <w:rFonts w:hint="eastAsia" w:ascii="Times New Roman" w:hAnsi="Times New Roman" w:cs="Times New Roman"/>
          <w:sz w:val="20"/>
          <w:szCs w:val="20"/>
        </w:rPr>
        <w:t>.</w:t>
      </w:r>
      <w:r>
        <w:rPr>
          <w:rFonts w:ascii="Times New Roman" w:hAnsi="Times New Roman" w:cs="Times New Roman"/>
          <w:sz w:val="20"/>
          <w:szCs w:val="20"/>
        </w:rPr>
        <w:t xml:space="preserve"> In brief, </w:t>
      </w:r>
      <w:r>
        <w:rPr>
          <w:rFonts w:hint="eastAsia" w:ascii="Times New Roman" w:hAnsi="Times New Roman" w:cs="Times New Roman"/>
          <w:sz w:val="20"/>
          <w:szCs w:val="20"/>
        </w:rPr>
        <w:t>a</w:t>
      </w:r>
      <w:r>
        <w:rPr>
          <w:rFonts w:ascii="Times New Roman" w:hAnsi="Times New Roman" w:cs="Times New Roman"/>
          <w:sz w:val="20"/>
          <w:szCs w:val="20"/>
        </w:rPr>
        <w:t>mbient PM</w:t>
      </w:r>
      <w:r>
        <w:rPr>
          <w:rFonts w:ascii="Times New Roman" w:hAnsi="Times New Roman" w:cs="Times New Roman"/>
          <w:sz w:val="20"/>
          <w:szCs w:val="20"/>
          <w:vertAlign w:val="subscript"/>
        </w:rPr>
        <w:t>2.5</w:t>
      </w:r>
      <w:r>
        <w:rPr>
          <w:rFonts w:ascii="Times New Roman" w:hAnsi="Times New Roman" w:cs="Times New Roman"/>
          <w:sz w:val="20"/>
          <w:szCs w:val="20"/>
        </w:rPr>
        <w:t xml:space="preserve"> exposure was estimated using data from multiple sources, including satellite observations of aerosols in the atmosphere, ground monitor measurements, chemical transport model simulations, population estimates, and land-use data. The cause-specific risk curves were created using meta-regression—Bayesian, regularized, trimmed (MR-BRT) meta-regression tool based on</w:t>
      </w:r>
      <w:r>
        <w:rPr>
          <w:rFonts w:hint="eastAsia" w:ascii="Times New Roman" w:hAnsi="Times New Roman" w:cs="Times New Roman"/>
          <w:sz w:val="20"/>
          <w:szCs w:val="20"/>
        </w:rPr>
        <w:t xml:space="preserve"> </w:t>
      </w:r>
      <w:r>
        <w:rPr>
          <w:rFonts w:ascii="Times New Roman" w:hAnsi="Times New Roman" w:cs="Times New Roman"/>
          <w:sz w:val="20"/>
          <w:szCs w:val="20"/>
        </w:rPr>
        <w:t>literature review.</w:t>
      </w:r>
      <w:r>
        <w:rPr>
          <w:rFonts w:hint="eastAsia" w:ascii="Times New Roman" w:hAnsi="Times New Roman" w:cs="Times New Roman"/>
          <w:sz w:val="20"/>
          <w:szCs w:val="20"/>
        </w:rPr>
        <w:t xml:space="preserve"> </w:t>
      </w:r>
      <w:r>
        <w:rPr>
          <w:rFonts w:hint="eastAsia" w:ascii="Times New Roman" w:hAnsi="Times New Roman"/>
          <w:sz w:val="20"/>
          <w:szCs w:val="20"/>
        </w:rPr>
        <w:t>A comparative risk assessment was conducted to calculate the attributable burden of disease from potential risk factors in the GBD study, and a proportional population attributable fraction approach was used to quantify the contribution of ambient PM</w:t>
      </w:r>
      <w:r>
        <w:rPr>
          <w:rFonts w:hint="eastAsia" w:ascii="Times New Roman" w:hAnsi="Times New Roman"/>
          <w:sz w:val="20"/>
          <w:szCs w:val="20"/>
          <w:vertAlign w:val="subscript"/>
        </w:rPr>
        <w:t>2.5</w:t>
      </w:r>
      <w:r>
        <w:rPr>
          <w:rFonts w:hint="eastAsia" w:ascii="Times New Roman" w:hAnsi="Times New Roman"/>
          <w:sz w:val="20"/>
          <w:szCs w:val="20"/>
        </w:rPr>
        <w:t xml:space="preserve"> exposure to cause-specific mortality burden</w:t>
      </w:r>
      <w:r>
        <w:rPr>
          <w:rFonts w:hint="eastAsia" w:ascii="Times New Roman" w:hAnsi="Times New Roman"/>
          <w:sz w:val="20"/>
          <w:szCs w:val="20"/>
          <w:lang w:val="en-US" w:eastAsia="zh-CN"/>
        </w:rPr>
        <w:t xml:space="preserve"> [2]</w:t>
      </w:r>
      <w:r>
        <w:rPr>
          <w:rFonts w:hint="eastAsia" w:ascii="Times New Roman" w:hAnsi="Times New Roman"/>
          <w:sz w:val="20"/>
          <w:szCs w:val="20"/>
        </w:rPr>
        <w:t>.</w:t>
      </w:r>
      <w:r>
        <w:rPr>
          <w:rFonts w:hint="eastAsia" w:ascii="Times New Roman" w:hAnsi="Times New Roman" w:cs="Times New Roman"/>
          <w:color w:val="080000"/>
          <w:kern w:val="0"/>
          <w:szCs w:val="21"/>
        </w:rPr>
        <w:t xml:space="preserve"> In GBD 2021, uncertainty is propagated throughout all the modelling processes. Each estimation was used to model 1000 draws of densities for mortality across locations. The lower and upper bounds of the 95% UI for each indicator in the GBD study was estimated based on the 25th and 975th values of the ordered 1000 values.</w:t>
      </w:r>
    </w:p>
    <w:p w14:paraId="39D55C2A">
      <w:pPr>
        <w:ind w:firstLine="400" w:firstLineChars="200"/>
        <w:rPr>
          <w:rFonts w:ascii="Times New Roman" w:hAnsi="Times New Roman"/>
          <w:b/>
          <w:bCs/>
          <w:sz w:val="20"/>
          <w:szCs w:val="20"/>
        </w:rPr>
      </w:pPr>
      <w:r>
        <w:rPr>
          <w:rFonts w:hint="eastAsia" w:ascii="Times New Roman" w:hAnsi="Times New Roman"/>
          <w:sz w:val="20"/>
          <w:szCs w:val="20"/>
        </w:rPr>
        <w:t xml:space="preserve">The SDI is a composite indicator of socio-demographic development status, with higher values indicating greater socioeconomic development. It is the geometric mean of 0 to 1 indices of mean education for individuals aged 15 years or older, lag-distributed income per capita, and total fertility rate among those under 25 years old. </w:t>
      </w:r>
      <w:r>
        <w:rPr>
          <w:rFonts w:ascii="Times New Roman" w:hAnsi="Times New Roman"/>
          <w:sz w:val="20"/>
          <w:szCs w:val="20"/>
        </w:rPr>
        <w:t xml:space="preserve">Details can be seen on the page </w:t>
      </w:r>
      <w:r>
        <w:rPr>
          <w:rFonts w:hint="eastAsia" w:ascii="Times New Roman" w:hAnsi="Times New Roman"/>
          <w:sz w:val="20"/>
          <w:szCs w:val="20"/>
        </w:rPr>
        <w:t>47</w:t>
      </w:r>
      <w:r>
        <w:rPr>
          <w:rFonts w:ascii="Times New Roman" w:hAnsi="Times New Roman"/>
          <w:sz w:val="20"/>
          <w:szCs w:val="20"/>
        </w:rPr>
        <w:t>-</w:t>
      </w:r>
      <w:r>
        <w:rPr>
          <w:rFonts w:hint="eastAsia" w:ascii="Times New Roman" w:hAnsi="Times New Roman"/>
          <w:sz w:val="20"/>
          <w:szCs w:val="20"/>
        </w:rPr>
        <w:t>48</w:t>
      </w:r>
      <w:r>
        <w:rPr>
          <w:rFonts w:ascii="Times New Roman" w:hAnsi="Times New Roman"/>
          <w:sz w:val="20"/>
          <w:szCs w:val="20"/>
        </w:rPr>
        <w:t>, Appendix 1 of the reference</w:t>
      </w:r>
      <w:r>
        <w:rPr>
          <w:rFonts w:hint="eastAsia" w:ascii="Times New Roman" w:hAnsi="Times New Roman"/>
          <w:sz w:val="20"/>
          <w:szCs w:val="20"/>
        </w:rPr>
        <w:t xml:space="preserve"> 1.</w:t>
      </w:r>
      <w:r>
        <w:rPr>
          <w:rFonts w:ascii="Times New Roman" w:hAnsi="Times New Roman" w:cs="Times New Roman"/>
          <w:color w:val="080000"/>
          <w:kern w:val="0"/>
          <w:sz w:val="20"/>
          <w:szCs w:val="20"/>
          <w:vertAlign w:val="superscript"/>
        </w:rPr>
        <w:t>1</w:t>
      </w:r>
      <w:r>
        <w:rPr>
          <w:rFonts w:hint="eastAsia" w:ascii="Times New Roman" w:hAnsi="Times New Roman" w:cs="Times New Roman"/>
          <w:color w:val="080000"/>
          <w:kern w:val="0"/>
          <w:sz w:val="20"/>
          <w:szCs w:val="20"/>
          <w:vertAlign w:val="superscript"/>
        </w:rPr>
        <w:t xml:space="preserve"> </w:t>
      </w:r>
      <w:r>
        <w:rPr>
          <w:rFonts w:hint="eastAsia" w:ascii="Times New Roman" w:hAnsi="Times New Roman"/>
          <w:sz w:val="20"/>
          <w:szCs w:val="20"/>
        </w:rPr>
        <w:t xml:space="preserve">In this study, we collected the SDI data for </w:t>
      </w:r>
      <w:r>
        <w:rPr>
          <w:rFonts w:ascii="Times New Roman" w:hAnsi="Times New Roman"/>
          <w:sz w:val="20"/>
          <w:szCs w:val="20"/>
        </w:rPr>
        <w:t>204 available countries and territories</w:t>
      </w:r>
      <w:r>
        <w:rPr>
          <w:rFonts w:hint="eastAsia" w:ascii="Times New Roman" w:hAnsi="Times New Roman"/>
          <w:sz w:val="20"/>
          <w:szCs w:val="20"/>
        </w:rPr>
        <w:t xml:space="preserve"> from the GBD 2021 for the years 2000 to 2020. We calculated the mean SDI values for each country or </w:t>
      </w:r>
      <w:r>
        <w:rPr>
          <w:rFonts w:ascii="Times New Roman" w:hAnsi="Times New Roman"/>
          <w:sz w:val="20"/>
          <w:szCs w:val="20"/>
        </w:rPr>
        <w:t>territories</w:t>
      </w:r>
      <w:r>
        <w:rPr>
          <w:rFonts w:hint="eastAsia" w:ascii="Times New Roman" w:hAnsi="Times New Roman"/>
          <w:sz w:val="20"/>
          <w:szCs w:val="20"/>
        </w:rPr>
        <w:t xml:space="preserve"> and categorized them into two groups, high SDI and low SDI, based on the median. We then calculated the Gini coefficients of greenspace exposure for two SDI groups (high SDI and low SDI) and seven </w:t>
      </w:r>
      <w:r>
        <w:rPr>
          <w:rFonts w:ascii="Times New Roman" w:hAnsi="Times New Roman"/>
          <w:sz w:val="20"/>
          <w:szCs w:val="20"/>
        </w:rPr>
        <w:t>GBD super-regions</w:t>
      </w:r>
      <w:r>
        <w:rPr>
          <w:rFonts w:hint="eastAsia" w:ascii="Times New Roman" w:hAnsi="Times New Roman"/>
          <w:sz w:val="20"/>
          <w:szCs w:val="20"/>
        </w:rPr>
        <w:t xml:space="preserve"> (</w:t>
      </w:r>
      <w:r>
        <w:rPr>
          <w:rFonts w:ascii="Times New Roman" w:hAnsi="Times New Roman"/>
          <w:sz w:val="20"/>
          <w:szCs w:val="20"/>
        </w:rPr>
        <w:t>Central Europe</w:t>
      </w:r>
      <w:r>
        <w:rPr>
          <w:rFonts w:hint="eastAsia" w:ascii="Times New Roman" w:hAnsi="Times New Roman"/>
          <w:sz w:val="20"/>
          <w:szCs w:val="20"/>
        </w:rPr>
        <w:t>,</w:t>
      </w:r>
      <w:r>
        <w:rPr>
          <w:rFonts w:ascii="Times New Roman" w:hAnsi="Times New Roman"/>
          <w:sz w:val="20"/>
          <w:szCs w:val="20"/>
        </w:rPr>
        <w:t xml:space="preserve"> Eastern Europe, and Central Asia</w:t>
      </w:r>
      <w:r>
        <w:rPr>
          <w:rFonts w:hint="eastAsia" w:ascii="Times New Roman" w:hAnsi="Times New Roman"/>
          <w:sz w:val="20"/>
          <w:szCs w:val="20"/>
        </w:rPr>
        <w:t xml:space="preserve">; </w:t>
      </w:r>
      <w:r>
        <w:rPr>
          <w:rFonts w:ascii="Times New Roman" w:hAnsi="Times New Roman"/>
          <w:sz w:val="20"/>
          <w:szCs w:val="20"/>
        </w:rPr>
        <w:t>High-income</w:t>
      </w:r>
      <w:r>
        <w:rPr>
          <w:rFonts w:hint="eastAsia" w:ascii="Times New Roman" w:hAnsi="Times New Roman"/>
          <w:sz w:val="20"/>
          <w:szCs w:val="20"/>
        </w:rPr>
        <w:t xml:space="preserve">; </w:t>
      </w:r>
      <w:r>
        <w:rPr>
          <w:rFonts w:ascii="Times New Roman" w:hAnsi="Times New Roman"/>
          <w:sz w:val="20"/>
          <w:szCs w:val="20"/>
        </w:rPr>
        <w:t>Latin America and Caribbean</w:t>
      </w:r>
      <w:r>
        <w:rPr>
          <w:rFonts w:hint="eastAsia" w:ascii="Times New Roman" w:hAnsi="Times New Roman"/>
          <w:sz w:val="20"/>
          <w:szCs w:val="20"/>
        </w:rPr>
        <w:t xml:space="preserve">, </w:t>
      </w:r>
      <w:r>
        <w:rPr>
          <w:rFonts w:ascii="Times New Roman" w:hAnsi="Times New Roman"/>
          <w:sz w:val="20"/>
          <w:szCs w:val="20"/>
        </w:rPr>
        <w:t>North Africa and Middle East</w:t>
      </w:r>
      <w:r>
        <w:rPr>
          <w:rFonts w:hint="eastAsia" w:ascii="Times New Roman" w:hAnsi="Times New Roman"/>
          <w:sz w:val="20"/>
          <w:szCs w:val="20"/>
        </w:rPr>
        <w:t xml:space="preserve">; </w:t>
      </w:r>
      <w:r>
        <w:rPr>
          <w:rFonts w:ascii="Times New Roman" w:hAnsi="Times New Roman"/>
          <w:sz w:val="20"/>
          <w:szCs w:val="20"/>
        </w:rPr>
        <w:t>South Asia</w:t>
      </w:r>
      <w:r>
        <w:rPr>
          <w:rFonts w:hint="eastAsia" w:ascii="Times New Roman" w:hAnsi="Times New Roman"/>
          <w:sz w:val="20"/>
          <w:szCs w:val="20"/>
        </w:rPr>
        <w:t xml:space="preserve">; </w:t>
      </w:r>
      <w:r>
        <w:rPr>
          <w:rFonts w:ascii="Times New Roman" w:hAnsi="Times New Roman"/>
          <w:sz w:val="20"/>
          <w:szCs w:val="20"/>
        </w:rPr>
        <w:t>Southeast Asia, East Asia, and Oceania</w:t>
      </w:r>
      <w:r>
        <w:rPr>
          <w:rFonts w:hint="eastAsia" w:ascii="Times New Roman" w:hAnsi="Times New Roman"/>
          <w:sz w:val="20"/>
          <w:szCs w:val="20"/>
        </w:rPr>
        <w:t xml:space="preserve">; </w:t>
      </w:r>
      <w:r>
        <w:rPr>
          <w:rFonts w:ascii="Times New Roman" w:hAnsi="Times New Roman"/>
          <w:sz w:val="20"/>
          <w:szCs w:val="20"/>
        </w:rPr>
        <w:t>Sub-Saharan Africa</w:t>
      </w:r>
      <w:r>
        <w:rPr>
          <w:rFonts w:hint="eastAsia" w:ascii="Times New Roman" w:hAnsi="Times New Roman"/>
          <w:sz w:val="20"/>
          <w:szCs w:val="20"/>
        </w:rPr>
        <w:t>).</w:t>
      </w:r>
    </w:p>
    <w:p w14:paraId="533D043B">
      <w:pPr>
        <w:rPr>
          <w:rFonts w:ascii="Times New Roman" w:hAnsi="Times New Roman"/>
        </w:rPr>
      </w:pPr>
    </w:p>
    <w:p w14:paraId="13432758">
      <w:pPr>
        <w:rPr>
          <w:rFonts w:ascii="Times New Roman" w:hAnsi="Times New Roman"/>
        </w:rPr>
      </w:pPr>
      <w:r>
        <w:rPr>
          <w:rFonts w:hint="eastAsia" w:ascii="Times New Roman" w:hAnsi="Times New Roman"/>
          <w:sz w:val="20"/>
          <w:szCs w:val="20"/>
        </w:rPr>
        <w:t>3.</w:t>
      </w:r>
      <w:r>
        <w:rPr>
          <w:rFonts w:ascii="Times New Roman" w:hAnsi="Times New Roman"/>
          <w:sz w:val="20"/>
          <w:szCs w:val="20"/>
        </w:rPr>
        <w:t xml:space="preserve"> Estimation of</w:t>
      </w:r>
      <w:r>
        <w:rPr>
          <w:rFonts w:ascii="Times New Roman" w:hAnsi="Times New Roman"/>
        </w:rPr>
        <w:t xml:space="preserve"> </w:t>
      </w:r>
      <w:r>
        <w:rPr>
          <w:rFonts w:hint="eastAsia" w:ascii="Times New Roman" w:hAnsi="Times New Roman"/>
          <w:lang w:val="en-US" w:eastAsia="zh-CN"/>
        </w:rPr>
        <w:t>g</w:t>
      </w:r>
      <w:r>
        <w:rPr>
          <w:rFonts w:ascii="Times New Roman" w:hAnsi="Times New Roman" w:cs="Times New Roman"/>
          <w:sz w:val="20"/>
          <w:szCs w:val="20"/>
        </w:rPr>
        <w:t>reenspace</w:t>
      </w:r>
      <w:r>
        <w:rPr>
          <w:rFonts w:hint="eastAsia" w:ascii="Times New Roman" w:hAnsi="Times New Roman" w:cs="Times New Roman"/>
          <w:sz w:val="20"/>
          <w:szCs w:val="20"/>
        </w:rPr>
        <w:t xml:space="preserve"> </w:t>
      </w:r>
      <w:r>
        <w:rPr>
          <w:rFonts w:hint="eastAsia" w:ascii="Times New Roman" w:hAnsi="Times New Roman" w:cs="Times New Roman"/>
          <w:sz w:val="20"/>
          <w:szCs w:val="20"/>
          <w:lang w:val="en-US" w:eastAsia="zh-CN"/>
        </w:rPr>
        <w:t>access</w:t>
      </w:r>
      <w:r>
        <w:rPr>
          <w:rFonts w:ascii="Times New Roman" w:hAnsi="Times New Roman"/>
        </w:rPr>
        <w:t xml:space="preserve"> </w:t>
      </w:r>
    </w:p>
    <w:p w14:paraId="20704E06">
      <w:pPr>
        <w:rPr>
          <w:rFonts w:ascii="Times New Roman" w:hAnsi="Times New Roman" w:cs="Times New Roman"/>
          <w:b/>
          <w:bCs/>
          <w:sz w:val="20"/>
          <w:szCs w:val="20"/>
        </w:rPr>
      </w:pPr>
      <w:r>
        <w:rPr>
          <w:rFonts w:ascii="Times New Roman" w:hAnsi="Times New Roman"/>
          <w:sz w:val="20"/>
          <w:szCs w:val="20"/>
        </w:rPr>
        <w:t>The population-weighted exposure model was used to assess the spatial interaction between population and greenspace</w:t>
      </w:r>
      <w:r>
        <w:rPr>
          <w:rFonts w:hint="eastAsia" w:ascii="Times New Roman" w:hAnsi="Times New Roman"/>
          <w:sz w:val="20"/>
          <w:szCs w:val="20"/>
        </w:rPr>
        <w:t>, with h</w:t>
      </w:r>
      <w:r>
        <w:rPr>
          <w:rFonts w:ascii="Times New Roman" w:hAnsi="Times New Roman"/>
          <w:sz w:val="20"/>
          <w:szCs w:val="20"/>
        </w:rPr>
        <w:t>igher weights were allocated to greenspace exposure in areas with higher population density</w:t>
      </w:r>
      <w:r>
        <w:rPr>
          <w:rFonts w:hint="eastAsia" w:ascii="Times New Roman" w:hAnsi="Times New Roman"/>
          <w:sz w:val="20"/>
          <w:szCs w:val="20"/>
        </w:rPr>
        <w:t>.</w:t>
      </w:r>
      <w:r>
        <w:rPr>
          <w:rFonts w:ascii="Times New Roman" w:hAnsi="Times New Roman" w:cs="Times New Roman"/>
          <w:color w:val="080000"/>
          <w:kern w:val="0"/>
          <w:sz w:val="20"/>
          <w:szCs w:val="20"/>
          <w:vertAlign w:val="superscript"/>
        </w:rPr>
        <w:t>3</w:t>
      </w:r>
      <w:r>
        <w:rPr>
          <w:rFonts w:hint="eastAsia" w:ascii="Times New Roman" w:hAnsi="Times New Roman"/>
          <w:sz w:val="20"/>
          <w:szCs w:val="20"/>
        </w:rPr>
        <w:t xml:space="preserve"> </w:t>
      </w:r>
      <w:r>
        <w:rPr>
          <w:rFonts w:hint="eastAsia" w:ascii="Times New Roman" w:hAnsi="Times New Roman"/>
          <w:sz w:val="20"/>
          <w:szCs w:val="20"/>
          <w:lang w:val="en-US" w:eastAsia="zh-CN"/>
        </w:rPr>
        <w:t>G</w:t>
      </w:r>
      <w:r>
        <w:rPr>
          <w:rFonts w:ascii="Times New Roman" w:hAnsi="Times New Roman"/>
          <w:sz w:val="20"/>
          <w:szCs w:val="20"/>
        </w:rPr>
        <w:t>reenspace</w:t>
      </w:r>
      <w:r>
        <w:rPr>
          <w:rFonts w:hint="eastAsia" w:ascii="Times New Roman" w:hAnsi="Times New Roman"/>
          <w:sz w:val="20"/>
          <w:szCs w:val="20"/>
        </w:rPr>
        <w:t xml:space="preserve"> </w:t>
      </w:r>
      <w:r>
        <w:rPr>
          <w:rFonts w:hint="eastAsia" w:ascii="Times New Roman" w:hAnsi="Times New Roman"/>
          <w:sz w:val="20"/>
          <w:szCs w:val="20"/>
          <w:lang w:val="en-US" w:eastAsia="zh-CN"/>
        </w:rPr>
        <w:t>access</w:t>
      </w:r>
      <w:r>
        <w:rPr>
          <w:rFonts w:hint="eastAsia" w:ascii="Times New Roman" w:hAnsi="Times New Roman"/>
          <w:sz w:val="20"/>
          <w:szCs w:val="20"/>
        </w:rPr>
        <w:t xml:space="preserve"> was calculated as follows:</w:t>
      </w:r>
    </w:p>
    <w:p w14:paraId="429FD7D8">
      <w:pPr>
        <w:rPr>
          <w:rFonts w:ascii="Times New Roman" w:hAnsi="Times New Roman" w:cs="Times New Roman"/>
          <w:b/>
          <w:bCs/>
          <w:sz w:val="20"/>
          <w:szCs w:val="20"/>
        </w:rPr>
      </w:pPr>
      <m:oMathPara>
        <m:oMath>
          <m:sSup>
            <m:sSupPr>
              <m:ctrlPr>
                <w:rPr>
                  <w:rFonts w:ascii="Cambria Math" w:hAnsi="Cambria Math" w:eastAsia="Cambria Math" w:cs="Cambria Math"/>
                  <w:bCs/>
                  <w:i/>
                  <w:sz w:val="20"/>
                  <w:szCs w:val="20"/>
                </w:rPr>
              </m:ctrlPr>
            </m:sSupPr>
            <m:e>
              <m:r>
                <m:rPr/>
                <w:rPr>
                  <w:rFonts w:ascii="Cambria Math" w:hAnsi="Cambria Math" w:eastAsia="Cambria Math" w:cs="Cambria Math"/>
                  <w:sz w:val="20"/>
                  <w:szCs w:val="20"/>
                </w:rPr>
                <m:t>G</m:t>
              </m:r>
              <m:r>
                <m:rPr/>
                <w:rPr>
                  <w:rFonts w:ascii="Cambria Math" w:hAnsi="Cambria Math" w:cs="Cambria Math"/>
                  <w:sz w:val="20"/>
                  <w:szCs w:val="20"/>
                </w:rPr>
                <m:t>E</m:t>
              </m:r>
              <m:ctrlPr>
                <w:rPr>
                  <w:rFonts w:ascii="Cambria Math" w:hAnsi="Cambria Math" w:eastAsia="Cambria Math" w:cs="Cambria Math"/>
                  <w:bCs/>
                  <w:i/>
                  <w:sz w:val="20"/>
                  <w:szCs w:val="20"/>
                </w:rPr>
              </m:ctrlPr>
            </m:e>
            <m:sup>
              <m:r>
                <m:rPr/>
                <w:rPr>
                  <w:rFonts w:ascii="Cambria Math" w:hAnsi="Cambria Math" w:eastAsia="Cambria Math" w:cs="Cambria Math"/>
                  <w:sz w:val="20"/>
                  <w:szCs w:val="20"/>
                </w:rPr>
                <m:t>d</m:t>
              </m:r>
              <m:ctrlPr>
                <w:rPr>
                  <w:rFonts w:ascii="Cambria Math" w:hAnsi="Cambria Math" w:eastAsia="Cambria Math" w:cs="Cambria Math"/>
                  <w:bCs/>
                  <w:i/>
                  <w:sz w:val="20"/>
                  <w:szCs w:val="20"/>
                </w:rPr>
              </m:ctrlPr>
            </m:sup>
          </m:sSup>
          <m:r>
            <m:rPr>
              <m:sty m:val="p"/>
            </m:rPr>
            <w:rPr>
              <w:rFonts w:ascii="Cambria Math" w:hAnsi="Cambria Math" w:eastAsia="Cambria Math" w:cs="Cambria Math"/>
              <w:sz w:val="20"/>
              <w:szCs w:val="20"/>
            </w:rPr>
            <m:t>=</m:t>
          </m:r>
          <m:f>
            <m:fPr>
              <m:ctrlPr>
                <w:rPr>
                  <w:rFonts w:ascii="Cambria Math" w:hAnsi="Cambria Math" w:eastAsia="Cambria Math" w:cs="Times New Roman"/>
                  <w:bCs/>
                  <w:sz w:val="20"/>
                  <w:szCs w:val="20"/>
                </w:rPr>
              </m:ctrlPr>
            </m:fPr>
            <m:num>
              <m:nary>
                <m:naryPr>
                  <m:chr m:val="∑"/>
                  <m:limLoc m:val="subSup"/>
                  <m:ctrlPr>
                    <w:rPr>
                      <w:rFonts w:ascii="Cambria Math" w:hAnsi="Cambria Math" w:eastAsia="Cambria Math" w:cs="Times New Roman"/>
                      <w:bCs/>
                      <w:i/>
                      <w:sz w:val="20"/>
                      <w:szCs w:val="20"/>
                    </w:rPr>
                  </m:ctrlPr>
                </m:naryPr>
                <m:sub>
                  <m:r>
                    <m:rPr/>
                    <w:rPr>
                      <w:rFonts w:ascii="Cambria Math" w:hAnsi="Cambria Math" w:eastAsia="Cambria Math" w:cs="Times New Roman"/>
                      <w:sz w:val="20"/>
                      <w:szCs w:val="20"/>
                    </w:rPr>
                    <m:t>i</m:t>
                  </m:r>
                  <m:r>
                    <m:rPr/>
                    <w:rPr>
                      <w:rFonts w:ascii="Cambria Math" w:hAnsi="Cambria Math" w:cs="Times New Roman"/>
                      <w:sz w:val="20"/>
                      <w:szCs w:val="20"/>
                    </w:rPr>
                    <m:t>=1</m:t>
                  </m:r>
                  <m:ctrlPr>
                    <w:rPr>
                      <w:rFonts w:ascii="Cambria Math" w:hAnsi="Cambria Math" w:eastAsia="Cambria Math" w:cs="Times New Roman"/>
                      <w:bCs/>
                      <w:i/>
                      <w:sz w:val="20"/>
                      <w:szCs w:val="20"/>
                    </w:rPr>
                  </m:ctrlPr>
                </m:sub>
                <m:sup>
                  <m:r>
                    <m:rPr/>
                    <w:rPr>
                      <w:rFonts w:ascii="Cambria Math" w:hAnsi="Cambria Math" w:eastAsia="Cambria Math" w:cs="Times New Roman"/>
                      <w:sz w:val="20"/>
                      <w:szCs w:val="20"/>
                    </w:rPr>
                    <m:t>N</m:t>
                  </m:r>
                  <m:ctrlPr>
                    <w:rPr>
                      <w:rFonts w:ascii="Cambria Math" w:hAnsi="Cambria Math" w:eastAsia="Cambria Math" w:cs="Times New Roman"/>
                      <w:bCs/>
                      <w:i/>
                      <w:sz w:val="20"/>
                      <w:szCs w:val="20"/>
                    </w:rPr>
                  </m:ctrlPr>
                </m:sup>
                <m:e>
                  <m:sSub>
                    <m:sSubPr>
                      <m:ctrlPr>
                        <w:rPr>
                          <w:rFonts w:ascii="Cambria Math" w:hAnsi="Cambria Math" w:eastAsia="Cambria Math" w:cs="Times New Roman"/>
                          <w:bCs/>
                          <w:i/>
                          <w:sz w:val="20"/>
                          <w:szCs w:val="20"/>
                        </w:rPr>
                      </m:ctrlPr>
                    </m:sSubPr>
                    <m:e>
                      <m:r>
                        <m:rPr/>
                        <w:rPr>
                          <w:rFonts w:ascii="Cambria Math" w:hAnsi="Cambria Math" w:eastAsia="Cambria Math" w:cs="Times New Roman"/>
                          <w:sz w:val="20"/>
                          <w:szCs w:val="20"/>
                        </w:rPr>
                        <m:t>P</m:t>
                      </m:r>
                      <m:ctrlPr>
                        <w:rPr>
                          <w:rFonts w:ascii="Cambria Math" w:hAnsi="Cambria Math" w:eastAsia="Cambria Math" w:cs="Times New Roman"/>
                          <w:bCs/>
                          <w:i/>
                          <w:sz w:val="20"/>
                          <w:szCs w:val="20"/>
                        </w:rPr>
                      </m:ctrlPr>
                    </m:e>
                    <m:sub>
                      <m:r>
                        <m:rPr/>
                        <w:rPr>
                          <w:rFonts w:ascii="Cambria Math" w:hAnsi="Cambria Math" w:eastAsia="Cambria Math" w:cs="Times New Roman"/>
                          <w:sz w:val="20"/>
                          <w:szCs w:val="20"/>
                        </w:rPr>
                        <m:t>i</m:t>
                      </m:r>
                      <m:ctrlPr>
                        <w:rPr>
                          <w:rFonts w:ascii="Cambria Math" w:hAnsi="Cambria Math" w:eastAsia="Cambria Math" w:cs="Times New Roman"/>
                          <w:bCs/>
                          <w:i/>
                          <w:sz w:val="20"/>
                          <w:szCs w:val="20"/>
                        </w:rPr>
                      </m:ctrlPr>
                    </m:sub>
                  </m:sSub>
                  <m:r>
                    <m:rPr/>
                    <w:rPr>
                      <w:rFonts w:ascii="Cambria Math" w:hAnsi="Cambria Math" w:eastAsia="Cambria Math" w:cs="Times New Roman"/>
                      <w:sz w:val="20"/>
                      <w:szCs w:val="20"/>
                    </w:rPr>
                    <m:t>∗</m:t>
                  </m:r>
                  <m:sSubSup>
                    <m:sSubSupPr>
                      <m:ctrlPr>
                        <w:rPr>
                          <w:rFonts w:ascii="Cambria Math" w:hAnsi="Cambria Math" w:cs="Times New Roman"/>
                          <w:bCs/>
                          <w:i/>
                          <w:sz w:val="20"/>
                          <w:szCs w:val="20"/>
                        </w:rPr>
                      </m:ctrlPr>
                    </m:sSubSupPr>
                    <m:e>
                      <m:r>
                        <m:rPr/>
                        <w:rPr>
                          <w:rFonts w:ascii="Cambria Math" w:hAnsi="Cambria Math" w:cs="Times New Roman"/>
                          <w:sz w:val="20"/>
                          <w:szCs w:val="20"/>
                        </w:rPr>
                        <m:t>G</m:t>
                      </m:r>
                      <m:ctrlPr>
                        <w:rPr>
                          <w:rFonts w:ascii="Cambria Math" w:hAnsi="Cambria Math" w:cs="Times New Roman"/>
                          <w:bCs/>
                          <w:i/>
                          <w:sz w:val="20"/>
                          <w:szCs w:val="20"/>
                        </w:rPr>
                      </m:ctrlPr>
                    </m:e>
                    <m:sub>
                      <m:r>
                        <m:rPr/>
                        <w:rPr>
                          <w:rFonts w:ascii="Cambria Math" w:hAnsi="Cambria Math" w:cs="Times New Roman"/>
                          <w:sz w:val="20"/>
                          <w:szCs w:val="20"/>
                        </w:rPr>
                        <m:t>i</m:t>
                      </m:r>
                      <m:ctrlPr>
                        <w:rPr>
                          <w:rFonts w:ascii="Cambria Math" w:hAnsi="Cambria Math" w:cs="Times New Roman"/>
                          <w:bCs/>
                          <w:i/>
                          <w:sz w:val="20"/>
                          <w:szCs w:val="20"/>
                        </w:rPr>
                      </m:ctrlPr>
                    </m:sub>
                    <m:sup>
                      <m:r>
                        <m:rPr/>
                        <w:rPr>
                          <w:rFonts w:ascii="Cambria Math" w:hAnsi="Cambria Math" w:cs="Times New Roman"/>
                          <w:sz w:val="20"/>
                          <w:szCs w:val="20"/>
                        </w:rPr>
                        <m:t>d</m:t>
                      </m:r>
                      <m:ctrlPr>
                        <w:rPr>
                          <w:rFonts w:ascii="Cambria Math" w:hAnsi="Cambria Math" w:cs="Times New Roman"/>
                          <w:bCs/>
                          <w:i/>
                          <w:sz w:val="20"/>
                          <w:szCs w:val="20"/>
                        </w:rPr>
                      </m:ctrlPr>
                    </m:sup>
                  </m:sSubSup>
                  <m:ctrlPr>
                    <w:rPr>
                      <w:rFonts w:ascii="Cambria Math" w:hAnsi="Cambria Math" w:eastAsia="Cambria Math" w:cs="Times New Roman"/>
                      <w:bCs/>
                      <w:i/>
                      <w:sz w:val="20"/>
                      <w:szCs w:val="20"/>
                    </w:rPr>
                  </m:ctrlPr>
                </m:e>
              </m:nary>
              <m:ctrlPr>
                <w:rPr>
                  <w:rFonts w:ascii="Cambria Math" w:hAnsi="Cambria Math" w:eastAsia="Cambria Math" w:cs="Times New Roman"/>
                  <w:bCs/>
                  <w:sz w:val="20"/>
                  <w:szCs w:val="20"/>
                </w:rPr>
              </m:ctrlPr>
            </m:num>
            <m:den>
              <m:nary>
                <m:naryPr>
                  <m:chr m:val="∑"/>
                  <m:limLoc m:val="undOvr"/>
                  <m:ctrlPr>
                    <w:rPr>
                      <w:rFonts w:ascii="Cambria Math" w:hAnsi="Cambria Math" w:eastAsia="Cambria Math" w:cs="Times New Roman"/>
                      <w:bCs/>
                      <w:i/>
                      <w:sz w:val="20"/>
                      <w:szCs w:val="20"/>
                    </w:rPr>
                  </m:ctrlPr>
                </m:naryPr>
                <m:sub>
                  <m:r>
                    <m:rPr/>
                    <w:rPr>
                      <w:rFonts w:ascii="Cambria Math" w:hAnsi="Cambria Math" w:eastAsia="Cambria Math" w:cs="Times New Roman"/>
                      <w:sz w:val="20"/>
                      <w:szCs w:val="20"/>
                    </w:rPr>
                    <m:t>i</m:t>
                  </m:r>
                  <m:r>
                    <m:rPr/>
                    <w:rPr>
                      <w:rFonts w:ascii="Cambria Math" w:hAnsi="Cambria Math" w:cs="Times New Roman"/>
                      <w:sz w:val="20"/>
                      <w:szCs w:val="20"/>
                    </w:rPr>
                    <m:t>=1</m:t>
                  </m:r>
                  <m:ctrlPr>
                    <w:rPr>
                      <w:rFonts w:ascii="Cambria Math" w:hAnsi="Cambria Math" w:eastAsia="Cambria Math" w:cs="Times New Roman"/>
                      <w:bCs/>
                      <w:i/>
                      <w:sz w:val="20"/>
                      <w:szCs w:val="20"/>
                    </w:rPr>
                  </m:ctrlPr>
                </m:sub>
                <m:sup>
                  <m:r>
                    <m:rPr/>
                    <w:rPr>
                      <w:rFonts w:ascii="Cambria Math" w:hAnsi="Cambria Math" w:eastAsia="Cambria Math" w:cs="Times New Roman"/>
                      <w:sz w:val="20"/>
                      <w:szCs w:val="20"/>
                    </w:rPr>
                    <m:t>N</m:t>
                  </m:r>
                  <m:ctrlPr>
                    <w:rPr>
                      <w:rFonts w:ascii="Cambria Math" w:hAnsi="Cambria Math" w:eastAsia="Cambria Math" w:cs="Times New Roman"/>
                      <w:bCs/>
                      <w:i/>
                      <w:sz w:val="20"/>
                      <w:szCs w:val="20"/>
                    </w:rPr>
                  </m:ctrlPr>
                </m:sup>
                <m:e>
                  <m:sSub>
                    <m:sSubPr>
                      <m:ctrlPr>
                        <w:rPr>
                          <w:rFonts w:ascii="Cambria Math" w:hAnsi="Cambria Math" w:eastAsia="Cambria Math" w:cs="Times New Roman"/>
                          <w:bCs/>
                          <w:i/>
                          <w:sz w:val="20"/>
                          <w:szCs w:val="20"/>
                        </w:rPr>
                      </m:ctrlPr>
                    </m:sSubPr>
                    <m:e>
                      <m:r>
                        <m:rPr/>
                        <w:rPr>
                          <w:rFonts w:ascii="Cambria Math" w:hAnsi="Cambria Math" w:eastAsia="Cambria Math" w:cs="Times New Roman"/>
                          <w:sz w:val="20"/>
                          <w:szCs w:val="20"/>
                        </w:rPr>
                        <m:t>P</m:t>
                      </m:r>
                      <m:ctrlPr>
                        <w:rPr>
                          <w:rFonts w:ascii="Cambria Math" w:hAnsi="Cambria Math" w:eastAsia="Cambria Math" w:cs="Times New Roman"/>
                          <w:bCs/>
                          <w:i/>
                          <w:sz w:val="20"/>
                          <w:szCs w:val="20"/>
                        </w:rPr>
                      </m:ctrlPr>
                    </m:e>
                    <m:sub>
                      <m:r>
                        <m:rPr/>
                        <w:rPr>
                          <w:rFonts w:ascii="Cambria Math" w:hAnsi="Cambria Math" w:eastAsia="Cambria Math" w:cs="Times New Roman"/>
                          <w:sz w:val="20"/>
                          <w:szCs w:val="20"/>
                        </w:rPr>
                        <m:t>i</m:t>
                      </m:r>
                      <m:ctrlPr>
                        <w:rPr>
                          <w:rFonts w:ascii="Cambria Math" w:hAnsi="Cambria Math" w:eastAsia="Cambria Math" w:cs="Times New Roman"/>
                          <w:bCs/>
                          <w:i/>
                          <w:sz w:val="20"/>
                          <w:szCs w:val="20"/>
                        </w:rPr>
                      </m:ctrlPr>
                    </m:sub>
                  </m:sSub>
                  <m:ctrlPr>
                    <w:rPr>
                      <w:rFonts w:ascii="Cambria Math" w:hAnsi="Cambria Math" w:eastAsia="Cambria Math" w:cs="Times New Roman"/>
                      <w:bCs/>
                      <w:i/>
                      <w:sz w:val="20"/>
                      <w:szCs w:val="20"/>
                    </w:rPr>
                  </m:ctrlPr>
                </m:e>
              </m:nary>
              <m:ctrlPr>
                <w:rPr>
                  <w:rFonts w:ascii="Cambria Math" w:hAnsi="Cambria Math" w:eastAsia="Cambria Math" w:cs="Times New Roman"/>
                  <w:bCs/>
                  <w:sz w:val="20"/>
                  <w:szCs w:val="20"/>
                </w:rPr>
              </m:ctrlPr>
            </m:den>
          </m:f>
        </m:oMath>
      </m:oMathPara>
    </w:p>
    <w:p w14:paraId="1CCB2358">
      <w:pPr>
        <w:ind w:firstLine="400" w:firstLineChars="200"/>
        <w:rPr>
          <w:rFonts w:hint="default" w:ascii="Times New Roman" w:hAnsi="Times New Roman" w:eastAsiaTheme="minorEastAsia"/>
          <w:sz w:val="20"/>
          <w:szCs w:val="20"/>
          <w:lang w:val="en-US" w:eastAsia="zh-CN"/>
        </w:rPr>
      </w:pPr>
      <w:r>
        <w:rPr>
          <w:rFonts w:ascii="Times New Roman" w:hAnsi="Times New Roman"/>
          <w:sz w:val="20"/>
          <w:szCs w:val="20"/>
        </w:rPr>
        <w:t xml:space="preserve">where </w:t>
      </w:r>
      <w:r>
        <w:rPr>
          <w:rFonts w:ascii="Times New Roman" w:hAnsi="Times New Roman"/>
          <w:i/>
          <w:iCs/>
          <w:sz w:val="20"/>
          <w:szCs w:val="20"/>
        </w:rPr>
        <w:t>P</w:t>
      </w:r>
      <w:r>
        <w:rPr>
          <w:rFonts w:ascii="Times New Roman" w:hAnsi="Times New Roman"/>
          <w:i/>
          <w:iCs/>
          <w:sz w:val="20"/>
          <w:szCs w:val="20"/>
          <w:vertAlign w:val="subscript"/>
        </w:rPr>
        <w:t>i</w:t>
      </w:r>
      <w:r>
        <w:rPr>
          <w:rFonts w:ascii="Times New Roman" w:hAnsi="Times New Roman"/>
          <w:sz w:val="20"/>
          <w:szCs w:val="20"/>
        </w:rPr>
        <w:t xml:space="preserve"> </w:t>
      </w:r>
      <w:r>
        <w:rPr>
          <w:rFonts w:hint="eastAsia" w:ascii="Times New Roman" w:hAnsi="Times New Roman"/>
          <w:sz w:val="20"/>
          <w:szCs w:val="20"/>
        </w:rPr>
        <w:t>is</w:t>
      </w:r>
      <w:r>
        <w:rPr>
          <w:rFonts w:ascii="Times New Roman" w:hAnsi="Times New Roman"/>
          <w:sz w:val="20"/>
          <w:szCs w:val="20"/>
        </w:rPr>
        <w:t xml:space="preserve"> the population of grid</w:t>
      </w:r>
      <w:r>
        <w:rPr>
          <w:rFonts w:hint="eastAsia" w:ascii="Times New Roman" w:hAnsi="Times New Roman"/>
          <w:sz w:val="20"/>
          <w:szCs w:val="20"/>
        </w:rPr>
        <w:t xml:space="preserve"> </w:t>
      </w:r>
      <w:r>
        <w:rPr>
          <w:rFonts w:hint="eastAsia" w:ascii="Times New Roman" w:hAnsi="Times New Roman"/>
          <w:i/>
          <w:iCs/>
          <w:sz w:val="20"/>
          <w:szCs w:val="20"/>
        </w:rPr>
        <w:t>i</w:t>
      </w:r>
      <w:r>
        <w:rPr>
          <w:rFonts w:ascii="Times New Roman" w:hAnsi="Times New Roman"/>
          <w:sz w:val="20"/>
          <w:szCs w:val="20"/>
        </w:rPr>
        <w:t xml:space="preserve">, </w:t>
      </w:r>
      <m:oMath>
        <m:sSubSup>
          <m:sSubSupPr>
            <m:ctrlPr>
              <w:rPr>
                <w:rFonts w:ascii="Cambria Math" w:hAnsi="Cambria Math" w:cs="Times New Roman"/>
                <w:bCs/>
                <w:i/>
                <w:sz w:val="20"/>
                <w:szCs w:val="20"/>
              </w:rPr>
            </m:ctrlPr>
          </m:sSubSupPr>
          <m:e>
            <m:r>
              <m:rPr>
                <m:nor/>
              </m:rPr>
              <w:rPr>
                <w:rFonts w:ascii="Times New Roman" w:hAnsi="Times New Roman" w:cs="Times New Roman"/>
                <w:bCs/>
                <w:i/>
                <w:sz w:val="20"/>
                <w:szCs w:val="20"/>
              </w:rPr>
              <m:t>G</m:t>
            </m:r>
            <m:ctrlPr>
              <w:rPr>
                <w:rFonts w:ascii="Cambria Math" w:hAnsi="Cambria Math" w:cs="Times New Roman"/>
                <w:bCs/>
                <w:i/>
                <w:sz w:val="20"/>
                <w:szCs w:val="20"/>
              </w:rPr>
            </m:ctrlPr>
          </m:e>
          <m:sub>
            <m:r>
              <m:rPr>
                <m:nor/>
              </m:rPr>
              <w:rPr>
                <w:rFonts w:ascii="Times New Roman" w:hAnsi="Times New Roman" w:cs="Times New Roman"/>
                <w:bCs/>
                <w:i/>
                <w:sz w:val="20"/>
                <w:szCs w:val="20"/>
              </w:rPr>
              <m:t>i</m:t>
            </m:r>
            <m:ctrlPr>
              <w:rPr>
                <w:rFonts w:ascii="Cambria Math" w:hAnsi="Cambria Math" w:cs="Times New Roman"/>
                <w:bCs/>
                <w:i/>
                <w:sz w:val="20"/>
                <w:szCs w:val="20"/>
              </w:rPr>
            </m:ctrlPr>
          </m:sub>
          <m:sup>
            <m:r>
              <m:rPr>
                <m:nor/>
              </m:rPr>
              <w:rPr>
                <w:rFonts w:ascii="Times New Roman" w:hAnsi="Times New Roman" w:cs="Times New Roman"/>
                <w:bCs/>
                <w:i/>
                <w:sz w:val="20"/>
                <w:szCs w:val="20"/>
              </w:rPr>
              <m:t>d</m:t>
            </m:r>
            <m:ctrlPr>
              <w:rPr>
                <w:rFonts w:ascii="Cambria Math" w:hAnsi="Cambria Math" w:cs="Times New Roman"/>
                <w:bCs/>
                <w:i/>
                <w:sz w:val="20"/>
                <w:szCs w:val="20"/>
              </w:rPr>
            </m:ctrlPr>
          </m:sup>
        </m:sSubSup>
      </m:oMath>
      <w:r>
        <w:rPr>
          <w:rFonts w:ascii="Times New Roman" w:hAnsi="Times New Roman"/>
          <w:sz w:val="20"/>
          <w:szCs w:val="20"/>
        </w:rPr>
        <w:t xml:space="preserve"> represents the fractional greenspace coverage </w:t>
      </w:r>
      <w:r>
        <w:rPr>
          <w:rFonts w:hint="eastAsia" w:ascii="Times New Roman" w:hAnsi="Times New Roman"/>
          <w:sz w:val="20"/>
          <w:szCs w:val="20"/>
        </w:rPr>
        <w:t>of</w:t>
      </w:r>
      <w:r>
        <w:rPr>
          <w:rFonts w:ascii="Times New Roman" w:hAnsi="Times New Roman"/>
          <w:sz w:val="20"/>
          <w:szCs w:val="20"/>
        </w:rPr>
        <w:t xml:space="preserve"> grid </w:t>
      </w:r>
      <w:r>
        <w:rPr>
          <w:rFonts w:hint="eastAsia" w:ascii="Times New Roman" w:hAnsi="Times New Roman"/>
          <w:sz w:val="20"/>
          <w:szCs w:val="20"/>
        </w:rPr>
        <w:t xml:space="preserve">i </w:t>
      </w:r>
      <w:r>
        <w:rPr>
          <w:rFonts w:ascii="Times New Roman" w:hAnsi="Times New Roman"/>
          <w:sz w:val="20"/>
          <w:szCs w:val="20"/>
        </w:rPr>
        <w:t xml:space="preserve">considering nearby green environments with a buffered </w:t>
      </w:r>
      <w:r>
        <w:rPr>
          <w:rFonts w:hint="eastAsia" w:ascii="Times New Roman" w:hAnsi="Times New Roman"/>
          <w:sz w:val="20"/>
          <w:szCs w:val="20"/>
        </w:rPr>
        <w:t>distances</w:t>
      </w:r>
      <w:r>
        <w:rPr>
          <w:rFonts w:ascii="Times New Roman" w:hAnsi="Times New Roman"/>
          <w:sz w:val="20"/>
          <w:szCs w:val="20"/>
        </w:rPr>
        <w:t xml:space="preserve"> of d (i.e., </w:t>
      </w:r>
      <w:r>
        <w:rPr>
          <w:rFonts w:hint="eastAsia" w:ascii="Times New Roman" w:hAnsi="Times New Roman"/>
          <w:sz w:val="20"/>
          <w:szCs w:val="20"/>
        </w:rPr>
        <w:t>1</w:t>
      </w:r>
      <w:r>
        <w:rPr>
          <w:rFonts w:ascii="Times New Roman" w:hAnsi="Times New Roman"/>
          <w:sz w:val="20"/>
          <w:szCs w:val="20"/>
        </w:rPr>
        <w:t xml:space="preserve">00, </w:t>
      </w:r>
      <w:r>
        <w:rPr>
          <w:rFonts w:hint="eastAsia" w:ascii="Times New Roman" w:hAnsi="Times New Roman"/>
          <w:sz w:val="20"/>
          <w:szCs w:val="20"/>
        </w:rPr>
        <w:t>5</w:t>
      </w:r>
      <w:r>
        <w:rPr>
          <w:rFonts w:ascii="Times New Roman" w:hAnsi="Times New Roman"/>
          <w:sz w:val="20"/>
          <w:szCs w:val="20"/>
        </w:rPr>
        <w:t>00, and 1</w:t>
      </w:r>
      <w:r>
        <w:rPr>
          <w:rFonts w:hint="eastAsia" w:ascii="Times New Roman" w:hAnsi="Times New Roman"/>
          <w:sz w:val="20"/>
          <w:szCs w:val="20"/>
        </w:rPr>
        <w:t>0</w:t>
      </w:r>
      <w:r>
        <w:rPr>
          <w:rFonts w:ascii="Times New Roman" w:hAnsi="Times New Roman"/>
          <w:sz w:val="20"/>
          <w:szCs w:val="20"/>
        </w:rPr>
        <w:t xml:space="preserve">00 m), N refers to the total number of grids within the </w:t>
      </w:r>
      <w:r>
        <w:rPr>
          <w:rFonts w:hint="eastAsia" w:ascii="Times New Roman" w:hAnsi="Times New Roman"/>
          <w:sz w:val="20"/>
          <w:szCs w:val="20"/>
        </w:rPr>
        <w:t>specific</w:t>
      </w:r>
      <w:r>
        <w:rPr>
          <w:rFonts w:ascii="Times New Roman" w:hAnsi="Times New Roman"/>
          <w:sz w:val="20"/>
          <w:szCs w:val="20"/>
        </w:rPr>
        <w:t xml:space="preserve"> administrative unit, and GE denotes the population</w:t>
      </w:r>
      <w:r>
        <w:rPr>
          <w:rFonts w:hint="eastAsia" w:ascii="Times New Roman" w:hAnsi="Times New Roman"/>
          <w:sz w:val="20"/>
          <w:szCs w:val="20"/>
        </w:rPr>
        <w:t>-</w:t>
      </w:r>
      <w:r>
        <w:rPr>
          <w:rFonts w:ascii="Times New Roman" w:hAnsi="Times New Roman"/>
          <w:sz w:val="20"/>
          <w:szCs w:val="20"/>
        </w:rPr>
        <w:t>weighted human</w:t>
      </w:r>
      <w:r>
        <w:rPr>
          <w:rFonts w:hint="eastAsia" w:ascii="Times New Roman" w:hAnsi="Times New Roman"/>
          <w:sz w:val="20"/>
          <w:szCs w:val="20"/>
        </w:rPr>
        <w:t xml:space="preserve"> </w:t>
      </w:r>
      <w:r>
        <w:rPr>
          <w:rFonts w:ascii="Times New Roman" w:hAnsi="Times New Roman"/>
          <w:sz w:val="20"/>
          <w:szCs w:val="20"/>
        </w:rPr>
        <w:t xml:space="preserve">greenspace </w:t>
      </w:r>
      <w:r>
        <w:rPr>
          <w:rFonts w:hint="eastAsia" w:ascii="Times New Roman" w:hAnsi="Times New Roman"/>
          <w:sz w:val="20"/>
          <w:szCs w:val="20"/>
          <w:lang w:val="en-US" w:eastAsia="zh-CN"/>
        </w:rPr>
        <w:t>access.</w:t>
      </w:r>
    </w:p>
    <w:p w14:paraId="720723FA">
      <w:pPr>
        <w:ind w:firstLine="420" w:firstLineChars="200"/>
        <w:rPr>
          <w:rFonts w:ascii="Times New Roman" w:hAnsi="Times New Roman"/>
        </w:rPr>
      </w:pPr>
      <w:r>
        <w:rPr>
          <w:rFonts w:ascii="Times New Roman" w:hAnsi="Times New Roman"/>
        </w:rPr>
        <w:t xml:space="preserve">Gini index was utilized to measure the </w:t>
      </w:r>
      <w:r>
        <w:rPr>
          <w:rFonts w:hint="eastAsia" w:ascii="Times New Roman" w:hAnsi="Times New Roman"/>
        </w:rPr>
        <w:t xml:space="preserve">global and regional </w:t>
      </w:r>
      <w:r>
        <w:rPr>
          <w:rFonts w:ascii="Times New Roman" w:hAnsi="Times New Roman"/>
        </w:rPr>
        <w:t xml:space="preserve">inequality in human greenspace </w:t>
      </w:r>
      <w:r>
        <w:rPr>
          <w:rFonts w:hint="eastAsia" w:ascii="Times New Roman" w:hAnsi="Times New Roman"/>
          <w:lang w:val="en-US" w:eastAsia="zh-CN"/>
        </w:rPr>
        <w:t>access</w:t>
      </w:r>
      <w:r>
        <w:rPr>
          <w:rFonts w:hint="eastAsia" w:ascii="Times New Roman" w:hAnsi="Times New Roman"/>
        </w:rPr>
        <w:t>, and the derivation process of Gini index have previously been published</w:t>
      </w:r>
      <w:r>
        <w:rPr>
          <w:rFonts w:hint="eastAsia" w:ascii="Times New Roman" w:hAnsi="Times New Roman"/>
          <w:lang w:val="en-US" w:eastAsia="zh-CN"/>
        </w:rPr>
        <w:t xml:space="preserve"> [3,4]</w:t>
      </w:r>
      <w:r>
        <w:rPr>
          <w:rFonts w:hint="eastAsia" w:ascii="Times New Roman" w:hAnsi="Times New Roman"/>
        </w:rPr>
        <w:t>.</w:t>
      </w:r>
      <w:bookmarkStart w:id="3" w:name="_GoBack"/>
      <w:bookmarkEnd w:id="3"/>
      <w:r>
        <w:rPr>
          <w:rFonts w:hint="eastAsia" w:ascii="Times New Roman" w:hAnsi="Times New Roman"/>
        </w:rPr>
        <w:t xml:space="preserve"> The Gini coefficient ranges from 0 (absolute equality) to 1 (absolute inequality), with higher values indicating greater inequality in greenspace </w:t>
      </w:r>
      <w:r>
        <w:rPr>
          <w:rFonts w:hint="eastAsia" w:ascii="Times New Roman" w:hAnsi="Times New Roman"/>
          <w:lang w:val="en-US" w:eastAsia="zh-CN"/>
        </w:rPr>
        <w:t>access</w:t>
      </w:r>
      <w:r>
        <w:rPr>
          <w:rFonts w:hint="eastAsia" w:ascii="Times New Roman" w:hAnsi="Times New Roman"/>
        </w:rPr>
        <w:t xml:space="preserve">. The </w:t>
      </w:r>
      <w:r>
        <w:rPr>
          <w:rFonts w:ascii="Times New Roman" w:hAnsi="Times New Roman"/>
        </w:rPr>
        <w:t>Gini index can be formulated as:</w:t>
      </w:r>
    </w:p>
    <w:p w14:paraId="5633333E">
      <w:pPr>
        <w:rPr>
          <w:rFonts w:ascii="Times New Roman" w:hAnsi="Times New Roman"/>
        </w:rPr>
      </w:pPr>
      <m:oMathPara>
        <m:oMath>
          <m:r>
            <m:rPr/>
            <w:rPr>
              <w:rFonts w:ascii="Cambria Math" w:hAnsi="Cambria Math" w:eastAsia="Cambria Math" w:cs="Cambria Math"/>
            </w:rPr>
            <m:t>G</m:t>
          </m:r>
          <m:r>
            <m:rPr/>
            <w:rPr>
              <w:rFonts w:ascii="Cambria Math" w:hAnsi="Cambria Math" w:cs="Cambria Math"/>
            </w:rPr>
            <m:t>ini</m:t>
          </m:r>
          <m:r>
            <m:rPr>
              <m:sty m:val="p"/>
            </m:rPr>
            <w:rPr>
              <w:rFonts w:ascii="Cambria Math" w:hAnsi="Cambria Math" w:eastAsia="Cambria Math" w:cs="Cambria Math"/>
            </w:rPr>
            <m:t>=1</m:t>
          </m:r>
          <m:r>
            <m:rPr/>
            <w:rPr>
              <w:rFonts w:ascii="Cambria Math" w:hAnsi="Cambria Math" w:cs="Cambria Math"/>
            </w:rPr>
            <m:t>−</m:t>
          </m:r>
          <m:f>
            <m:fPr>
              <m:ctrlPr>
                <w:rPr>
                  <w:rFonts w:ascii="Cambria Math" w:hAnsi="Cambria Math" w:eastAsia="Cambria Math"/>
                </w:rPr>
              </m:ctrlPr>
            </m:fPr>
            <m:num>
              <m:r>
                <m:rPr>
                  <m:sty m:val="p"/>
                </m:rPr>
                <w:rPr>
                  <w:rFonts w:ascii="Cambria Math" w:hAnsi="Cambria Math" w:eastAsia="Cambria Math" w:cs="Cambria Math"/>
                </w:rPr>
                <m:t>2∗</m:t>
              </m:r>
              <m:nary>
                <m:naryPr>
                  <m:chr m:val="∑"/>
                  <m:limLoc m:val="subSup"/>
                  <m:ctrlPr>
                    <w:rPr>
                      <w:rFonts w:ascii="Cambria Math" w:hAnsi="Cambria Math" w:eastAsia="Cambria Math" w:cs="Cambria Math"/>
                    </w:rPr>
                  </m:ctrlPr>
                </m:naryPr>
                <m:sub>
                  <m:r>
                    <m:rPr/>
                    <w:rPr>
                      <w:rFonts w:ascii="Cambria Math" w:hAnsi="Cambria Math" w:eastAsia="Cambria Math" w:cs="Cambria Math"/>
                    </w:rPr>
                    <m:t>i</m:t>
                  </m:r>
                  <m:r>
                    <m:rPr/>
                    <w:rPr>
                      <w:rFonts w:ascii="Cambria Math" w:hAnsi="Cambria Math" w:cs="Cambria Math"/>
                    </w:rPr>
                    <m:t>=1</m:t>
                  </m:r>
                  <m:ctrlPr>
                    <w:rPr>
                      <w:rFonts w:ascii="Cambria Math" w:hAnsi="Cambria Math" w:eastAsia="Cambria Math" w:cs="Cambria Math"/>
                    </w:rPr>
                  </m:ctrlPr>
                </m:sub>
                <m:sup>
                  <m:r>
                    <m:rPr/>
                    <w:rPr>
                      <w:rFonts w:hint="eastAsia" w:ascii="Cambria Math" w:hAnsi="Cambria Math" w:cs="Cambria Math"/>
                    </w:rPr>
                    <m:t>n</m:t>
                  </m:r>
                  <m:ctrlPr>
                    <w:rPr>
                      <w:rFonts w:ascii="Cambria Math" w:hAnsi="Cambria Math" w:eastAsia="Cambria Math" w:cs="Cambria Math"/>
                    </w:rPr>
                  </m:ctrlPr>
                </m:sup>
                <m:e>
                  <m:nary>
                    <m:naryPr>
                      <m:chr m:val="∑"/>
                      <m:limLoc m:val="undOvr"/>
                      <m:ctrlPr>
                        <w:rPr>
                          <w:rFonts w:ascii="Cambria Math" w:hAnsi="Cambria Math" w:eastAsia="Cambria Math" w:cs="Cambria Math"/>
                          <w:i/>
                        </w:rPr>
                      </m:ctrlPr>
                    </m:naryPr>
                    <m:sub>
                      <m:r>
                        <m:rPr/>
                        <w:rPr>
                          <w:rFonts w:ascii="Cambria Math" w:hAnsi="Cambria Math" w:eastAsia="Cambria Math" w:cs="Cambria Math"/>
                        </w:rPr>
                        <m:t>i</m:t>
                      </m:r>
                      <m:r>
                        <m:rPr/>
                        <w:rPr>
                          <w:rFonts w:ascii="Cambria Math" w:hAnsi="Cambria Math" w:cs="Cambria Math"/>
                        </w:rPr>
                        <m:t>=1</m:t>
                      </m:r>
                      <m:ctrlPr>
                        <w:rPr>
                          <w:rFonts w:ascii="Cambria Math" w:hAnsi="Cambria Math" w:eastAsia="Cambria Math" w:cs="Cambria Math"/>
                          <w:i/>
                        </w:rPr>
                      </m:ctrlPr>
                    </m:sub>
                    <m:sup>
                      <m:r>
                        <m:rPr/>
                        <w:rPr>
                          <w:rFonts w:ascii="Cambria Math" w:hAnsi="Cambria Math" w:eastAsia="Cambria Math" w:cs="Cambria Math"/>
                        </w:rPr>
                        <m:t>i</m:t>
                      </m:r>
                      <m:ctrlPr>
                        <w:rPr>
                          <w:rFonts w:ascii="Cambria Math" w:hAnsi="Cambria Math" w:eastAsia="Cambria Math" w:cs="Cambria Math"/>
                          <w:i/>
                        </w:rPr>
                      </m:ctrlPr>
                    </m:sup>
                    <m:e>
                      <m:sSub>
                        <m:sSubPr>
                          <m:ctrlPr>
                            <w:rPr>
                              <w:rFonts w:ascii="Cambria Math" w:hAnsi="Cambria Math" w:eastAsia="Cambria Math" w:cs="Cambria Math"/>
                              <w:i/>
                            </w:rPr>
                          </m:ctrlPr>
                        </m:sSubPr>
                        <m:e>
                          <m:r>
                            <m:rPr/>
                            <w:rPr>
                              <w:rFonts w:ascii="Cambria Math" w:hAnsi="Cambria Math" w:eastAsia="Cambria Math" w:cs="Cambria Math"/>
                            </w:rPr>
                            <m:t>g</m:t>
                          </m:r>
                          <m:ctrlPr>
                            <w:rPr>
                              <w:rFonts w:ascii="Cambria Math" w:hAnsi="Cambria Math" w:eastAsia="Cambria Math" w:cs="Cambria Math"/>
                              <w:i/>
                            </w:rPr>
                          </m:ctrlPr>
                        </m:e>
                        <m:sub>
                          <m:r>
                            <m:rPr/>
                            <w:rPr>
                              <w:rFonts w:ascii="Cambria Math" w:hAnsi="Cambria Math" w:eastAsia="Cambria Math" w:cs="Cambria Math"/>
                            </w:rPr>
                            <m:t>i</m:t>
                          </m:r>
                          <m:ctrlPr>
                            <w:rPr>
                              <w:rFonts w:ascii="Cambria Math" w:hAnsi="Cambria Math" w:eastAsia="Cambria Math" w:cs="Cambria Math"/>
                              <w:i/>
                            </w:rPr>
                          </m:ctrlPr>
                        </m:sub>
                      </m:sSub>
                      <m:ctrlPr>
                        <w:rPr>
                          <w:rFonts w:ascii="Cambria Math" w:hAnsi="Cambria Math" w:eastAsia="Cambria Math" w:cs="Cambria Math"/>
                          <w:i/>
                        </w:rPr>
                      </m:ctrlPr>
                    </m:e>
                  </m:nary>
                  <m:ctrlPr>
                    <w:rPr>
                      <w:rFonts w:ascii="Cambria Math" w:hAnsi="Cambria Math" w:eastAsia="Cambria Math" w:cs="Cambria Math"/>
                    </w:rPr>
                  </m:ctrlPr>
                </m:e>
              </m:nary>
              <m:ctrlPr>
                <w:rPr>
                  <w:rFonts w:ascii="Cambria Math" w:hAnsi="Cambria Math" w:eastAsia="Cambria Math"/>
                </w:rPr>
              </m:ctrlPr>
            </m:num>
            <m:den>
              <m:r>
                <m:rPr/>
                <w:rPr>
                  <w:rFonts w:ascii="Cambria Math" w:hAnsi="Cambria Math" w:eastAsia="Cambria Math" w:cs="Cambria Math"/>
                </w:rPr>
                <m:t>n∗</m:t>
              </m:r>
              <m:nary>
                <m:naryPr>
                  <m:chr m:val="∑"/>
                  <m:limLoc m:val="subSup"/>
                  <m:ctrlPr>
                    <w:rPr>
                      <w:rFonts w:ascii="Cambria Math" w:hAnsi="Cambria Math" w:cs="Cambria Math"/>
                      <w:i/>
                    </w:rPr>
                  </m:ctrlPr>
                </m:naryPr>
                <m:sub>
                  <m:r>
                    <m:rPr/>
                    <w:rPr>
                      <w:rFonts w:ascii="Cambria Math" w:hAnsi="Cambria Math" w:cs="Cambria Math"/>
                    </w:rPr>
                    <m:t>i=1</m:t>
                  </m:r>
                  <m:ctrlPr>
                    <w:rPr>
                      <w:rFonts w:ascii="Cambria Math" w:hAnsi="Cambria Math" w:cs="Cambria Math"/>
                      <w:i/>
                    </w:rPr>
                  </m:ctrlPr>
                </m:sub>
                <m:sup>
                  <m:r>
                    <m:rPr/>
                    <w:rPr>
                      <w:rFonts w:ascii="Cambria Math" w:hAnsi="Cambria Math" w:cs="Cambria Math"/>
                    </w:rPr>
                    <m:t>n</m:t>
                  </m:r>
                  <m:ctrlPr>
                    <w:rPr>
                      <w:rFonts w:ascii="Cambria Math" w:hAnsi="Cambria Math" w:cs="Cambria Math"/>
                      <w:i/>
                    </w:rPr>
                  </m:ctrlPr>
                </m:sup>
                <m:e>
                  <m:sSub>
                    <m:sSubPr>
                      <m:ctrlPr>
                        <w:rPr>
                          <w:rFonts w:ascii="Cambria Math" w:hAnsi="Cambria Math" w:cs="Cambria Math"/>
                          <w:i/>
                        </w:rPr>
                      </m:ctrlPr>
                    </m:sSubPr>
                    <m:e>
                      <m:r>
                        <m:rPr/>
                        <w:rPr>
                          <w:rFonts w:ascii="Cambria Math" w:hAnsi="Cambria Math" w:cs="Cambria Math"/>
                        </w:rPr>
                        <m:t>g</m:t>
                      </m:r>
                      <m:ctrlPr>
                        <w:rPr>
                          <w:rFonts w:ascii="Cambria Math" w:hAnsi="Cambria Math" w:cs="Cambria Math"/>
                          <w:i/>
                        </w:rPr>
                      </m:ctrlPr>
                    </m:e>
                    <m:sub>
                      <m:r>
                        <m:rPr/>
                        <w:rPr>
                          <w:rFonts w:ascii="Cambria Math" w:hAnsi="Cambria Math" w:cs="Cambria Math"/>
                        </w:rPr>
                        <m:t>i</m:t>
                      </m:r>
                      <m:ctrlPr>
                        <w:rPr>
                          <w:rFonts w:ascii="Cambria Math" w:hAnsi="Cambria Math" w:cs="Cambria Math"/>
                          <w:i/>
                        </w:rPr>
                      </m:ctrlPr>
                    </m:sub>
                  </m:sSub>
                  <m:ctrlPr>
                    <w:rPr>
                      <w:rFonts w:ascii="Cambria Math" w:hAnsi="Cambria Math" w:cs="Cambria Math"/>
                      <w:i/>
                    </w:rPr>
                  </m:ctrlPr>
                </m:e>
              </m:nary>
              <m:ctrlPr>
                <w:rPr>
                  <w:rFonts w:ascii="Cambria Math" w:hAnsi="Cambria Math" w:eastAsia="Cambria Math"/>
                </w:rPr>
              </m:ctrlPr>
            </m:den>
          </m:f>
        </m:oMath>
      </m:oMathPara>
    </w:p>
    <w:p w14:paraId="29948559">
      <w:pPr>
        <w:rPr>
          <w:rFonts w:ascii="Times New Roman" w:hAnsi="Times New Roman"/>
        </w:rPr>
      </w:pPr>
      <w:r>
        <w:rPr>
          <w:rFonts w:ascii="Times New Roman" w:hAnsi="Times New Roman"/>
        </w:rPr>
        <w:t xml:space="preserve">where n is the total population within </w:t>
      </w:r>
      <w:r>
        <w:rPr>
          <w:rFonts w:hint="eastAsia" w:ascii="Times New Roman" w:hAnsi="Times New Roman"/>
        </w:rPr>
        <w:t>a</w:t>
      </w:r>
      <w:r>
        <w:rPr>
          <w:rFonts w:ascii="Times New Roman" w:hAnsi="Times New Roman"/>
        </w:rPr>
        <w:t xml:space="preserve"> country or territory during a pre-set timeframe; g</w:t>
      </w:r>
      <w:r>
        <w:rPr>
          <w:rFonts w:ascii="Times New Roman" w:hAnsi="Times New Roman"/>
          <w:vertAlign w:val="subscript"/>
        </w:rPr>
        <w:t>i</w:t>
      </w:r>
      <w:r>
        <w:rPr>
          <w:rFonts w:ascii="Times New Roman" w:hAnsi="Times New Roman"/>
        </w:rPr>
        <w:t xml:space="preserve"> </w:t>
      </w:r>
      <w:r>
        <w:rPr>
          <w:rFonts w:hint="eastAsia" w:ascii="Times New Roman" w:hAnsi="Times New Roman"/>
        </w:rPr>
        <w:t xml:space="preserve">is the average level of </w:t>
      </w:r>
      <w:r>
        <w:rPr>
          <w:rFonts w:ascii="Times New Roman" w:hAnsi="Times New Roman"/>
        </w:rPr>
        <w:t xml:space="preserve">greenspace </w:t>
      </w:r>
      <w:r>
        <w:rPr>
          <w:rFonts w:hint="eastAsia" w:ascii="Times New Roman" w:hAnsi="Times New Roman"/>
          <w:lang w:val="en-US" w:eastAsia="zh-CN"/>
        </w:rPr>
        <w:t>access</w:t>
      </w:r>
      <w:r>
        <w:rPr>
          <w:rFonts w:hint="eastAsia" w:ascii="Times New Roman" w:hAnsi="Times New Roman"/>
        </w:rPr>
        <w:t xml:space="preserve"> of individual </w:t>
      </w:r>
      <w:r>
        <w:rPr>
          <w:rFonts w:hint="eastAsia" w:ascii="Times New Roman" w:hAnsi="Times New Roman"/>
          <w:i/>
          <w:iCs/>
        </w:rPr>
        <w:t>i</w:t>
      </w:r>
      <w:r>
        <w:rPr>
          <w:rFonts w:hint="eastAsia" w:ascii="Times New Roman" w:hAnsi="Times New Roman"/>
        </w:rPr>
        <w:t>.</w:t>
      </w:r>
    </w:p>
    <w:p w14:paraId="50E05FFA">
      <w:pPr>
        <w:rPr>
          <w:rFonts w:ascii="Times New Roman" w:hAnsi="Times New Roman"/>
          <w:b/>
          <w:bCs/>
        </w:rPr>
      </w:pPr>
      <w:r>
        <w:rPr>
          <w:rFonts w:hint="eastAsia" w:ascii="Times New Roman" w:hAnsi="Times New Roman"/>
          <w:b/>
          <w:bCs/>
        </w:rPr>
        <w:t xml:space="preserve"> </w:t>
      </w:r>
    </w:p>
    <w:p w14:paraId="162ABA0E">
      <w:pPr>
        <w:autoSpaceDE w:val="0"/>
        <w:autoSpaceDN w:val="0"/>
        <w:adjustRightInd w:val="0"/>
        <w:jc w:val="left"/>
        <w:rPr>
          <w:rFonts w:hint="eastAsia" w:ascii="宋体" w:eastAsia="宋体"/>
          <w:kern w:val="0"/>
          <w:sz w:val="24"/>
          <w:szCs w:val="24"/>
        </w:rPr>
      </w:pPr>
    </w:p>
    <w:p w14:paraId="0030715F">
      <w:pPr>
        <w:autoSpaceDE w:val="0"/>
        <w:autoSpaceDN w:val="0"/>
        <w:adjustRightInd w:val="0"/>
        <w:jc w:val="left"/>
        <w:rPr>
          <w:rFonts w:ascii="Times New Roman" w:hAnsi="Times New Roman"/>
        </w:rPr>
      </w:pPr>
      <w:r>
        <w:rPr>
          <w:rFonts w:hint="eastAsia" w:ascii="Times New Roman" w:hAnsi="Times New Roman"/>
        </w:rPr>
        <w:t>eReferences</w:t>
      </w:r>
    </w:p>
    <w:p w14:paraId="5D7A0B86">
      <w:pPr>
        <w:autoSpaceDE w:val="0"/>
        <w:autoSpaceDN w:val="0"/>
        <w:adjustRightInd w:val="0"/>
        <w:ind w:left="420" w:hanging="420"/>
        <w:rPr>
          <w:rFonts w:hint="eastAsia" w:ascii="宋体" w:eastAsia="宋体"/>
          <w:kern w:val="0"/>
          <w:sz w:val="24"/>
          <w:szCs w:val="24"/>
        </w:rPr>
      </w:pPr>
      <w:r>
        <w:rPr>
          <w:rFonts w:ascii="Times New Roman" w:hAnsi="Times New Roman" w:eastAsia="宋体" w:cs="Times New Roman"/>
          <w:color w:val="000000"/>
          <w:kern w:val="0"/>
          <w:sz w:val="20"/>
          <w:szCs w:val="20"/>
        </w:rPr>
        <w:t>1</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ab/>
      </w:r>
      <w:bookmarkStart w:id="0" w:name="_neb45B8FE67_F293_4C4D_B95C_5E541C945C2E"/>
      <w:r>
        <w:rPr>
          <w:rFonts w:ascii="Times New Roman" w:hAnsi="Times New Roman" w:eastAsia="宋体" w:cs="Times New Roman"/>
          <w:color w:val="000000"/>
          <w:kern w:val="0"/>
          <w:sz w:val="20"/>
          <w:szCs w:val="20"/>
        </w:rPr>
        <w:t xml:space="preserve">Global burden and strength of evidence for 88 risk factors in 204 countries and 811 subnational locations, 1990-2021: a systematic analysis for the Global Burden of Disease Study 2021. </w:t>
      </w:r>
      <w:r>
        <w:rPr>
          <w:rFonts w:ascii="Times New Roman" w:hAnsi="Times New Roman" w:eastAsia="宋体" w:cs="Times New Roman"/>
          <w:i/>
          <w:iCs/>
          <w:color w:val="000000"/>
          <w:kern w:val="0"/>
          <w:sz w:val="20"/>
          <w:szCs w:val="20"/>
        </w:rPr>
        <w:t>Lancet</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 xml:space="preserve"> 2024,403(10440):2162-2203.</w:t>
      </w:r>
      <w:bookmarkEnd w:id="0"/>
      <w:r>
        <w:rPr>
          <w:rFonts w:hint="eastAsia" w:ascii="Times New Roman" w:hAnsi="Times New Roman" w:eastAsia="宋体" w:cs="Times New Roman"/>
          <w:color w:val="000000"/>
          <w:kern w:val="0"/>
          <w:sz w:val="20"/>
          <w:szCs w:val="20"/>
        </w:rPr>
        <w:t xml:space="preserve"> doi:10.1016/S0140-6736(24)00933-4</w:t>
      </w:r>
    </w:p>
    <w:p w14:paraId="2E18EE7F">
      <w:pPr>
        <w:autoSpaceDE w:val="0"/>
        <w:autoSpaceDN w:val="0"/>
        <w:adjustRightInd w:val="0"/>
        <w:ind w:left="420" w:hanging="420"/>
        <w:rPr>
          <w:rFonts w:hint="eastAsia" w:ascii="宋体" w:eastAsia="宋体"/>
          <w:kern w:val="0"/>
          <w:sz w:val="24"/>
          <w:szCs w:val="24"/>
        </w:rPr>
      </w:pPr>
      <w:r>
        <w:rPr>
          <w:rFonts w:ascii="Times New Roman" w:hAnsi="Times New Roman" w:eastAsia="宋体" w:cs="Times New Roman"/>
          <w:color w:val="000000"/>
          <w:kern w:val="0"/>
          <w:sz w:val="20"/>
          <w:szCs w:val="20"/>
        </w:rPr>
        <w:t>2</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ab/>
      </w:r>
      <w:r>
        <w:rPr>
          <w:rFonts w:ascii="Times New Roman" w:hAnsi="Times New Roman" w:eastAsia="宋体" w:cs="Times New Roman"/>
          <w:color w:val="000000"/>
          <w:kern w:val="0"/>
          <w:sz w:val="20"/>
          <w:szCs w:val="20"/>
        </w:rPr>
        <w:t>Yang X, Zhang T, Zhang Y, et al. Global burden of COPD attributable to ambient PM</w:t>
      </w:r>
      <w:r>
        <w:rPr>
          <w:rFonts w:ascii="Times New Roman" w:hAnsi="Times New Roman" w:eastAsia="宋体" w:cs="Times New Roman"/>
          <w:color w:val="000000"/>
          <w:kern w:val="0"/>
          <w:sz w:val="20"/>
          <w:szCs w:val="20"/>
          <w:vertAlign w:val="subscript"/>
        </w:rPr>
        <w:t>2.5</w:t>
      </w:r>
      <w:r>
        <w:rPr>
          <w:rFonts w:ascii="Times New Roman" w:hAnsi="Times New Roman" w:eastAsia="宋体" w:cs="Times New Roman"/>
          <w:color w:val="000000"/>
          <w:kern w:val="0"/>
          <w:sz w:val="20"/>
          <w:szCs w:val="20"/>
        </w:rPr>
        <w:t xml:space="preserve"> in 204 countries and territories, 1990 to 2019: A systematic analysis for the Global Burden of Disease  Study 2019. </w:t>
      </w:r>
      <w:r>
        <w:rPr>
          <w:rFonts w:ascii="Times New Roman" w:hAnsi="Times New Roman" w:eastAsia="宋体" w:cs="Times New Roman"/>
          <w:i/>
          <w:iCs/>
          <w:color w:val="000000"/>
          <w:kern w:val="0"/>
          <w:sz w:val="20"/>
          <w:szCs w:val="20"/>
        </w:rPr>
        <w:t>Sci Total Environ</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 xml:space="preserve"> 2021,796:148819.</w:t>
      </w:r>
      <w:r>
        <w:rPr>
          <w:rFonts w:hint="eastAsia" w:ascii="Times New Roman" w:hAnsi="Times New Roman" w:eastAsia="宋体" w:cs="Times New Roman"/>
          <w:color w:val="000000"/>
          <w:kern w:val="0"/>
          <w:sz w:val="20"/>
          <w:szCs w:val="20"/>
        </w:rPr>
        <w:t xml:space="preserve"> </w:t>
      </w:r>
      <w:r>
        <w:rPr>
          <w:rFonts w:ascii="Times New Roman" w:hAnsi="Times New Roman" w:eastAsia="宋体" w:cs="Times New Roman"/>
          <w:color w:val="000000"/>
          <w:kern w:val="0"/>
          <w:sz w:val="20"/>
          <w:szCs w:val="20"/>
        </w:rPr>
        <w:t>doi:10.1016/j.scitotenv.2021.148819</w:t>
      </w:r>
    </w:p>
    <w:p w14:paraId="0D8245B2">
      <w:pPr>
        <w:autoSpaceDE w:val="0"/>
        <w:autoSpaceDN w:val="0"/>
        <w:adjustRightInd w:val="0"/>
        <w:ind w:left="420" w:hanging="420"/>
        <w:rPr>
          <w:rFonts w:hint="eastAsia" w:ascii="宋体" w:eastAsia="宋体"/>
          <w:kern w:val="0"/>
          <w:sz w:val="24"/>
          <w:szCs w:val="24"/>
        </w:rPr>
      </w:pPr>
      <w:r>
        <w:rPr>
          <w:rFonts w:ascii="Times New Roman" w:hAnsi="Times New Roman" w:eastAsia="宋体" w:cs="Times New Roman"/>
          <w:color w:val="000000"/>
          <w:kern w:val="0"/>
          <w:sz w:val="20"/>
          <w:szCs w:val="20"/>
        </w:rPr>
        <w:t>3</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ab/>
      </w:r>
      <w:r>
        <w:rPr>
          <w:rFonts w:ascii="Times New Roman" w:hAnsi="Times New Roman" w:eastAsia="宋体" w:cs="Times New Roman"/>
          <w:color w:val="000000"/>
          <w:kern w:val="0"/>
          <w:sz w:val="20"/>
          <w:szCs w:val="20"/>
        </w:rPr>
        <w:t xml:space="preserve">Chen B, Wu S, Song Y, et al. Contrasting inequality in human exposure to greenspace between cities of Global North and Global South. </w:t>
      </w:r>
      <w:r>
        <w:rPr>
          <w:rFonts w:ascii="Times New Roman" w:hAnsi="Times New Roman" w:eastAsia="宋体" w:cs="Times New Roman"/>
          <w:i/>
          <w:iCs/>
          <w:color w:val="000000"/>
          <w:kern w:val="0"/>
          <w:sz w:val="20"/>
          <w:szCs w:val="20"/>
        </w:rPr>
        <w:t>Nat Commun</w:t>
      </w:r>
      <w:r>
        <w:rPr>
          <w:rFonts w:hint="eastAsia" w:ascii="Times New Roman" w:hAnsi="Times New Roman" w:eastAsia="宋体" w:cs="Times New Roman"/>
          <w:i/>
          <w:iCs/>
          <w:color w:val="000000"/>
          <w:kern w:val="0"/>
          <w:sz w:val="20"/>
          <w:szCs w:val="20"/>
        </w:rPr>
        <w:t>.</w:t>
      </w:r>
      <w:r>
        <w:rPr>
          <w:rFonts w:ascii="Times New Roman" w:hAnsi="Times New Roman" w:eastAsia="宋体" w:cs="Times New Roman"/>
          <w:color w:val="000000"/>
          <w:kern w:val="0"/>
          <w:sz w:val="20"/>
          <w:szCs w:val="20"/>
        </w:rPr>
        <w:t xml:space="preserve"> 2022,13(1):4636.</w:t>
      </w:r>
      <w:r>
        <w:rPr>
          <w:rFonts w:hint="eastAsia" w:ascii="Times New Roman" w:hAnsi="Times New Roman" w:eastAsia="宋体" w:cs="Times New Roman"/>
          <w:color w:val="000000"/>
          <w:kern w:val="0"/>
          <w:sz w:val="20"/>
          <w:szCs w:val="20"/>
        </w:rPr>
        <w:t xml:space="preserve"> doi:10.1038/s41467-022-32258-4</w:t>
      </w:r>
    </w:p>
    <w:p w14:paraId="59B8830C">
      <w:pPr>
        <w:autoSpaceDE w:val="0"/>
        <w:autoSpaceDN w:val="0"/>
        <w:adjustRightInd w:val="0"/>
        <w:ind w:left="420" w:hanging="420"/>
        <w:rPr>
          <w:rFonts w:hint="eastAsia" w:ascii="宋体" w:eastAsia="宋体"/>
          <w:kern w:val="0"/>
          <w:sz w:val="24"/>
          <w:szCs w:val="24"/>
        </w:rPr>
      </w:pPr>
      <w:r>
        <w:rPr>
          <w:rFonts w:ascii="Times New Roman" w:hAnsi="Times New Roman" w:eastAsia="宋体" w:cs="Times New Roman"/>
          <w:color w:val="000000"/>
          <w:kern w:val="0"/>
          <w:sz w:val="20"/>
          <w:szCs w:val="20"/>
        </w:rPr>
        <w:t>4</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ab/>
      </w:r>
      <w:bookmarkStart w:id="1" w:name="_neb9985E2E5_338E_41E9_B14E_C1CC3EA8F8C3"/>
      <w:r>
        <w:rPr>
          <w:rFonts w:ascii="Times New Roman" w:hAnsi="Times New Roman" w:eastAsia="宋体" w:cs="Times New Roman"/>
          <w:color w:val="000000"/>
          <w:kern w:val="0"/>
          <w:sz w:val="20"/>
          <w:szCs w:val="20"/>
        </w:rPr>
        <w:t xml:space="preserve">Song Y, Chen B, Ho H C, et al. Observed inequality in urban greenspace exposure in China. </w:t>
      </w:r>
      <w:r>
        <w:rPr>
          <w:rFonts w:ascii="Times New Roman" w:hAnsi="Times New Roman" w:eastAsia="宋体" w:cs="Times New Roman"/>
          <w:i/>
          <w:iCs/>
          <w:color w:val="000000"/>
          <w:kern w:val="0"/>
          <w:sz w:val="20"/>
          <w:szCs w:val="20"/>
        </w:rPr>
        <w:t>Environ Int</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 xml:space="preserve"> 2021,156:106778.</w:t>
      </w:r>
      <w:bookmarkEnd w:id="1"/>
      <w:r>
        <w:rPr>
          <w:rFonts w:hint="eastAsia" w:ascii="Times New Roman" w:hAnsi="Times New Roman" w:eastAsia="宋体" w:cs="Times New Roman"/>
          <w:color w:val="000000"/>
          <w:kern w:val="0"/>
          <w:sz w:val="20"/>
          <w:szCs w:val="20"/>
        </w:rPr>
        <w:t xml:space="preserve"> doi:10.1016/j.envint.2021.106778</w:t>
      </w:r>
    </w:p>
    <w:p w14:paraId="3F74FBE6">
      <w:pPr>
        <w:pStyle w:val="4"/>
        <w:spacing w:before="168" w:beforeAutospacing="0" w:after="0" w:afterAutospacing="0"/>
        <w:jc w:val="center"/>
        <w:rPr>
          <w:rFonts w:ascii="Times New Roman" w:hAnsi="Times New Roman" w:cs="Times New Roman"/>
        </w:rPr>
      </w:pPr>
    </w:p>
    <w:p w14:paraId="06BB363B">
      <w:pPr>
        <w:widowControl/>
        <w:jc w:val="left"/>
        <w:rPr>
          <w:rFonts w:ascii="Times New Roman" w:hAnsi="Times New Roman" w:cs="Times New Roman"/>
          <w:b/>
          <w:bCs/>
          <w:sz w:val="20"/>
          <w:szCs w:val="20"/>
        </w:rPr>
      </w:pPr>
    </w:p>
    <w:p w14:paraId="011C1A10">
      <w:pPr>
        <w:pStyle w:val="4"/>
        <w:spacing w:before="168" w:beforeAutospacing="0" w:after="0" w:afterAutospacing="0"/>
        <w:rPr>
          <w:rFonts w:ascii="Times New Roman" w:hAnsi="Times New Roman" w:cs="Times New Roman" w:eastAsiaTheme="minorEastAsia"/>
          <w:b/>
          <w:bCs/>
          <w:kern w:val="2"/>
          <w:sz w:val="20"/>
          <w:szCs w:val="20"/>
        </w:rPr>
      </w:pPr>
      <w:bookmarkStart w:id="2" w:name="_Hlk175607809"/>
    </w:p>
    <w:bookmarkEnd w:id="2"/>
    <w:p w14:paraId="78F82A9A">
      <w:pPr>
        <w:widowControl/>
        <w:jc w:val="left"/>
        <w:rPr>
          <w:rFonts w:ascii="Times New Roman" w:hAnsi="Times New Roman" w:cs="Times New Roma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5832267"/>
      <w:docPartObj>
        <w:docPartGallery w:val="autotext"/>
      </w:docPartObj>
    </w:sdtPr>
    <w:sdtContent>
      <w:p w14:paraId="0E167719">
        <w:pPr>
          <w:pStyle w:val="2"/>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56FD0E78">
    <w:pPr>
      <w:pStyle w:val="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104A1D59-8FA2-4952-80BC-7744A033F449}" w:val=" ADDIN NE.Ref.{104A1D59-8FA2-4952-80BC-7744A033F449}&lt;Citation&gt;&lt;Group&gt;&lt;References&gt;&lt;Item&gt;&lt;ID&gt;1038&lt;/ID&gt;&lt;UID&gt;{9985E2E5-338E-41E9-B14E-C1CC3EA8F8C3}&lt;/UID&gt;&lt;Title&gt;Observed inequality in urban greenspace exposure in China&lt;/Title&gt;&lt;Template&gt;Journal Article&lt;/Template&gt;&lt;Star&gt;0&lt;/Star&gt;&lt;Tag&gt;0&lt;/Tag&gt;&lt;Author&gt;Song, Y; Chen, B; Ho, H C; Kwan, M P; Liu, D; Wang, F; Wang, J; Cai, J; Li, X; Xu, Y; He, Q; Wang, H; Xu, Q; Song, Y&lt;/Author&gt;&lt;Year&gt;2021&lt;/Year&gt;&lt;Details&gt;&lt;_accession_num&gt;34425646&lt;/_accession_num&gt;&lt;_author_adr&gt;Department of Land Surveying and Geo-Informatics, The Hong Kong Polytechnic  University, Hong Kong Special Administrative Region; Smart Cities Research  Institute, The Hong Kong Polytechnic University, Hong Kong Special Administrative  Region.; Division of Landscape Architecture, Faculty of Architecture, The University of  Hong Kong, Hong Kong Special Administrative Region. Electronic address:  binley.chen@hku.hk.; Department of Urban Planning and Design, The University of Hong Kong, Hong Kong  Special Administrative Region.; Department of Geography and Resource Management, The Chinese University of Hong  Kong, Hong Kong Special Administrative Region; Institute of Space and Earth  Information Science, The Chinese University of Hong Kong, Hong Kong Special  Administrative Region; Department of Human Geography and Spatial Planning,  Utrecht University, 3584 CB Utrecht, the Netherlands.; Department of Geography and Geographic Information Science, University of  Illinois at Urbana-Champaign, Urbana, IL 61801, USA; Human Environments Analysis  Laboratory, The University of Western Ontario, Social Sciences Centre, London, ON  N6A 5C2, Canada; Department of Geography and Environment, The University of  Western Ontario, Social Sciences Centre, London, ON N6A 5C2, Canada.; Department of Geography and Resource Management, The Chinese University of Hong  Kong, Hong Kong Special Administrative Region.; Department of Geography and Resource Management, The Chinese University of Hong  Kong, Hong Kong Special Administrative Region.; Department of Geography and Resource Management, The Chinese University of Hong  Kong, Hong Kong Special Administrative Region.; Department of City and Regional Planning, University of North Carolina at Chapel  Hill, NC 27599, USA.; School of Geographical Science, Guangzhou University, Guangzhou 510006, China.; School of Resource and Environmental Engineering, Wuhan University of Technology,  Wuhan 430070, China.; College of Environment and Planning, Henan University, Henan, China.; Department of Geography and Resource Management, The Chinese University of Hong  Kong, Hong Kong Special Administrative Region.; School of Design and the Built Environment, Curtin University, Perth 6845,  Australia. Electronic address: yongze.song@curtin.edu.au.&lt;/_author_adr&gt;&lt;_collection_scope&gt;SCIE;EI&lt;/_collection_scope&gt;&lt;_created&gt;65505635&lt;/_created&gt;&lt;_date&gt;2021-11-01&lt;/_date&gt;&lt;_date_display&gt;2021 Nov&lt;/_date_display&gt;&lt;_db_updated&gt;PubMed&lt;/_db_updated&gt;&lt;_doi&gt;10.1016/j.envint.2021.106778&lt;/_doi&gt;&lt;_impact_factor&gt;   9.621&lt;/_impact_factor&gt;&lt;_isbn&gt;1873-6750 (Electronic); 0160-4120 (Linking)&lt;/_isbn&gt;&lt;_journal&gt;Environ Int&lt;/_journal&gt;&lt;_keywords&gt;China; Environmental inequality; Greenspace exposure; Healthy city; Spatial heterogeneity; Urban environment&lt;/_keywords&gt;&lt;_language&gt;eng&lt;/_language&gt;&lt;_modified&gt;65505635&lt;/_modified&gt;&lt;_ori_publication&gt;Copyright (c) 2021 The Author(s). Published by Elsevier Ltd.. All rights reserved.&lt;/_ori_publication&gt;&lt;_pages&gt;106778&lt;/_pages&gt;&lt;_subject_headings&gt;China; Cities; Climate; Humans; *Parks, Recreational; *Urbanization&lt;/_subject_headings&gt;&lt;_tertiary_title&gt;Environment international&lt;/_tertiary_title&gt;&lt;_type_work&gt;Journal Article; Research Support, Non-U.S. Gov&amp;apos;t&lt;/_type_work&gt;&lt;_url&gt;http://www.ncbi.nlm.nih.gov/entrez/query.fcgi?cmd=Retrieve&amp;amp;db=pubmed&amp;amp;dopt=Abstract&amp;amp;list_uids=34425646&amp;amp;query_hl=1&lt;/_url&gt;&lt;_volume&gt;156&lt;/_volume&gt;&lt;/Details&gt;&lt;Extra&gt;&lt;DBUID&gt;{F96A950B-833F-4880-A151-76DA2D6A2879}&lt;/DBUID&gt;&lt;/Extra&gt;&lt;/Item&gt;&lt;/References&gt;&lt;/Group&gt;&lt;Group&gt;&lt;References&gt;&lt;Item&gt;&lt;ID&gt;1004&lt;/ID&gt;&lt;UID&gt;{AC3EED21-710F-4BDC-B8E3-511CF8A4001D}&lt;/UID&gt;&lt;Title&gt;Contrasting inequality in human exposure to greenspace between cities of Global  North and Global South&lt;/Title&gt;&lt;Template&gt;Journal Article&lt;/Template&gt;&lt;Star&gt;0&lt;/Star&gt;&lt;Tag&gt;0&lt;/Tag&gt;&lt;Author&gt;Chen, B; Wu, S; Song, Y; Webster, C; Xu, B; Gong, P&lt;/Author&gt;&lt;Year&gt;2022&lt;/Year&gt;&lt;Details&gt;&lt;_accession_num&gt;35941122&lt;/_accession_num&gt;&lt;_author_adr&gt;Future Urbanity &amp;amp; Sustainable Environment (FUSE) Lab, Division of Landscape  Architecture, Department of Architecture, Faculty of Architecture, The University  of Hong Kong, Hong Kong SAR, China. binley.chen@hku.hk.; Urban Systems Institute, The University of Hong Kong, Hong Kong SAR, China.  binley.chen@hku.hk.; Musketeers Foundation Institute of Data Science, The University of Hong Kong,  Hong Kong SAR, China. binley.chen@hku.hk.; Future Urbanity &amp;amp; Sustainable Environment (FUSE) Lab, Division of Landscape  Architecture, Department of Architecture, Faculty of Architecture, The University  of Hong Kong, Hong Kong SAR, China.; School of the Environment, Yale University, New Haven, CT, 06511, USA.; Urban Systems Institute, The University of Hong Kong, Hong Kong SAR, China.; Musketeers Foundation Institute of Data Science, The University of Hong Kong,  Hong Kong SAR, China.; HKUrbanLabs, Faculty of Architecture, The University of Hong Kong, Hong Kong SAR,  China.; Department of Earth System Science, Ministry of Education Ecological Field  Station for East Asian Migratory Birds, and Institute for Global Change Studies,  Tsinghua University, Beijing, 100084, China. bingxu@tsinghua.edu.cn.; Urban Systems Institute, The University of Hong Kong, Hong Kong SAR, China.  penggong@hku.hk.; Department of Geography, and Department of Earth Sciences, The University of Hong  Kong, Hong Kong SAR, China. penggong@hku.hk.&lt;/_author_adr&gt;&lt;_collection_scope&gt;SCI;SCIE&lt;/_collection_scope&gt;&lt;_created&gt;65484664&lt;/_created&gt;&lt;_date&gt;2022-08-08&lt;/_date&gt;&lt;_date_display&gt;2022 Aug 8&lt;/_date_display&gt;&lt;_db_updated&gt;PubMed&lt;/_db_updated&gt;&lt;_doi&gt;10.1038/s41467-022-32258-4&lt;/_doi&gt;&lt;_impact_factor&gt;  14.919&lt;/_impact_factor&gt;&lt;_isbn&gt;2041-1723 (Electronic); 2041-1723 (Linking)&lt;/_isbn&gt;&lt;_issue&gt;1&lt;/_issue&gt;&lt;_journal&gt;Nat Commun&lt;/_journal&gt;&lt;_language&gt;eng&lt;/_language&gt;&lt;_modified&gt;65484664&lt;/_modified&gt;&lt;_ori_publication&gt;(c) 2022. The Author(s).&lt;/_ori_publication&gt;&lt;_pages&gt;4636&lt;/_pages&gt;&lt;_subject_headings&gt;Cities; Humans; *Parks, Recreational; *Sustainable Development; United Nations&lt;/_subject_headings&gt;&lt;_tertiary_title&gt;Nature communications&lt;/_tertiary_title&gt;&lt;_type_work&gt;Journal Article; Research Support, Non-U.S. Gov&amp;apos;t&lt;/_type_work&gt;&lt;_url&gt;http://www.ncbi.nlm.nih.gov/entrez/query.fcgi?cmd=Retrieve&amp;amp;db=pubmed&amp;amp;dopt=Abstract&amp;amp;list_uids=35941122&amp;amp;query_hl=1&lt;/_url&gt;&lt;_volume&gt;13&lt;/_volume&gt;&lt;/Details&gt;&lt;Extra&gt;&lt;DBUID&gt;{F96A950B-833F-4880-A151-76DA2D6A2879}&lt;/DBUID&gt;&lt;/Extra&gt;&lt;/Item&gt;&lt;/References&gt;&lt;/Group&gt;&lt;/Citation&gt;_x000a_"/>
    <w:docVar w:name="NE.Ref{21614844-D86D-48C2-A449-60E5BFF35AFA}" w:val=" ADDIN NE.Ref.{21614844-D86D-48C2-A449-60E5BFF35AFA}&lt;Citation&gt;&lt;Group&gt;&lt;References&gt;&lt;Item&gt;&lt;ID&gt;1004&lt;/ID&gt;&lt;UID&gt;{AC3EED21-710F-4BDC-B8E3-511CF8A4001D}&lt;/UID&gt;&lt;Title&gt;Contrasting inequality in human exposure to greenspace between cities of Global  North and Global South&lt;/Title&gt;&lt;Template&gt;Journal Article&lt;/Template&gt;&lt;Star&gt;0&lt;/Star&gt;&lt;Tag&gt;0&lt;/Tag&gt;&lt;Author&gt;Chen, B; Wu, S; Song, Y; Webster, C; Xu, B; Gong, P&lt;/Author&gt;&lt;Year&gt;2022&lt;/Year&gt;&lt;Details&gt;&lt;_accession_num&gt;35941122&lt;/_accession_num&gt;&lt;_author_adr&gt;Future Urbanity &amp;amp; Sustainable Environment (FUSE) Lab, Division of Landscape  Architecture, Department of Architecture, Faculty of Architecture, The University  of Hong Kong, Hong Kong SAR, China. binley.chen@hku.hk.; Urban Systems Institute, The University of Hong Kong, Hong Kong SAR, China.  binley.chen@hku.hk.; Musketeers Foundation Institute of Data Science, The University of Hong Kong,  Hong Kong SAR, China. binley.chen@hku.hk.; Future Urbanity &amp;amp; Sustainable Environment (FUSE) Lab, Division of Landscape  Architecture, Department of Architecture, Faculty of Architecture, The University  of Hong Kong, Hong Kong SAR, China.; School of the Environment, Yale University, New Haven, CT, 06511, USA.; Urban Systems Institute, The University of Hong Kong, Hong Kong SAR, China.; Musketeers Foundation Institute of Data Science, The University of Hong Kong,  Hong Kong SAR, China.; HKUrbanLabs, Faculty of Architecture, The University of Hong Kong, Hong Kong SAR,  China.; Department of Earth System Science, Ministry of Education Ecological Field  Station for East Asian Migratory Birds, and Institute for Global Change Studies,  Tsinghua University, Beijing, 100084, China. bingxu@tsinghua.edu.cn.; Urban Systems Institute, The University of Hong Kong, Hong Kong SAR, China.  penggong@hku.hk.; Department of Geography, and Department of Earth Sciences, The University of Hong  Kong, Hong Kong SAR, China. penggong@hku.hk.&lt;/_author_adr&gt;&lt;_collection_scope&gt;SCI;SCIE&lt;/_collection_scope&gt;&lt;_created&gt;65484664&lt;/_created&gt;&lt;_date&gt;2022-08-08&lt;/_date&gt;&lt;_date_display&gt;2022 Aug 8&lt;/_date_display&gt;&lt;_db_updated&gt;PubMed&lt;/_db_updated&gt;&lt;_doi&gt;10.1038/s41467-022-32258-4&lt;/_doi&gt;&lt;_impact_factor&gt;  14.919&lt;/_impact_factor&gt;&lt;_isbn&gt;2041-1723 (Electronic); 2041-1723 (Linking)&lt;/_isbn&gt;&lt;_issue&gt;1&lt;/_issue&gt;&lt;_journal&gt;Nat Commun&lt;/_journal&gt;&lt;_language&gt;eng&lt;/_language&gt;&lt;_modified&gt;65484664&lt;/_modified&gt;&lt;_ori_publication&gt;(c) 2022. The Author(s).&lt;/_ori_publication&gt;&lt;_pages&gt;4636&lt;/_pages&gt;&lt;_subject_headings&gt;Cities; Humans; *Parks, Recreational; *Sustainable Development; United Nations&lt;/_subject_headings&gt;&lt;_tertiary_title&gt;Nature communications&lt;/_tertiary_title&gt;&lt;_type_work&gt;Journal Article; Research Support, Non-U.S. Gov&amp;apos;t&lt;/_type_work&gt;&lt;_url&gt;http://www.ncbi.nlm.nih.gov/entrez/query.fcgi?cmd=Retrieve&amp;amp;db=pubmed&amp;amp;dopt=Abstract&amp;amp;list_uids=35941122&amp;amp;query_hl=1&lt;/_url&gt;&lt;_volume&gt;13&lt;/_volume&gt;&lt;/Details&gt;&lt;Extra&gt;&lt;DBUID&gt;{F96A950B-833F-4880-A151-76DA2D6A2879}&lt;/DBUID&gt;&lt;/Extra&gt;&lt;/Item&gt;&lt;/References&gt;&lt;/Group&gt;&lt;/Citation&gt;_x000a_"/>
    <w:docVar w:name="NE.Ref{255AC890-C130-4B53-B10C-14B27D664752}" w:val=" ADDIN NE.Ref.{255AC890-C130-4B53-B10C-14B27D664752}&lt;Citation&gt;&lt;Group&gt;&lt;References&gt;&lt;Item&gt;&lt;ID&gt;1037&lt;/ID&gt;&lt;UID&gt;{AFB9C690-C8B8-4A7C-9EA0-7094EC0AFC70}&lt;/UID&gt;&lt;Title&gt;Global burden of COPD attributable to ambient PM2.5 in 204 countries and  territories, 1990 to 2019: A systematic analysis for the Global Burden of Disease  Study 2019&lt;/Title&gt;&lt;Template&gt;Journal Article&lt;/Template&gt;&lt;Star&gt;0&lt;/Star&gt;&lt;Tag&gt;0&lt;/Tag&gt;&lt;Author&gt;Yang, X; Zhang, T; Zhang, Y; Chen, H; Sang, S&lt;/Author&gt;&lt;Year&gt;2021&lt;/Year&gt;&lt;Details&gt;&lt;_created&gt;65505383&lt;/_created&gt;&lt;_modified&gt;65505401&lt;/_modified&gt;&lt;_db_updated&gt;PubMed&lt;/_db_updated&gt;&lt;_url&gt;http://www.ncbi.nlm.nih.gov/entrez/query.fcgi?cmd=Retrieve&amp;amp;db=pubmed&amp;amp;dopt=Abstract&amp;amp;list_uids=34265615&amp;amp;query_hl=1&lt;/_url&gt;&lt;_journal&gt;Sci Total Environ&lt;/_journal&gt;&lt;_volume&gt;796&lt;/_volume&gt;&lt;_pages&gt;148819&lt;/_pages&gt;&lt;_tertiary_title&gt;The Science of the total environment&lt;/_tertiary_title&gt;&lt;_doi&gt;10.1016/j.scitotenv.2021.148819&lt;/_doi&gt;&lt;_date_display&gt;2021 Nov 20&lt;/_date_display&gt;&lt;_date&gt;64105920&lt;/_date&gt;&lt;_type_work&gt;Journal Article&lt;/_type_work&gt;&lt;_isbn&gt;1879-1026 (Electronic); 0048-9697 (Linking)&lt;/_isbn&gt;&lt;_ori_publication&gt;Copyright (c) 2021 The Authors. Published by Elsevier B.V. All rights reserved.&lt;/_ori_publication&gt;&lt;_accession_num&gt;34265615&lt;/_accession_num&gt;&lt;_keywords&gt;Ambient PM2.5; COPD; Epidemiology; Global burden&lt;/_keywords&gt;&lt;_subject_headings&gt;Aged; Aged, 80 and over; Asia; *Global Burden of Disease; Humans; Particulate Matter/adverse effects/analysis; *Pulmonary Disease, Chronic Obstructive/epidemiology; Quality-Adjusted Life Years&lt;/_subject_headings&gt;&lt;_author_adr&gt;Clinical Epidemiology Unit, Qilu Hospital of Shandong University, Jinan,  Shandong, People&amp;apos;s Republic of China; Clinical Research Center of Shandong  University, Jinan, Shandong, People&amp;apos;s Republic of China.; Department of Epidemiology and Health Statistics, School of Public Health,  Cheeloo College of Medicine, Shandong University, Jinan, Shandong, People&amp;apos;s  Republic of China.; Clinical Epidemiology Unit, Qilu Hospital of Shandong University, Jinan,  Shandong, People&amp;apos;s Republic of China; Clinical Research Center of Shandong  University, Jinan, Shandong, People&amp;apos;s Republic of China.; Clinical Epidemiology Unit, Qilu Hospital of Shandong University, Jinan,  Shandong, People&amp;apos;s Republic of China; Clinical Research Center of Shandong  University, Jinan, Shandong, People&amp;apos;s Republic of China.; Clinical Epidemiology Unit, Qilu Hospital of Shandong University, Jinan,  Shandong, People&amp;apos;s Republic of China; Clinical Research Center of Shandong  University, Jinan, Shandong, People&amp;apos;s Republic of China; Department of  Epidemiology and Health Statistics, School of Public Health, Cheeloo College of  Medicine, Shandong University, Jinan, Shandong, People&amp;apos;s Republic of China.  Electronic address: sangshaowei@sdu.edu.cn.&lt;/_author_adr&gt;&lt;_language&gt;eng&lt;/_language&gt;&lt;_accessed&gt;65505401&lt;/_accessed&gt;&lt;_impact_factor&gt;   7.963&lt;/_impact_factor&gt;&lt;_collection_scope&gt;SCI;SCIE;EI&lt;/_collection_scope&gt;&lt;/Details&gt;&lt;Extra&gt;&lt;DBUID&gt;{F96A950B-833F-4880-A151-76DA2D6A2879}&lt;/DBUID&gt;&lt;/Extra&gt;&lt;/Item&gt;&lt;/References&gt;&lt;/Group&gt;&lt;/Citation&gt;_x000a_"/>
    <w:docVar w:name="NE.Ref{304FE793-6CFF-44CE-9875-F2E80FA7AAB5}" w:val=" ADDIN NE.Ref.{304FE793-6CFF-44CE-9875-F2E80FA7AAB5}&lt;Citation&gt;&lt;Group&gt;&lt;References&gt;&lt;Item&gt;&lt;ID&gt;1028&lt;/ID&gt;&lt;UID&gt;{45B8FE67-F293-4C4D-B95C-5E541C945C2E}&lt;/UID&gt;&lt;Title&gt;Global burden and strength of evidence for 88 risk factors in 204 countries and  811 subnational locations, 1990-2021: a systematic analysis for the Global Burden  of Disease Study 2021&lt;/Title&gt;&lt;Template&gt;Journal Article&lt;/Template&gt;&lt;Star&gt;0&lt;/Star&gt;&lt;Tag&gt;0&lt;/Tag&gt;&lt;Author/&gt;&lt;Year&gt;2024&lt;/Year&gt;&lt;Details&gt;&lt;_accession_num&gt;38762324&lt;/_accession_num&gt;&lt;_collection_scope&gt;SCI;SCIE&lt;/_collection_scope&gt;&lt;_created&gt;65503415&lt;/_created&gt;&lt;_date&gt;2024-05-18&lt;/_date&gt;&lt;_date_display&gt;2024 May 18&lt;/_date_display&gt;&lt;_db_updated&gt;PubMed&lt;/_db_updated&gt;&lt;_doi&gt;10.1016/S0140-6736(24)00933-4&lt;/_doi&gt;&lt;_impact_factor&gt;  79.323&lt;/_impact_factor&gt;&lt;_isbn&gt;1474-547X (Electronic); 0140-6736 (Print); 0140-6736 (Linking)&lt;/_isbn&gt;&lt;_issue&gt;10440&lt;/_issue&gt;&lt;_journal&gt;Lancet&lt;/_journal&gt;&lt;_language&gt;eng&lt;/_language&gt;&lt;_modified&gt;65503415&lt;/_modified&gt;&lt;_ori_publication&gt;Copyright (c) 2024 The Author(s). Published by Elsevier Ltd. This is an Open Access _x000d__x000a_      article under the CC BY 4.0 license. Published by Elsevier Ltd.. All rights _x000d__x000a_      reserved.&lt;/_ori_publication&gt;&lt;_pages&gt;2162-2203&lt;/_pages&gt;&lt;_subject_headings&gt;Humans; *Global Burden of Disease; Risk Factors; *Global Health/statistics &amp;amp; numerical data; Female; Male; Risk Assessment; Adult; Middle Aged; Aged; Disability-Adjusted Life Years; Adolescent; Young Adult; Quality-Adjusted Life Years&lt;/_subject_headings&gt;&lt;_tertiary_title&gt;Lancet (London, England)&lt;/_tertiary_title&gt;&lt;_type_work&gt;Journal Article&lt;/_type_work&gt;&lt;_url&gt;http://www.ncbi.nlm.nih.gov/entrez/query.fcgi?cmd=Retrieve&amp;amp;db=pubmed&amp;amp;dopt=Abstract&amp;amp;list_uids=38762324&amp;amp;query_hl=1&lt;/_url&gt;&lt;_volume&gt;403&lt;/_volume&gt;&lt;/Details&gt;&lt;Extra&gt;&lt;DBUID&gt;{F96A950B-833F-4880-A151-76DA2D6A2879}&lt;/DBUID&gt;&lt;/Extra&gt;&lt;/Item&gt;&lt;/References&gt;&lt;/Group&gt;&lt;/Citation&gt;_x000a_"/>
    <w:docVar w:name="NE.Ref{638D248B-41E5-4233-8A25-6DF978A7AF46}" w:val=" ADDIN NE.Ref.{638D248B-41E5-4233-8A25-6DF978A7AF46}&lt;Citation&gt;&lt;Group&gt;&lt;References&gt;&lt;Item&gt;&lt;ID&gt;1028&lt;/ID&gt;&lt;UID&gt;{45B8FE67-F293-4C4D-B95C-5E541C945C2E}&lt;/UID&gt;&lt;Title&gt;Global burden and strength of evidence for 88 risk factors in 204 countries and  811 subnational locations, 1990-2021: a systematic analysis for the Global Burden  of Disease Study 2021&lt;/Title&gt;&lt;Template&gt;Journal Article&lt;/Template&gt;&lt;Star&gt;0&lt;/Star&gt;&lt;Tag&gt;0&lt;/Tag&gt;&lt;Author/&gt;&lt;Year&gt;2024&lt;/Year&gt;&lt;Details&gt;&lt;_accession_num&gt;38762324&lt;/_accession_num&gt;&lt;_collection_scope&gt;SCI;SCIE&lt;/_collection_scope&gt;&lt;_created&gt;65503415&lt;/_created&gt;&lt;_date&gt;2024-05-18&lt;/_date&gt;&lt;_date_display&gt;2024 May 18&lt;/_date_display&gt;&lt;_db_updated&gt;PubMed&lt;/_db_updated&gt;&lt;_doi&gt;10.1016/S0140-6736(24)00933-4&lt;/_doi&gt;&lt;_impact_factor&gt;  79.323&lt;/_impact_factor&gt;&lt;_isbn&gt;1474-547X (Electronic); 0140-6736 (Print); 0140-6736 (Linking)&lt;/_isbn&gt;&lt;_issue&gt;10440&lt;/_issue&gt;&lt;_journal&gt;Lancet&lt;/_journal&gt;&lt;_language&gt;eng&lt;/_language&gt;&lt;_modified&gt;65503415&lt;/_modified&gt;&lt;_ori_publication&gt;Copyright (c) 2024 The Author(s). Published by Elsevier Ltd. This is an Open Access _x000d__x000a_      article under the CC BY 4.0 license. Published by Elsevier Ltd.. All rights _x000d__x000a_      reserved.&lt;/_ori_publication&gt;&lt;_pages&gt;2162-2203&lt;/_pages&gt;&lt;_subject_headings&gt;Humans; *Global Burden of Disease; Risk Factors; *Global Health/statistics &amp;amp; numerical data; Female; Male; Risk Assessment; Adult; Middle Aged; Aged; Disability-Adjusted Life Years; Adolescent; Young Adult; Quality-Adjusted Life Years&lt;/_subject_headings&gt;&lt;_tertiary_title&gt;Lancet (London, England)&lt;/_tertiary_title&gt;&lt;_type_work&gt;Journal Article&lt;/_type_work&gt;&lt;_url&gt;http://www.ncbi.nlm.nih.gov/entrez/query.fcgi?cmd=Retrieve&amp;amp;db=pubmed&amp;amp;dopt=Abstract&amp;amp;list_uids=38762324&amp;amp;query_hl=1&lt;/_url&gt;&lt;_volume&gt;403&lt;/_volume&gt;&lt;/Details&gt;&lt;Extra&gt;&lt;DBUID&gt;{F96A950B-833F-4880-A151-76DA2D6A2879}&lt;/DBUID&gt;&lt;/Extra&gt;&lt;/Item&gt;&lt;/References&gt;&lt;/Group&gt;&lt;/Citation&gt;_x000a_"/>
    <w:docVar w:name="NE.Ref{A2DCC016-A0B1-4853-9A61-6763FAE4B568}" w:val=" ADDIN NE.Ref.{A2DCC016-A0B1-4853-9A61-6763FAE4B568}&lt;Citation&gt;&lt;Group&gt;&lt;References&gt;&lt;Item&gt;&lt;ID&gt;1037&lt;/ID&gt;&lt;UID&gt;{AFB9C690-C8B8-4A7C-9EA0-7094EC0AFC70}&lt;/UID&gt;&lt;Title&gt;Global burden of COPD attributable to ambient PM2.5 in 204 countries and  territories, 1990 to 2019: A systematic analysis for the Global Burden of Disease  Study 2019&lt;/Title&gt;&lt;Template&gt;Journal Article&lt;/Template&gt;&lt;Star&gt;0&lt;/Star&gt;&lt;Tag&gt;0&lt;/Tag&gt;&lt;Author&gt;Yang, X; Zhang, T; Zhang, Y; Chen, H; Sang, S&lt;/Author&gt;&lt;Year&gt;2021&lt;/Year&gt;&lt;Details&gt;&lt;_accessed&gt;65505401&lt;/_accessed&gt;&lt;_accession_num&gt;34265615&lt;/_accession_num&gt;&lt;_author_adr&gt;Clinical Epidemiology Unit, Qilu Hospital of Shandong University, Jinan,  Shandong, People&amp;apos;s Republic of China; Clinical Research Center of Shandong  University, Jinan, Shandong, People&amp;apos;s Republic of China.; Department of Epidemiology and Health Statistics, School of Public Health,  Cheeloo College of Medicine, Shandong University, Jinan, Shandong, People&amp;apos;s  Republic of China.; Clinical Epidemiology Unit, Qilu Hospital of Shandong University, Jinan,  Shandong, People&amp;apos;s Republic of China; Clinical Research Center of Shandong  University, Jinan, Shandong, People&amp;apos;s Republic of China.; Clinical Epidemiology Unit, Qilu Hospital of Shandong University, Jinan,  Shandong, People&amp;apos;s Republic of China; Clinical Research Center of Shandong  University, Jinan, Shandong, People&amp;apos;s Republic of China.; Clinical Epidemiology Unit, Qilu Hospital of Shandong University, Jinan,  Shandong, People&amp;apos;s Republic of China; Clinical Research Center of Shandong  University, Jinan, Shandong, People&amp;apos;s Republic of China; Department of  Epidemiology and Health Statistics, School of Public Health, Cheeloo College of  Medicine, Shandong University, Jinan, Shandong, People&amp;apos;s Republic of China.  Electronic address: sangshaowei@sdu.edu.cn.&lt;/_author_adr&gt;&lt;_collection_scope&gt;SCI;SCIE;EI&lt;/_collection_scope&gt;&lt;_created&gt;65505383&lt;/_created&gt;&lt;_date&gt;64105920&lt;/_date&gt;&lt;_date_display&gt;2021 Nov 20&lt;/_date_display&gt;&lt;_db_updated&gt;PubMed&lt;/_db_updated&gt;&lt;_doi&gt;10.1016/j.scitotenv.2021.148819&lt;/_doi&gt;&lt;_impact_factor&gt;   7.963&lt;/_impact_factor&gt;&lt;_isbn&gt;1879-1026 (Electronic); 0048-9697 (Linking)&lt;/_isbn&gt;&lt;_journal&gt;Sci Total Environ&lt;/_journal&gt;&lt;_keywords&gt;Ambient PM2.5; COPD; Epidemiology; Global burden&lt;/_keywords&gt;&lt;_language&gt;eng&lt;/_language&gt;&lt;_modified&gt;65505401&lt;/_modified&gt;&lt;_ori_publication&gt;Copyright (c) 2021 The Authors. Published by Elsevier B.V. All rights reserved.&lt;/_ori_publication&gt;&lt;_pages&gt;148819&lt;/_pages&gt;&lt;_subject_headings&gt;Aged; Aged, 80 and over; Asia; *Global Burden of Disease; Humans; Particulate Matter/adverse effects/analysis; *Pulmonary Disease, Chronic Obstructive/epidemiology; Quality-Adjusted Life Years&lt;/_subject_headings&gt;&lt;_tertiary_title&gt;The Science of the total environment&lt;/_tertiary_title&gt;&lt;_type_work&gt;Journal Article&lt;/_type_work&gt;&lt;_url&gt;http://www.ncbi.nlm.nih.gov/entrez/query.fcgi?cmd=Retrieve&amp;amp;db=pubmed&amp;amp;dopt=Abstract&amp;amp;list_uids=34265615&amp;amp;query_hl=1&lt;/_url&gt;&lt;_volume&gt;796&lt;/_volume&gt;&lt;/Details&gt;&lt;Extra&gt;&lt;DBUID&gt;{F96A950B-833F-4880-A151-76DA2D6A2879}&lt;/DBUID&gt;&lt;/Extra&gt;&lt;/Item&gt;&lt;/References&gt;&lt;/Group&gt;&lt;/Citation&gt;_x000a_"/>
    <w:docVar w:name="NE.Ref{E9661B09-DEAD-4633-A51B-C28E1A9C26D1}" w:val=" ADDIN NE.Ref.{E9661B09-DEAD-4633-A51B-C28E1A9C26D1}&lt;Citation&gt;&lt;Group&gt;&lt;References&gt;&lt;Item&gt;&lt;ID&gt;1028&lt;/ID&gt;&lt;UID&gt;{45B8FE67-F293-4C4D-B95C-5E541C945C2E}&lt;/UID&gt;&lt;Title&gt;Global burden and strength of evidence for 88 risk factors in 204 countries and  811 subnational locations, 1990-2021: a systematic analysis for the Global Burden  of Disease Study 2021&lt;/Title&gt;&lt;Template&gt;Journal Article&lt;/Template&gt;&lt;Star&gt;0&lt;/Star&gt;&lt;Tag&gt;0&lt;/Tag&gt;&lt;Author/&gt;&lt;Year&gt;2024&lt;/Year&gt;&lt;Details&gt;&lt;_accession_num&gt;38762324&lt;/_accession_num&gt;&lt;_collection_scope&gt;SCI;SCIE&lt;/_collection_scope&gt;&lt;_created&gt;65503415&lt;/_created&gt;&lt;_date&gt;2024-05-18&lt;/_date&gt;&lt;_date_display&gt;2024 May 18&lt;/_date_display&gt;&lt;_db_updated&gt;PubMed&lt;/_db_updated&gt;&lt;_doi&gt;10.1016/S0140-6736(24)00933-4&lt;/_doi&gt;&lt;_impact_factor&gt;  79.323&lt;/_impact_factor&gt;&lt;_isbn&gt;1474-547X (Electronic); 0140-6736 (Print); 0140-6736 (Linking)&lt;/_isbn&gt;&lt;_issue&gt;10440&lt;/_issue&gt;&lt;_journal&gt;Lancet&lt;/_journal&gt;&lt;_language&gt;eng&lt;/_language&gt;&lt;_modified&gt;65503415&lt;/_modified&gt;&lt;_ori_publication&gt;Copyright (c) 2024 The Author(s). Published by Elsevier Ltd. This is an Open Access _x000d__x000a_      article under the CC BY 4.0 license. Published by Elsevier Ltd.. All rights _x000d__x000a_      reserved.&lt;/_ori_publication&gt;&lt;_pages&gt;2162-2203&lt;/_pages&gt;&lt;_subject_headings&gt;Humans; *Global Burden of Disease; Risk Factors; *Global Health/statistics &amp;amp; numerical data; Female; Male; Risk Assessment; Adult; Middle Aged; Aged; Disability-Adjusted Life Years; Adolescent; Young Adult; Quality-Adjusted Life Years&lt;/_subject_headings&gt;&lt;_tertiary_title&gt;Lancet (London, England)&lt;/_tertiary_title&gt;&lt;_type_work&gt;Journal Article&lt;/_type_work&gt;&lt;_url&gt;http://www.ncbi.nlm.nih.gov/entrez/query.fcgi?cmd=Retrieve&amp;amp;db=pubmed&amp;amp;dopt=Abstract&amp;amp;list_uids=38762324&amp;amp;query_hl=1&lt;/_url&gt;&lt;_volume&gt;403&lt;/_volume&gt;&lt;/Details&gt;&lt;Extra&gt;&lt;DBUID&gt;{F96A950B-833F-4880-A151-76DA2D6A2879}&lt;/DBUID&gt;&lt;/Extra&gt;&lt;/Item&gt;&lt;/References&gt;&lt;/Group&gt;&lt;/Citation&gt;_x000a_"/>
    <w:docVar w:name="NE.Ref{FEF18D46-39B1-4E4F-A2BE-498F3B8D9746}" w:val=" ADDIN NE.Ref.{FEF18D46-39B1-4E4F-A2BE-498F3B8D9746}&lt;Citation&gt;&lt;Group&gt;&lt;References&gt;&lt;Item&gt;&lt;ID&gt;1038&lt;/ID&gt;&lt;UID&gt;{9985E2E5-338E-41E9-B14E-C1CC3EA8F8C3}&lt;/UID&gt;&lt;Title&gt;Observed inequality in urban greenspace exposure in China&lt;/Title&gt;&lt;Template&gt;Journal Article&lt;/Template&gt;&lt;Star&gt;0&lt;/Star&gt;&lt;Tag&gt;0&lt;/Tag&gt;&lt;Author&gt;Song, Y; Chen, B; Ho, H C; Kwan, M P; Liu, D; Wang, F; Wang, J; Cai, J; Li, X; Xu, Y; He, Q; Wang, H; Xu, Q; Song, Y&lt;/Author&gt;&lt;Year&gt;2021&lt;/Year&gt;&lt;Details&gt;&lt;_accession_num&gt;34425646&lt;/_accession_num&gt;&lt;_author_adr&gt;Department of Land Surveying and Geo-Informatics, The Hong Kong Polytechnic  University, Hong Kong Special Administrative Region; Smart Cities Research  Institute, The Hong Kong Polytechnic University, Hong Kong Special Administrative  Region.; Division of Landscape Architecture, Faculty of Architecture, The University of  Hong Kong, Hong Kong Special Administrative Region. Electronic address:  binley.chen@hku.hk.; Department of Urban Planning and Design, The University of Hong Kong, Hong Kong  Special Administrative Region.; Department of Geography and Resource Management, The Chinese University of Hong  Kong, Hong Kong Special Administrative Region; Institute of Space and Earth  Information Science, The Chinese University of Hong Kong, Hong Kong Special  Administrative Region; Department of Human Geography and Spatial Planning,  Utrecht University, 3584 CB Utrecht, the Netherlands.; Department of Geography and Geographic Information Science, University of  Illinois at Urbana-Champaign, Urbana, IL 61801, USA; Human Environments Analysis  Laboratory, The University of Western Ontario, Social Sciences Centre, London, ON  N6A 5C2, Canada; Department of Geography and Environment, The University of  Western Ontario, Social Sciences Centre, London, ON N6A 5C2, Canada.; Department of Geography and Resource Management, The Chinese University of Hong  Kong, Hong Kong Special Administrative Region.; Department of Geography and Resource Management, The Chinese University of Hong  Kong, Hong Kong Special Administrative Region.; Department of Geography and Resource Management, The Chinese University of Hong  Kong, Hong Kong Special Administrative Region.; Department of City and Regional Planning, University of North Carolina at Chapel  Hill, NC 27599, USA.; School of Geographical Science, Guangzhou University, Guangzhou 510006, China.; School of Resource and Environmental Engineering, Wuhan University of Technology,  Wuhan 430070, China.; College of Environment and Planning, Henan University, Henan, China.; Department of Geography and Resource Management, The Chinese University of Hong  Kong, Hong Kong Special Administrative Region.; School of Design and the Built Environment, Curtin University, Perth 6845,  Australia. Electronic address: yongze.song@curtin.edu.au.&lt;/_author_adr&gt;&lt;_date_display&gt;2021 Nov&lt;/_date_display&gt;&lt;_date&gt;2021-11-01&lt;/_date&gt;&lt;_doi&gt;10.1016/j.envint.2021.106778&lt;/_doi&gt;&lt;_isbn&gt;1873-6750 (Electronic); 0160-4120 (Linking)&lt;/_isbn&gt;&lt;_journal&gt;Environ Int&lt;/_journal&gt;&lt;_keywords&gt;China; Environmental inequality; Greenspace exposure; Healthy city; Spatial heterogeneity; Urban environment&lt;/_keywords&gt;&lt;_language&gt;eng&lt;/_language&gt;&lt;_ori_publication&gt;Copyright (c) 2021 The Author(s). Published by Elsevier Ltd.. All rights reserved.&lt;/_ori_publication&gt;&lt;_pages&gt;106778&lt;/_pages&gt;&lt;_subject_headings&gt;China; Cities; Climate; Humans; *Parks, Recreational; *Urbanization&lt;/_subject_headings&gt;&lt;_tertiary_title&gt;Environment international&lt;/_tertiary_title&gt;&lt;_type_work&gt;Journal Article; Research Support, Non-U.S. Gov&amp;apos;t&lt;/_type_work&gt;&lt;_url&gt;http://www.ncbi.nlm.nih.gov/entrez/query.fcgi?cmd=Retrieve&amp;amp;db=pubmed&amp;amp;dopt=Abstract&amp;amp;list_uids=34425646&amp;amp;query_hl=1&lt;/_url&gt;&lt;_volume&gt;156&lt;/_volume&gt;&lt;_created&gt;65505635&lt;/_created&gt;&lt;_modified&gt;65505635&lt;/_modified&gt;&lt;_db_updated&gt;PubMed&lt;/_db_updated&gt;&lt;_impact_factor&gt;   9.621&lt;/_impact_factor&gt;&lt;_collection_scope&gt;SCIE;EI&lt;/_collection_scope&gt;&lt;/Details&gt;&lt;Extra&gt;&lt;DBUID&gt;{F96A950B-833F-4880-A151-76DA2D6A2879}&lt;/DBUID&gt;&lt;/Extra&gt;&lt;/Item&gt;&lt;/References&gt;&lt;/Group&gt;&lt;/Citation&gt;_x000a_"/>
    <w:docVar w:name="ne_docsoft" w:val="MSWord"/>
    <w:docVar w:name="ne_docversion" w:val="NoteExpress 2.0"/>
    <w:docVar w:name="ne_stylename" w:val="中华人民共和国国家标准_GBT_7714-2005"/>
  </w:docVars>
  <w:rsids>
    <w:rsidRoot w:val="002B5BC3"/>
    <w:rsid w:val="000010E5"/>
    <w:rsid w:val="000334AE"/>
    <w:rsid w:val="00035576"/>
    <w:rsid w:val="00051D28"/>
    <w:rsid w:val="000603B3"/>
    <w:rsid w:val="00065CF7"/>
    <w:rsid w:val="0007682B"/>
    <w:rsid w:val="000821A0"/>
    <w:rsid w:val="00096AA2"/>
    <w:rsid w:val="000A4B3D"/>
    <w:rsid w:val="000A7D06"/>
    <w:rsid w:val="000D7AF8"/>
    <w:rsid w:val="000F7C27"/>
    <w:rsid w:val="00104EC9"/>
    <w:rsid w:val="00111EBA"/>
    <w:rsid w:val="0011252D"/>
    <w:rsid w:val="00121690"/>
    <w:rsid w:val="00124B35"/>
    <w:rsid w:val="001251B4"/>
    <w:rsid w:val="00133166"/>
    <w:rsid w:val="001A35D7"/>
    <w:rsid w:val="001A6528"/>
    <w:rsid w:val="001B2B48"/>
    <w:rsid w:val="001B512E"/>
    <w:rsid w:val="001E78BF"/>
    <w:rsid w:val="001F45F6"/>
    <w:rsid w:val="001F5F87"/>
    <w:rsid w:val="00204A2D"/>
    <w:rsid w:val="002167BF"/>
    <w:rsid w:val="00241675"/>
    <w:rsid w:val="00242FB1"/>
    <w:rsid w:val="00251F04"/>
    <w:rsid w:val="0025502C"/>
    <w:rsid w:val="002B3120"/>
    <w:rsid w:val="002B5BC3"/>
    <w:rsid w:val="002F1D1C"/>
    <w:rsid w:val="002F4850"/>
    <w:rsid w:val="00321DA4"/>
    <w:rsid w:val="003362B9"/>
    <w:rsid w:val="003800BE"/>
    <w:rsid w:val="00393AA9"/>
    <w:rsid w:val="00394EEC"/>
    <w:rsid w:val="003A338F"/>
    <w:rsid w:val="003B7FB0"/>
    <w:rsid w:val="003D34D2"/>
    <w:rsid w:val="003E1287"/>
    <w:rsid w:val="003E3480"/>
    <w:rsid w:val="003E4A8D"/>
    <w:rsid w:val="003F69C3"/>
    <w:rsid w:val="00421922"/>
    <w:rsid w:val="004301C5"/>
    <w:rsid w:val="00434F00"/>
    <w:rsid w:val="00456D35"/>
    <w:rsid w:val="004741FA"/>
    <w:rsid w:val="00474E02"/>
    <w:rsid w:val="0048116B"/>
    <w:rsid w:val="00484366"/>
    <w:rsid w:val="00496D27"/>
    <w:rsid w:val="004C1B16"/>
    <w:rsid w:val="004D0CA6"/>
    <w:rsid w:val="004D6A4B"/>
    <w:rsid w:val="004E4591"/>
    <w:rsid w:val="00525958"/>
    <w:rsid w:val="00527DC3"/>
    <w:rsid w:val="005462F0"/>
    <w:rsid w:val="00547387"/>
    <w:rsid w:val="00547F8E"/>
    <w:rsid w:val="00560EFC"/>
    <w:rsid w:val="005963E0"/>
    <w:rsid w:val="005A5448"/>
    <w:rsid w:val="005A7E05"/>
    <w:rsid w:val="005C51E1"/>
    <w:rsid w:val="005E4B1A"/>
    <w:rsid w:val="005E6CEF"/>
    <w:rsid w:val="005F102B"/>
    <w:rsid w:val="006140A7"/>
    <w:rsid w:val="00620150"/>
    <w:rsid w:val="00674584"/>
    <w:rsid w:val="006761BC"/>
    <w:rsid w:val="006B010F"/>
    <w:rsid w:val="006C40F3"/>
    <w:rsid w:val="006C5FF5"/>
    <w:rsid w:val="006D4726"/>
    <w:rsid w:val="006E274B"/>
    <w:rsid w:val="00730415"/>
    <w:rsid w:val="00746414"/>
    <w:rsid w:val="00751B41"/>
    <w:rsid w:val="00754CC7"/>
    <w:rsid w:val="00761C65"/>
    <w:rsid w:val="007636EB"/>
    <w:rsid w:val="007B112D"/>
    <w:rsid w:val="007C0D7D"/>
    <w:rsid w:val="007D27AF"/>
    <w:rsid w:val="007F3B1C"/>
    <w:rsid w:val="008225E4"/>
    <w:rsid w:val="00824A32"/>
    <w:rsid w:val="00837756"/>
    <w:rsid w:val="0088421A"/>
    <w:rsid w:val="00887361"/>
    <w:rsid w:val="00893538"/>
    <w:rsid w:val="008E0E26"/>
    <w:rsid w:val="00904B2C"/>
    <w:rsid w:val="00923E4E"/>
    <w:rsid w:val="00933CA7"/>
    <w:rsid w:val="00942C33"/>
    <w:rsid w:val="00946CD8"/>
    <w:rsid w:val="0096222D"/>
    <w:rsid w:val="009B3F4A"/>
    <w:rsid w:val="009B52E4"/>
    <w:rsid w:val="009C1740"/>
    <w:rsid w:val="009D1BE9"/>
    <w:rsid w:val="009D638D"/>
    <w:rsid w:val="009E566D"/>
    <w:rsid w:val="00A242B1"/>
    <w:rsid w:val="00A3644F"/>
    <w:rsid w:val="00A514BB"/>
    <w:rsid w:val="00A6261E"/>
    <w:rsid w:val="00A67F13"/>
    <w:rsid w:val="00A802B1"/>
    <w:rsid w:val="00A852AD"/>
    <w:rsid w:val="00A91B27"/>
    <w:rsid w:val="00AA069D"/>
    <w:rsid w:val="00AE3790"/>
    <w:rsid w:val="00AE7B2D"/>
    <w:rsid w:val="00AF0610"/>
    <w:rsid w:val="00AF5411"/>
    <w:rsid w:val="00B1432E"/>
    <w:rsid w:val="00B26FAF"/>
    <w:rsid w:val="00B37450"/>
    <w:rsid w:val="00B4149C"/>
    <w:rsid w:val="00B70223"/>
    <w:rsid w:val="00B73365"/>
    <w:rsid w:val="00B879D2"/>
    <w:rsid w:val="00BB3972"/>
    <w:rsid w:val="00BD512D"/>
    <w:rsid w:val="00BE3C67"/>
    <w:rsid w:val="00BF15E0"/>
    <w:rsid w:val="00BF5F43"/>
    <w:rsid w:val="00C010AB"/>
    <w:rsid w:val="00C06190"/>
    <w:rsid w:val="00C07DE4"/>
    <w:rsid w:val="00C11D7C"/>
    <w:rsid w:val="00C13F01"/>
    <w:rsid w:val="00C20071"/>
    <w:rsid w:val="00C22B1E"/>
    <w:rsid w:val="00C32980"/>
    <w:rsid w:val="00C55BF8"/>
    <w:rsid w:val="00C71FC1"/>
    <w:rsid w:val="00C7618D"/>
    <w:rsid w:val="00CA1AE3"/>
    <w:rsid w:val="00CB5C71"/>
    <w:rsid w:val="00CD2D79"/>
    <w:rsid w:val="00CD7B0A"/>
    <w:rsid w:val="00D15817"/>
    <w:rsid w:val="00D21046"/>
    <w:rsid w:val="00D349D4"/>
    <w:rsid w:val="00D35CCF"/>
    <w:rsid w:val="00D433AD"/>
    <w:rsid w:val="00D47513"/>
    <w:rsid w:val="00D47D78"/>
    <w:rsid w:val="00DB545F"/>
    <w:rsid w:val="00DC6A10"/>
    <w:rsid w:val="00DD5D6C"/>
    <w:rsid w:val="00DE66B1"/>
    <w:rsid w:val="00DE68BA"/>
    <w:rsid w:val="00E007F4"/>
    <w:rsid w:val="00E1590D"/>
    <w:rsid w:val="00E15CC4"/>
    <w:rsid w:val="00E51D94"/>
    <w:rsid w:val="00E72353"/>
    <w:rsid w:val="00E920A4"/>
    <w:rsid w:val="00E94032"/>
    <w:rsid w:val="00EB5C0A"/>
    <w:rsid w:val="00F01078"/>
    <w:rsid w:val="00F02FD6"/>
    <w:rsid w:val="00F06341"/>
    <w:rsid w:val="00F22D8A"/>
    <w:rsid w:val="00F254F9"/>
    <w:rsid w:val="00F34E10"/>
    <w:rsid w:val="00F368EB"/>
    <w:rsid w:val="00F56E1E"/>
    <w:rsid w:val="00F671B1"/>
    <w:rsid w:val="00F81B8A"/>
    <w:rsid w:val="00FA2BEC"/>
    <w:rsid w:val="00FC19DD"/>
    <w:rsid w:val="00FC2FF8"/>
    <w:rsid w:val="00FD0477"/>
    <w:rsid w:val="00FD08D0"/>
    <w:rsid w:val="00FF6CD6"/>
    <w:rsid w:val="017240DE"/>
    <w:rsid w:val="03E94B2B"/>
    <w:rsid w:val="0C2E1FB3"/>
    <w:rsid w:val="1C6A45D0"/>
    <w:rsid w:val="2916341D"/>
    <w:rsid w:val="2D145EC5"/>
    <w:rsid w:val="35C73D96"/>
    <w:rsid w:val="36456F27"/>
    <w:rsid w:val="38884E34"/>
    <w:rsid w:val="3C577B7C"/>
    <w:rsid w:val="3CDB255C"/>
    <w:rsid w:val="3F5B71FB"/>
    <w:rsid w:val="3F681D57"/>
    <w:rsid w:val="43D63A7D"/>
    <w:rsid w:val="517744C4"/>
    <w:rsid w:val="68686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semiHidden/>
    <w:unhideWhenUsed/>
    <w:qFormat/>
    <w:uiPriority w:val="99"/>
    <w:rPr>
      <w:color w:val="954F72"/>
      <w:u w:val="single"/>
    </w:rPr>
  </w:style>
  <w:style w:type="character" w:styleId="9">
    <w:name w:val="Hyperlink"/>
    <w:basedOn w:val="7"/>
    <w:unhideWhenUsed/>
    <w:qFormat/>
    <w:uiPriority w:val="99"/>
    <w:rPr>
      <w:color w:val="0563C1" w:themeColor="hyperlink"/>
      <w:u w:val="single"/>
      <w14:textFill>
        <w14:solidFill>
          <w14:schemeClr w14:val="hlink"/>
        </w14:solidFill>
      </w14:textFill>
    </w:rPr>
  </w:style>
  <w:style w:type="character" w:customStyle="1" w:styleId="10">
    <w:name w:val="页眉 字符"/>
    <w:basedOn w:val="7"/>
    <w:link w:val="3"/>
    <w:qFormat/>
    <w:uiPriority w:val="99"/>
    <w:rPr>
      <w:sz w:val="18"/>
      <w:szCs w:val="18"/>
    </w:rPr>
  </w:style>
  <w:style w:type="character" w:customStyle="1" w:styleId="11">
    <w:name w:val="页脚 字符"/>
    <w:basedOn w:val="7"/>
    <w:link w:val="2"/>
    <w:qFormat/>
    <w:uiPriority w:val="99"/>
    <w:rPr>
      <w:sz w:val="18"/>
      <w:szCs w:val="18"/>
    </w:rPr>
  </w:style>
  <w:style w:type="character" w:customStyle="1" w:styleId="12">
    <w:name w:val="Unresolved Mention"/>
    <w:basedOn w:val="7"/>
    <w:semiHidden/>
    <w:unhideWhenUsed/>
    <w:qFormat/>
    <w:uiPriority w:val="99"/>
    <w:rPr>
      <w:color w:val="605E5C"/>
      <w:shd w:val="clear" w:color="auto" w:fill="E1DFDD"/>
    </w:rPr>
  </w:style>
  <w:style w:type="paragraph" w:customStyle="1" w:styleId="13">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976</Words>
  <Characters>5613</Characters>
  <Lines>290</Lines>
  <Paragraphs>81</Paragraphs>
  <TotalTime>50</TotalTime>
  <ScaleCrop>false</ScaleCrop>
  <LinksUpToDate>false</LinksUpToDate>
  <CharactersWithSpaces>6539</CharactersWithSpaces>
  <Application>WPS Office_12.1.0.23539_F1E327BC-269C-435d-A152-05C5408002CA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2024-07-18T01:09:00Z</dcterms:created>
  <dc:creator>haitao wang</dc:creator>
  <dc:description>NE.Ref</dc:description>
  <cp:lastModifiedBy>张小红－维多利亚的达芬奇</cp:lastModifiedBy>
  <dcterms:modified xsi:type="dcterms:W3CDTF">2025-11-24T09:21:55Z</dcterms:modified>
  <cp:revision>145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eyJoZGlkIjoiMjQzOGU1YTQ3MWEyZTJlYTg5MDZiY2VkZWYxOTg5NzMiLCJ1c2VySWQiOiIzMDc5Njk2NTcifQ==</vt:lpwstr>
  </property>
  <property fmtid="{D5CDD505-2E9C-101B-9397-08002B2CF9AE}" pid="3" name="KSOProductBuildVer">
    <vt:lpwstr>2052-12.1.0.23539</vt:lpwstr>
  </property>
  <property fmtid="{D5CDD505-2E9C-101B-9397-08002B2CF9AE}" pid="4" name="ICV">
    <vt:lpwstr>04B00401E6854AAA98C9F1B640991821_12</vt:lpwstr>
  </property>
</Properties>
</file>